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l’application explicite du cadre omnicanal à l’alimentation directe et locale reste inédite : c’est le premier déplacement de l’article.</w:t>
      </w:r>
    </w:p>
    <w:bookmarkEnd w:id="14"/>
    <w:bookmarkStart w:id="15"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5"/>
    <w:bookmarkStart w:id="29"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3, Figure 3).</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récemment. La fréquentation déclarée surestime donc sensiblement la pratique en cours.</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fort</w:t>
      </w:r>
      <w:r>
        <w:t xml:space="preserve"> </w:t>
      </w:r>
      <w:r>
        <w:rPr>
          <w:b/>
          <w:bCs/>
        </w:rPr>
        <w:t xml:space="preserve">abandon</w:t>
      </w:r>
      <w:r>
        <w:t xml:space="preserve"> </w:t>
      </w:r>
      <w:r>
        <w:t xml:space="preserve">: parmi les ménages qui ont un jour été clients d’une AMAP, près des deux tiers (</w:t>
      </w:r>
      <w:r>
        <w:rPr>
          <w:b/>
          <w:bCs/>
        </w:rPr>
        <w:t xml:space="preserve">65 %</w:t>
      </w:r>
      <w:r>
        <w:t xml:space="preserve">) ne le sont plus.</w:t>
      </w:r>
    </w:p>
    <w:p>
      <w:pPr>
        <w:pStyle w:val="BodyText"/>
      </w:pPr>
      <w:r>
        <w:rPr>
          <w:b/>
          <w:bCs/>
        </w:rPr>
        <w:t xml:space="preserve">Tableau 3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pStyle w:val="BodyText"/>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7" name="Picture"/>
            <a:graphic>
              <a:graphicData uri="http://schemas.openxmlformats.org/drawingml/2006/picture">
                <pic:pic>
                  <pic:nvPicPr>
                    <pic:cNvPr descr="/home/user/formation-Claude/figures/png/fig6_essai_ancrage_nb.png" id="28" name="Picture"/>
                    <pic:cNvPicPr>
                      <a:picLocks noChangeArrowheads="1" noChangeAspect="1"/>
                    </pic:cNvPicPr>
                  </pic:nvPicPr>
                  <pic:blipFill>
                    <a:blip r:embed="rId26"/>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4),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home/user/formation-Claude/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4 : Les cinq stratégies d’approvisionnement</w:t>
      </w:r>
    </w:p>
    <w:tbl>
      <w:tblPr>
        <w:tblStyle w:val="Table"/>
        <w:tblW w:type="pct" w:w="5000"/>
        <w:tblLayout w:type="fixed"/>
        <w:tblLook w:firstRow="1" w:lastRow="0" w:firstColumn="0" w:lastColumn="0" w:noHBand="0" w:noVBand="0" w:val="0020"/>
      </w:tblPr>
      <w:tblGrid>
        <w:gridCol w:w="1116"/>
        <w:gridCol w:w="609"/>
        <w:gridCol w:w="507"/>
        <w:gridCol w:w="1421"/>
        <w:gridCol w:w="1523"/>
        <w:gridCol w:w="1624"/>
        <w:gridCol w:w="1116"/>
      </w:tblGrid>
      <w:tr>
        <w:trPr>
          <w:tblHeader w:val="on"/>
        </w:trPr>
        <w:tc>
          <w:tcPr/>
          <w:p>
            <w:pPr>
              <w:pStyle w:val="Compact"/>
            </w:pPr>
            <w:r>
              <w:t xml:space="preserve">Stratégie</w:t>
            </w:r>
          </w:p>
        </w:tc>
        <w:tc>
          <w:tcPr/>
          <w:p>
            <w:pPr>
              <w:pStyle w:val="Compact"/>
            </w:pPr>
            <w:r>
              <w:t xml:space="preserve">Part</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pPr>
            <w:r>
              <w:t xml:space="preserve">61 %</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pPr>
            <w:r>
              <w:t xml:space="preserve">8 %</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pPr>
            <w:r>
              <w:t xml:space="preserve">5 %</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pPr>
            <w:r>
              <w:t xml:space="preserve">2,5 %</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l’ensemble : le taux inclusif de vente directe croît avec l’ampleur du répertoire de canaux (de 28 % chez les captifs à 100 % chez les explorateurs conventionnels), mais l’usage régulier ne culmine que chez les multi-canal intensifs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multi-canal intensifs l’ancrent dans une routine multi-canal dense, les captifs s’en tiennent à distance, les explorateurs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CaptionedFigure"/>
      </w:pPr>
      <w:r>
        <w:drawing>
          <wp:inline>
            <wp:extent cx="5969000" cy="4901190"/>
            <wp:effectExtent b="0" l="0" r="0" t="0"/>
            <wp:docPr descr="Figure 5" title="" id="35" name="Picture"/>
            <a:graphic>
              <a:graphicData uri="http://schemas.openxmlformats.org/drawingml/2006/picture">
                <pic:pic>
                  <pic:nvPicPr>
                    <pic:cNvPr descr="/home/user/formation-Claude/figures/png/fig4_regression_or_nb.png" id="36" name="Picture"/>
                    <pic:cNvPicPr>
                      <a:picLocks noChangeArrowheads="1" noChangeAspect="1"/>
                    </pic:cNvPicPr>
                  </pic:nvPicPr>
                  <pic:blipFill>
                    <a:blip r:embed="rId34"/>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plus diplômés y recourent un peu plus, l’essentiel de la pratique se distribue transversalement — comme l’illustre l’existence du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home/user/formation-Claude/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de la pratique, avec pour seul gradient net un léger sur-recours des plus diplômés —, il n’y a pas lieu de la réserver, dans les représentations comme dans le ciblage marketing, à un segment aisé et urbain. Les dispositifs peuvent viser tous les publics, y compris les budgets modestes : le profil adeptes de la proximité,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(multi-canal modérés, captifs, intensifs…), et non la position sociale, qui prédit le recours à la vente directe et indique le levier pertinent.</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les budgets modestes ne sont pas exclus.</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Enfin, la plus petite classe (adeptes de la proximité) appelle la prudence dans l’interprétation de ses caractéristiques fines,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convergentes sur ce point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2026-07-08T14:01:56Z</dcterms:created>
  <dcterms:modified xsi:type="dcterms:W3CDTF">2026-07-08T14:01:56Z</dcterms:modified>
</cp:coreProperties>
</file>

<file path=docProps/custom.xml><?xml version="1.0" encoding="utf-8"?>
<Properties xmlns="http://schemas.openxmlformats.org/officeDocument/2006/custom-properties" xmlns:vt="http://schemas.openxmlformats.org/officeDocument/2006/docPropsVTypes"/>
</file>