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place de la vente directe dans les stratégies d’approvisionnement alimentaire des ménages français : une approche par les portefeuilles de canaux</w:t>
      </w:r>
    </w:p>
    <w:p>
      <w:pPr>
        <w:pStyle w:val="Author"/>
      </w:pPr>
      <w:r>
        <w:t xml:space="preserve">Catherine Hérault</w:t>
      </w:r>
    </w:p>
    <w:p>
      <w:pPr>
        <w:pStyle w:val="Date"/>
      </w:pPr>
      <w:r>
        <w:t xml:space="preserve">2026-06-29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résumé"/>
    <w:p>
      <w:pPr>
        <w:pStyle w:val="Heading1"/>
      </w:pPr>
      <w:r>
        <w:t xml:space="preserve">Résumé</w:t>
      </w:r>
    </w:p>
    <w:p>
      <w:pPr>
        <w:pStyle w:val="FirstParagraph"/>
      </w:pPr>
      <w:r>
        <w:t xml:space="preserve">La vente directe de produits alimentaires — achat au producteur via les marchés, les magasins de producteurs, les AMAP, la vente à la ferme ou les paniers en précommande — est souvent étudiée du point de vue de ses formes d’organisation ou des motivations militantes de ses adeptes. Cet article adopte une focale différente,</w:t>
      </w:r>
      <w:r>
        <w:t xml:space="preserve"> </w:t>
      </w:r>
      <w:r>
        <w:rPr>
          <w:b/>
          <w:bCs/>
        </w:rPr>
        <w:t xml:space="preserve">centrée sur le ménage</w:t>
      </w:r>
      <w:r>
        <w:t xml:space="preserve"> </w:t>
      </w:r>
      <w:r>
        <w:t xml:space="preserve">: il analyse la place qu’occupe la vente directe dans le</w:t>
      </w:r>
      <w:r>
        <w:t xml:space="preserve"> </w:t>
      </w:r>
      <w:r>
        <w:rPr>
          <w:b/>
          <w:bCs/>
        </w:rPr>
        <w:t xml:space="preserve">portefeuille de canaux</w:t>
      </w:r>
      <w:r>
        <w:t xml:space="preserve"> </w:t>
      </w:r>
      <w:r>
        <w:t xml:space="preserve">d’approvisionnement, c’est-à-dire dans la combinaison de lieux et de modalités d’achat que chaque foyer mobilise. À partir d’une enquête par questionnaire auprès d’un échantillon représentatif national de</w:t>
      </w:r>
      <w:r>
        <w:t xml:space="preserve"> </w:t>
      </w:r>
      <w:r>
        <w:rPr>
          <w:b/>
          <w:bCs/>
        </w:rPr>
        <w:t xml:space="preserve">1 025 ménages français</w:t>
      </w:r>
      <w:r>
        <w:t xml:space="preserve"> </w:t>
      </w:r>
      <w:r>
        <w:t xml:space="preserve">responsables de leurs achats alimentaires, nous mesurons la fréquentation et la part de budget de treize canaux, puis nous construisons une typologie des stratégies d’approvisionnement par analyse des correspondances multiples et classification ascendante hiérarchique. Trois résultats principaux émergent. Premièrement, la vente directe présente un</w:t>
      </w:r>
      <w:r>
        <w:t xml:space="preserve"> </w:t>
      </w:r>
      <w:r>
        <w:rPr>
          <w:b/>
          <w:bCs/>
        </w:rPr>
        <w:t xml:space="preserve">paradoxe d’ampleur</w:t>
      </w:r>
      <w:r>
        <w:t xml:space="preserve"> </w:t>
      </w:r>
      <w:r>
        <w:t xml:space="preserve">: elle touche</w:t>
      </w:r>
      <w:r>
        <w:t xml:space="preserve"> </w:t>
      </w:r>
      <w:r>
        <w:rPr>
          <w:b/>
          <w:bCs/>
        </w:rPr>
        <w:t xml:space="preserve">65 % des ménages</w:t>
      </w:r>
      <w:r>
        <w:t xml:space="preserve"> </w:t>
      </w:r>
      <w:r>
        <w:t xml:space="preserve">mais ne représente qu’une part marginale du budget (environ 1,5 % pour l’achat direct aux agriculteurs), confirmant son statut de</w:t>
      </w:r>
      <w:r>
        <w:t xml:space="preserve"> </w:t>
      </w:r>
      <w:r>
        <w:rPr>
          <w:b/>
          <w:bCs/>
        </w:rPr>
        <w:t xml:space="preserve">canal de complémentarité ciblée</w:t>
      </w:r>
      <w:r>
        <w:t xml:space="preserve"> </w:t>
      </w:r>
      <w:r>
        <w:t xml:space="preserve">plutôt que de substitution. Deuxièmement, cinq stratégies d’approvisionnement se distinguent, depuis les « captifs de la grande distribution » jusqu’aux « omnivores engagés », en passant par un petit groupe original de ménages à budget modeste qui se tiennent</w:t>
      </w:r>
      <w:r>
        <w:t xml:space="preserve"> </w:t>
      </w:r>
      <w:r>
        <w:rPr>
          <w:b/>
          <w:bCs/>
        </w:rPr>
        <w:t xml:space="preserve">hors de l’hypermarché</w:t>
      </w:r>
      <w:r>
        <w:t xml:space="preserve">. Troisièmement, le recours à la vente directe est</w:t>
      </w:r>
      <w:r>
        <w:t xml:space="preserve"> </w:t>
      </w:r>
      <w:r>
        <w:rPr>
          <w:b/>
          <w:bCs/>
        </w:rPr>
        <w:t xml:space="preserve">faiblement déterminé</w:t>
      </w:r>
      <w:r>
        <w:t xml:space="preserve"> </w:t>
      </w:r>
      <w:r>
        <w:t xml:space="preserve">par le profil sociodémographique (pseudo-R² = 0,022) : il traverse les catégories sociales, avec une sur-représentation seulement modérée des cadres et des budgets élevés. Ces résultats invitent à penser la vente directe non comme une pratique de niche socialement clivante, mais comme un</w:t>
      </w:r>
      <w:r>
        <w:t xml:space="preserve"> </w:t>
      </w:r>
      <w:r>
        <w:rPr>
          <w:b/>
          <w:bCs/>
        </w:rPr>
        <w:t xml:space="preserve">complément diffus</w:t>
      </w:r>
      <w:r>
        <w:t xml:space="preserve"> </w:t>
      </w:r>
      <w:r>
        <w:t xml:space="preserve">intégré à des stratégies d’approvisionnement plurielles.</w:t>
      </w:r>
    </w:p>
    <w:p>
      <w:pPr>
        <w:pStyle w:val="BodyText"/>
      </w:pPr>
      <w:r>
        <w:rPr>
          <w:b/>
          <w:bCs/>
        </w:rPr>
        <w:t xml:space="preserve">Mots-clés</w:t>
      </w:r>
      <w:r>
        <w:t xml:space="preserve"> </w:t>
      </w:r>
      <w:r>
        <w:t xml:space="preserve">: vente directe ; circuits courts ; approvisionnement alimentaire ; stratégies de canal ; comportement du consommateur ; France.</w:t>
      </w:r>
    </w:p>
    <w:p>
      <w:pPr>
        <w:pStyle w:val="BlockText"/>
      </w:pPr>
      <w:r>
        <w:rPr>
          <w:i/>
          <w:iCs/>
        </w:rPr>
        <w:t xml:space="preserve">Note d’intégrité (pré-Stade 2.5).</w:t>
      </w:r>
      <w:r>
        <w:t xml:space="preserve"> </w:t>
      </w:r>
      <w:r>
        <w:t xml:space="preserve">Tous les résultats chiffrés de cet article proviennent de l’analyse réelle de l’enquête 24407 (</w:t>
      </w:r>
      <w:r>
        <w:rPr>
          <w:rStyle w:val="VerbatimChar"/>
        </w:rPr>
        <w:t xml:space="preserve">code/</w:t>
      </w:r>
      <w:r>
        <w:t xml:space="preserve">,</w:t>
      </w:r>
      <w:r>
        <w:t xml:space="preserve"> </w:t>
      </w:r>
      <w:r>
        <w:rPr>
          <w:rStyle w:val="VerbatimChar"/>
        </w:rPr>
        <w:t xml:space="preserve">data/processed/</w:t>
      </w:r>
      <w:r>
        <w:t xml:space="preserve">). Les références bibliographiques citées sont des candidats sélectionnés au Stade 1 et</w:t>
      </w:r>
      <w:r>
        <w:t xml:space="preserve"> </w:t>
      </w:r>
      <w:r>
        <w:rPr>
          <w:b/>
          <w:bCs/>
        </w:rPr>
        <w:t xml:space="preserve">doivent encore être vérifiées une à une</w:t>
      </w:r>
      <w:r>
        <w:t xml:space="preserve"> </w:t>
      </w:r>
      <w:r>
        <w:t xml:space="preserve">(existence, exactitude) au Stade 2.5 ; elles sont signalées le cas échéant.</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L’achat de produits alimentaires en vente directe — sans intermédiaire ou avec un seul intermédiaire entre le producteur et le consommateur — connaît en France une visibilité croissante depuis le début des années 2000. Marchés de plein vent, magasins de producteurs, associations pour le maintien d’une agriculture paysanne (AMAP), vente à la ferme et, plus récemment, plateformes de précommande en ligne (de type</w:t>
      </w:r>
      <w:r>
        <w:t xml:space="preserve"> </w:t>
      </w:r>
      <w:r>
        <w:rPr>
          <w:i/>
          <w:iCs/>
        </w:rPr>
        <w:t xml:space="preserve">La Ruche qui dit Oui</w:t>
      </w:r>
      <w:r>
        <w:t xml:space="preserve">) composent un paysage de circuits courts dont la portée symbolique excède largement le poids économique</w:t>
      </w:r>
      <w:r>
        <w:t xml:space="preserve"> </w:t>
      </w:r>
      <w:r>
        <w:t xml:space="preserve">(Chiffoleau 2019; Praly et al. 2014)</w:t>
      </w:r>
      <w:r>
        <w:t xml:space="preserve">. Ces dispositifs sont régulièrement présentés comme des leviers de relocalisation alimentaire, de soutien au revenu agricole et de reconnexion entre mangeurs et producteurs. La crise sanitaire de 2020 a ravivé cet intérêt en plaçant la</w:t>
      </w:r>
      <w:r>
        <w:t xml:space="preserve"> </w:t>
      </w:r>
      <w:r>
        <w:rPr>
          <w:b/>
          <w:bCs/>
        </w:rPr>
        <w:t xml:space="preserve">résilience</w:t>
      </w:r>
      <w:r>
        <w:t xml:space="preserve"> </w:t>
      </w:r>
      <w:r>
        <w:t xml:space="preserve">des systèmes alimentaires courts au cœur du débat public et scientifique</w:t>
      </w:r>
      <w:r>
        <w:t xml:space="preserve"> </w:t>
      </w:r>
      <w:r>
        <w:t xml:space="preserve">(Chiffoleau et Dourian 2020)</w:t>
      </w:r>
      <w:r>
        <w:t xml:space="preserve">, avant que l’inflation alimentaire de 2022-2024 ne réintroduise la contrainte de prix comme variable centrale des arbitrages des ménages.</w:t>
      </w:r>
    </w:p>
    <w:p>
      <w:pPr>
        <w:pStyle w:val="BodyText"/>
      </w:pPr>
      <w:r>
        <w:t xml:space="preserve">La recherche francophone a abondamment documenté deux faces de ce phénomène. D’un côté, les</w:t>
      </w:r>
      <w:r>
        <w:t xml:space="preserve"> </w:t>
      </w:r>
      <w:r>
        <w:rPr>
          <w:b/>
          <w:bCs/>
        </w:rPr>
        <w:t xml:space="preserve">formes d’organisation</w:t>
      </w:r>
      <w:r>
        <w:t xml:space="preserve"> </w:t>
      </w:r>
      <w:r>
        <w:t xml:space="preserve">de l’offre : la diversité des dispositifs, leurs modèles économiques, leurs trajectoires d’institutionnalisation</w:t>
      </w:r>
      <w:r>
        <w:t xml:space="preserve"> </w:t>
      </w:r>
      <w:r>
        <w:t xml:space="preserve">(Maréchal 2008; Praly et al. 2014)</w:t>
      </w:r>
      <w:r>
        <w:t xml:space="preserve">. De l’autre, les</w:t>
      </w:r>
      <w:r>
        <w:t xml:space="preserve"> </w:t>
      </w:r>
      <w:r>
        <w:rPr>
          <w:b/>
          <w:bCs/>
        </w:rPr>
        <w:t xml:space="preserve">motivations</w:t>
      </w:r>
      <w:r>
        <w:t xml:space="preserve"> </w:t>
      </w:r>
      <w:r>
        <w:t xml:space="preserve">des consommateurs : quête de qualité et de fraîcheur, confiance dans le producteur, soutien à l’économie locale, sens éthique et environnemental</w:t>
      </w:r>
      <w:r>
        <w:t xml:space="preserve"> </w:t>
      </w:r>
      <w:r>
        <w:t xml:space="preserve">(Dubuisson-Quellier et al. 2011; Lamine et Perrot 2008)</w:t>
      </w:r>
      <w:r>
        <w:t xml:space="preserve">. Une revue systématique récente confirme la stabilité de ces motivations tout en soulignant le poids croissant des facteurs contextuels, de la confiance et de l’information — davantage que des seules variables sociodémographiques — dans le comportement d’achat en circuit court</w:t>
      </w:r>
      <w:r>
        <w:t xml:space="preserve"> </w:t>
      </w:r>
      <w:r>
        <w:t xml:space="preserve">(Herzig et Zander 2025)</w:t>
      </w:r>
      <w:r>
        <w:t xml:space="preserve">. Ces deux littératures, précieuses, partagent toutefois une limite : elles tendent à isoler la vente directe du reste des pratiques d’achat, comme si elle constituait un univers à part, porté par une population spécifique et animé de logiques propres.</w:t>
      </w:r>
    </w:p>
    <w:p>
      <w:pPr>
        <w:pStyle w:val="BodyText"/>
      </w:pPr>
      <w:r>
        <w:t xml:space="preserve">Or, du point de vue du ménage, la vente directe n’est presque jamais un</w:t>
      </w:r>
      <w:r>
        <w:t xml:space="preserve"> </w:t>
      </w:r>
      <w:r>
        <w:rPr>
          <w:b/>
          <w:bCs/>
        </w:rPr>
        <w:t xml:space="preserve">canal exclusif</w:t>
      </w:r>
      <w:r>
        <w:t xml:space="preserve">. Elle s’insère dans une combinaison de lieux et de modalités d’achat — l’hypermarché du samedi, le hard discount d’appoint, le marché du dimanche, l’artisan de quartier, le drive en ligne — que le foyer ajuste selon les produits, les saisons, le temps disponible et le budget. Cette combinaison, que la littérature en distribution nomme</w:t>
      </w:r>
      <w:r>
        <w:t xml:space="preserve"> </w:t>
      </w:r>
      <w:r>
        <w:rPr>
          <w:b/>
          <w:bCs/>
        </w:rPr>
        <w:t xml:space="preserve">portefeuille de canaux</w:t>
      </w:r>
      <w:r>
        <w:t xml:space="preserve"> </w:t>
      </w:r>
      <w:r>
        <w:t xml:space="preserve">ou</w:t>
      </w:r>
      <w:r>
        <w:t xml:space="preserve"> </w:t>
      </w:r>
      <w:r>
        <w:rPr>
          <w:i/>
          <w:iCs/>
        </w:rPr>
        <w:t xml:space="preserve">channel mix</w:t>
      </w:r>
      <w:r>
        <w:t xml:space="preserve"> </w:t>
      </w:r>
      <w:r>
        <w:t xml:space="preserve">(Volle 2012)</w:t>
      </w:r>
      <w:r>
        <w:t xml:space="preserve">, constitue précisément l’angle mort des travaux sur les circuits courts. Comprendre la place de la vente directe suppose alors de ne plus la regarder seule, mais</w:t>
      </w:r>
      <w:r>
        <w:t xml:space="preserve"> </w:t>
      </w:r>
      <w:r>
        <w:rPr>
          <w:b/>
          <w:bCs/>
        </w:rPr>
        <w:t xml:space="preserve">dans l’architecture des choix d’approvisionnement</w:t>
      </w:r>
      <w:r>
        <w:t xml:space="preserve"> </w:t>
      </w:r>
      <w:r>
        <w:t xml:space="preserve">du ménage.</w:t>
      </w:r>
    </w:p>
    <w:p>
      <w:pPr>
        <w:pStyle w:val="BodyText"/>
      </w:pPr>
      <w:r>
        <w:t xml:space="preserve">Cet article propose ce déplacement de focale. Il pose la question suivante :</w:t>
      </w:r>
    </w:p>
    <w:p>
      <w:pPr>
        <w:pStyle w:val="BlockText"/>
      </w:pPr>
      <w:r>
        <w:rPr>
          <w:b/>
          <w:bCs/>
        </w:rPr>
        <w:t xml:space="preserve">Quelle place les achats en vente directe occupent-ils dans les stratégies d’approvisionnement alimentaire des ménages français, et selon quelles logiques se combinent-ils avec les autres canaux de distribution ?</w:t>
      </w:r>
    </w:p>
    <w:p>
      <w:pPr>
        <w:pStyle w:val="FirstParagraph"/>
      </w:pPr>
      <w:r>
        <w:t xml:space="preserve">Quatre sous-questions précisent cette interrogation : (1) quels canaux les ménages combinent-ils, et à quelle fréquence ? (2) quelle part du budget alimentaire la vente directe capte-t-elle ? (3) peut-on identifier des</w:t>
      </w:r>
      <w:r>
        <w:t xml:space="preserve"> </w:t>
      </w:r>
      <w:r>
        <w:rPr>
          <w:b/>
          <w:bCs/>
        </w:rPr>
        <w:t xml:space="preserve">types</w:t>
      </w:r>
      <w:r>
        <w:t xml:space="preserve"> </w:t>
      </w:r>
      <w:r>
        <w:t xml:space="preserve">de stratégies d’approvisionnement, et à quels profils correspondent-ils ? (4) le recours à la vente directe est-il socialement déterminé ?</w:t>
      </w:r>
    </w:p>
    <w:p>
      <w:pPr>
        <w:pStyle w:val="BodyText"/>
      </w:pPr>
      <w:r>
        <w:t xml:space="preserve">Pour y répondre, nous mobilisons une enquête par questionnaire auprès d’un échantillon représentatif national de 1 025 ménages français. La contribution de l’article est double. Sur le plan</w:t>
      </w:r>
      <w:r>
        <w:t xml:space="preserve"> </w:t>
      </w:r>
      <w:r>
        <w:rPr>
          <w:b/>
          <w:bCs/>
        </w:rPr>
        <w:t xml:space="preserve">empirique</w:t>
      </w:r>
      <w:r>
        <w:t xml:space="preserve">, il fournit une mesure actualisée, sur données représentatives, de la diffusion et du poids budgétaire de treize canaux d’approvisionnement, et propose une typologie inédite des stratégies de combinaison. Sur le plan</w:t>
      </w:r>
      <w:r>
        <w:t xml:space="preserve"> </w:t>
      </w:r>
      <w:r>
        <w:rPr>
          <w:b/>
          <w:bCs/>
        </w:rPr>
        <w:t xml:space="preserve">conceptuel</w:t>
      </w:r>
      <w:r>
        <w:t xml:space="preserve">, il se situe au croisement de trois courants — le</w:t>
      </w:r>
      <w:r>
        <w:t xml:space="preserve"> </w:t>
      </w:r>
      <w:r>
        <w:rPr>
          <w:b/>
          <w:bCs/>
        </w:rPr>
        <w:t xml:space="preserve">comportement omnicanal</w:t>
      </w:r>
      <w:r>
        <w:t xml:space="preserve">, la</w:t>
      </w:r>
      <w:r>
        <w:t xml:space="preserve"> </w:t>
      </w:r>
      <w:r>
        <w:rPr>
          <w:b/>
          <w:bCs/>
        </w:rPr>
        <w:t xml:space="preserve">consommation alimentaire durable</w:t>
      </w:r>
      <w:r>
        <w:t xml:space="preserve"> </w:t>
      </w:r>
      <w:r>
        <w:t xml:space="preserve">et la</w:t>
      </w:r>
      <w:r>
        <w:t xml:space="preserve"> </w:t>
      </w:r>
      <w:r>
        <w:rPr>
          <w:b/>
          <w:bCs/>
        </w:rPr>
        <w:t xml:space="preserve">segmentation du consommateur</w:t>
      </w:r>
      <w:r>
        <w:t xml:space="preserve"> </w:t>
      </w:r>
      <w:r>
        <w:t xml:space="preserve">— dont il opère un déplacement commun : passer du</w:t>
      </w:r>
      <w:r>
        <w:t xml:space="preserve"> </w:t>
      </w:r>
      <w:r>
        <w:rPr>
          <w:b/>
          <w:bCs/>
        </w:rPr>
        <w:t xml:space="preserve">déclaratif</w:t>
      </w:r>
      <w:r>
        <w:t xml:space="preserve"> </w:t>
      </w:r>
      <w:r>
        <w:t xml:space="preserve">(attitudes, intentions, consentement à payer) à l’</w:t>
      </w:r>
      <w:r>
        <w:rPr>
          <w:b/>
          <w:bCs/>
        </w:rPr>
        <w:t xml:space="preserve">allocation budgétaire réelle</w:t>
      </w:r>
      <w:r>
        <w:t xml:space="preserve"> </w:t>
      </w:r>
      <w:r>
        <w:t xml:space="preserve">entre canaux. La vente directe s’y révèle moins une pratique de niche qu’un</w:t>
      </w:r>
      <w:r>
        <w:t xml:space="preserve"> </w:t>
      </w:r>
      <w:r>
        <w:rPr>
          <w:b/>
          <w:bCs/>
        </w:rPr>
        <w:t xml:space="preserve">complément diffus</w:t>
      </w:r>
      <w:r>
        <w:t xml:space="preserve"> </w:t>
      </w:r>
      <w:r>
        <w:t xml:space="preserve">inscrit dans des portefeuilles d’approvisionnement pluriels.</w:t>
      </w:r>
    </w:p>
    <w:bookmarkEnd w:id="10"/>
    <w:bookmarkStart w:id="16" w:name="cadre-conceptuel"/>
    <w:p>
      <w:pPr>
        <w:pStyle w:val="Heading1"/>
      </w:pPr>
      <w:r>
        <w:t xml:space="preserve">2. Cadre conceptuel</w:t>
      </w:r>
    </w:p>
    <w:p>
      <w:pPr>
        <w:pStyle w:val="FirstParagraph"/>
      </w:pPr>
      <w:r>
        <w:t xml:space="preserve">L’article se construit à la croisée de quatre littératures : la caractérisation des circuits courts, le comportement omnicanal en distribution, la consommation alimentaire durable et la segmentation du consommateur. Chacune est ici sollicitée pour un apport précis, résumé dans le tableau 1.</w:t>
      </w:r>
    </w:p>
    <w:bookmarkStart w:id="11" w:name="Xd16a5961338c61c8a2c80cf7fb31a921670bd03"/>
    <w:p>
      <w:pPr>
        <w:pStyle w:val="Heading2"/>
      </w:pPr>
      <w:r>
        <w:t xml:space="preserve">2.1 La vente directe, sous-ensemble des circuits courts</w:t>
      </w:r>
    </w:p>
    <w:p>
      <w:pPr>
        <w:pStyle w:val="FirstParagraph"/>
      </w:pPr>
      <w:r>
        <w:t xml:space="preserve">En France, la définition administrative des circuits courts retient la présence d’</w:t>
      </w:r>
      <w:r>
        <w:rPr>
          <w:b/>
          <w:bCs/>
        </w:rPr>
        <w:t xml:space="preserve">au plus un intermédiaire</w:t>
      </w:r>
      <w:r>
        <w:t xml:space="preserve"> </w:t>
      </w:r>
      <w:r>
        <w:t xml:space="preserve">entre le producteur et le consommateur</w:t>
      </w:r>
      <w:r>
        <w:t xml:space="preserve"> </w:t>
      </w:r>
      <w:r>
        <w:t xml:space="preserve">(Ministère de l’Agriculture et de l’Alimentation 2009)</w:t>
      </w:r>
      <w:r>
        <w:t xml:space="preserve">. La vente directe en constitue le sous-ensemble le plus strict — l’achat sans aucun intermédiaire — et recouvre une pluralité de dispositifs : vente à la ferme, marchés où le producteur vend lui-même, magasins de producteurs, AMAP, paniers en précommande. Cette pluralité de formes partage une caractéristique commune : la</w:t>
      </w:r>
      <w:r>
        <w:t xml:space="preserve"> </w:t>
      </w:r>
      <w:r>
        <w:rPr>
          <w:b/>
          <w:bCs/>
        </w:rPr>
        <w:t xml:space="preserve">relation directe</w:t>
      </w:r>
      <w:r>
        <w:t xml:space="preserve"> </w:t>
      </w:r>
      <w:r>
        <w:t xml:space="preserve">au producteur, porteuse d’un supplément de sens et d’information sur le produit</w:t>
      </w:r>
      <w:r>
        <w:t xml:space="preserve"> </w:t>
      </w:r>
      <w:r>
        <w:t xml:space="preserve">(Dubuisson-Quellier et al. 2011)</w:t>
      </w:r>
      <w:r>
        <w:t xml:space="preserve">. À l’échelle européenne, l’état des lieux socio-économique dressé par</w:t>
      </w:r>
      <w:r>
        <w:t xml:space="preserve"> </w:t>
      </w:r>
      <w:r>
        <w:t xml:space="preserve">Kneafsey et al. (2013)</w:t>
      </w:r>
      <w:r>
        <w:t xml:space="preserve"> </w:t>
      </w:r>
      <w:r>
        <w:t xml:space="preserve">confirme l’hétérogénéité de ces dispositifs et la faiblesse persistante des données représentatives sur leur diffusion réelle auprès des ménages — un déficit que la présente enquête vise à combler. Les travaux de synthèse français</w:t>
      </w:r>
      <w:r>
        <w:t xml:space="preserve"> </w:t>
      </w:r>
      <w:r>
        <w:t xml:space="preserve">(Chiffoleau 2019; Praly et al. 2014)</w:t>
      </w:r>
      <w:r>
        <w:t xml:space="preserve"> </w:t>
      </w:r>
      <w:r>
        <w:t xml:space="preserve">et la relecture post-pandémique de</w:t>
      </w:r>
      <w:r>
        <w:t xml:space="preserve"> </w:t>
      </w:r>
      <w:r>
        <w:t xml:space="preserve">Chiffoleau et Dourian (2020)</w:t>
      </w:r>
      <w:r>
        <w:t xml:space="preserve"> </w:t>
      </w:r>
      <w:r>
        <w:t xml:space="preserve">confirment par ailleurs une portée symbolique de la vente directe très supérieure à son poids économique.</w:t>
      </w:r>
    </w:p>
    <w:p>
      <w:pPr>
        <w:pStyle w:val="BodyText"/>
      </w:pPr>
      <w:r>
        <w:t xml:space="preserve">Dans cet article, nous opérationnalisons la vente directe de façon à capter cette relation directe</w:t>
      </w:r>
      <w:r>
        <w:t xml:space="preserve"> </w:t>
      </w:r>
      <w:r>
        <w:rPr>
          <w:b/>
          <w:bCs/>
        </w:rPr>
        <w:t xml:space="preserve">quel que soit le lieu</w:t>
      </w:r>
      <w:r>
        <w:t xml:space="preserve"> </w:t>
      </w:r>
      <w:r>
        <w:t xml:space="preserve">où elle s’exerce. Concrètement, est considéré comme pratiquant la vente directe tout ménage qui déclare soit acheter directement aux agriculteurs en dehors des marchés (AMAP, magasin de producteurs, ferme, paniers), soit acheter sur les marchés</w:t>
      </w:r>
      <w:r>
        <w:t xml:space="preserve"> </w:t>
      </w:r>
      <w:r>
        <w:rPr>
          <w:b/>
          <w:bCs/>
        </w:rPr>
        <w:t xml:space="preserve">directement auprès d’un producteur</w:t>
      </w:r>
      <w:r>
        <w:t xml:space="preserve"> </w:t>
      </w:r>
      <w:r>
        <w:t xml:space="preserve">(et non d’un revendeur). Cette double porte — détaillée en section 3 — évite de réduire la vente directe à ses formes les plus institutionnalisées et reconnaît l’importance des marchés comme premier lieu de contact direct avec les agriculteurs.</w:t>
      </w:r>
    </w:p>
    <w:bookmarkEnd w:id="11"/>
    <w:bookmarkStart w:id="12" w:name="Xc566e5f34d5c343ee11f2a4890d4e0921d125ce"/>
    <w:p>
      <w:pPr>
        <w:pStyle w:val="Heading2"/>
      </w:pPr>
      <w:r>
        <w:t xml:space="preserve">2.2 L’approvisionnement alimentaire comme comportement omnicanal</w:t>
      </w:r>
    </w:p>
    <w:p>
      <w:pPr>
        <w:pStyle w:val="FirstParagraph"/>
      </w:pPr>
      <w:r>
        <w:t xml:space="preserve">Un premier apport consiste à lire l’approvisionnement des ménages avec les outils du</w:t>
      </w:r>
      <w:r>
        <w:t xml:space="preserve"> </w:t>
      </w:r>
      <w:r>
        <w:rPr>
          <w:b/>
          <w:bCs/>
        </w:rPr>
        <w:t xml:space="preserve">comportement omnicanal</w:t>
      </w:r>
      <w:r>
        <w:t xml:space="preserve">, largement développés en distribution mais rarement appliqués à l’alimentation locale. La littérature a d’abord établi que les consommateurs ne sont pas fidèles à un format unique : ils</w:t>
      </w:r>
      <w:r>
        <w:t xml:space="preserve"> </w:t>
      </w:r>
      <w:r>
        <w:rPr>
          <w:b/>
          <w:bCs/>
        </w:rPr>
        <w:t xml:space="preserve">combinent plusieurs canaux</w:t>
      </w:r>
      <w:r>
        <w:t xml:space="preserve"> </w:t>
      </w:r>
      <w:r>
        <w:t xml:space="preserve">pour des fonctions distinctes (</w:t>
      </w:r>
      <w:r>
        <w:rPr>
          <w:i/>
          <w:iCs/>
        </w:rPr>
        <w:t xml:space="preserve">multichannel customer management</w:t>
      </w:r>
      <w:r>
        <w:t xml:space="preserve">), ce qui pose des enjeux spécifiques de coordination et d’allocation</w:t>
      </w:r>
      <w:r>
        <w:t xml:space="preserve"> </w:t>
      </w:r>
      <w:r>
        <w:t xml:space="preserve">(Neslin et al. 2006)</w:t>
      </w:r>
      <w:r>
        <w:t xml:space="preserve">. Le passage du</w:t>
      </w:r>
      <w:r>
        <w:t xml:space="preserve"> </w:t>
      </w:r>
      <w:r>
        <w:rPr>
          <w:i/>
          <w:iCs/>
        </w:rPr>
        <w:t xml:space="preserve">multicanal</w:t>
      </w:r>
      <w:r>
        <w:t xml:space="preserve"> </w:t>
      </w:r>
      <w:r>
        <w:t xml:space="preserve">à l’</w:t>
      </w:r>
      <w:r>
        <w:rPr>
          <w:i/>
          <w:iCs/>
        </w:rPr>
        <w:t xml:space="preserve">omnicanal</w:t>
      </w:r>
      <w:r>
        <w:t xml:space="preserve"> </w:t>
      </w:r>
      <w:r>
        <w:t xml:space="preserve">(Verhoef et al. 2015)</w:t>
      </w:r>
      <w:r>
        <w:t xml:space="preserve"> </w:t>
      </w:r>
      <w:r>
        <w:t xml:space="preserve">a ensuite déplacé l’attention de la juxtaposition des canaux vers leur</w:t>
      </w:r>
      <w:r>
        <w:t xml:space="preserve"> </w:t>
      </w:r>
      <w:r>
        <w:rPr>
          <w:b/>
          <w:bCs/>
        </w:rPr>
        <w:t xml:space="preserve">intégration</w:t>
      </w:r>
      <w:r>
        <w:t xml:space="preserve"> </w:t>
      </w:r>
      <w:r>
        <w:t xml:space="preserve">dans un parcours d’achat unifié, où le consommateur arbitre en continu entre points de vente selon le produit, le moment et le contexte. En France, les travaux sur le</w:t>
      </w:r>
      <w:r>
        <w:t xml:space="preserve"> </w:t>
      </w:r>
      <w:r>
        <w:rPr>
          <w:i/>
          <w:iCs/>
        </w:rPr>
        <w:t xml:space="preserve">cross-shopping</w:t>
      </w:r>
      <w:r>
        <w:t xml:space="preserve"> </w:t>
      </w:r>
      <w:r>
        <w:t xml:space="preserve">et la valeur du magasinage</w:t>
      </w:r>
      <w:r>
        <w:t xml:space="preserve"> </w:t>
      </w:r>
      <w:r>
        <w:t xml:space="preserve">(Volle 2012; Filser et Plichon 2004)</w:t>
      </w:r>
      <w:r>
        <w:t xml:space="preserve"> </w:t>
      </w:r>
      <w:r>
        <w:t xml:space="preserve">avaient déjà documenté cette pluralité des fréquentations.</w:t>
      </w:r>
    </w:p>
    <w:p>
      <w:pPr>
        <w:pStyle w:val="BodyText"/>
      </w:pPr>
      <w:r>
        <w:t xml:space="preserve">Transposé aux circuits courts, ce cadre suggère que la vente directe n’entre pas en concurrence frontale avec la grande distribution : elle</w:t>
      </w:r>
      <w:r>
        <w:t xml:space="preserve"> </w:t>
      </w:r>
      <w:r>
        <w:rPr>
          <w:b/>
          <w:bCs/>
        </w:rPr>
        <w:t xml:space="preserve">occupe une fonction particulière</w:t>
      </w:r>
      <w:r>
        <w:t xml:space="preserve"> </w:t>
      </w:r>
      <w:r>
        <w:t xml:space="preserve">dans un portefeuille de canaux — l’approvisionnement de certaines catégories de produits (légumes, œufs, fromages, viande) valorisées pour leur fraîcheur ou leur origine. La question pertinente n’est alors plus « pourquoi acheter en vente directe ? », mais «</w:t>
      </w:r>
      <w:r>
        <w:t xml:space="preserve"> </w:t>
      </w:r>
      <w:r>
        <w:rPr>
          <w:b/>
          <w:bCs/>
        </w:rPr>
        <w:t xml:space="preserve">quelle part et quelle fonction</w:t>
      </w:r>
      <w:r>
        <w:t xml:space="preserve"> </w:t>
      </w:r>
      <w:r>
        <w:t xml:space="preserve">la vente directe occupe-t-elle dans le portefeuille du ménage ? ». À notre connaissance, l’application explicite du cadre omnicanal à l’alimentation directe et locale reste inédite ; c’est le premier déplacement que propose l’article.</w:t>
      </w:r>
    </w:p>
    <w:bookmarkEnd w:id="12"/>
    <w:bookmarkStart w:id="13" w:name="Xfdaa762ad32ed6d53ea2505bfee84bf6f467048"/>
    <w:p>
      <w:pPr>
        <w:pStyle w:val="Heading2"/>
      </w:pPr>
      <w:r>
        <w:t xml:space="preserve">2.3 Consommation durable : de l’intention déclarée à l’allocation budgétaire</w:t>
      </w:r>
    </w:p>
    <w:p>
      <w:pPr>
        <w:pStyle w:val="FirstParagraph"/>
      </w:pPr>
      <w:r>
        <w:t xml:space="preserve">La littérature sur la</w:t>
      </w:r>
      <w:r>
        <w:t xml:space="preserve"> </w:t>
      </w:r>
      <w:r>
        <w:rPr>
          <w:b/>
          <w:bCs/>
        </w:rPr>
        <w:t xml:space="preserve">consommation alimentaire durable</w:t>
      </w:r>
      <w:r>
        <w:t xml:space="preserve"> </w:t>
      </w:r>
      <w:r>
        <w:t xml:space="preserve">a massivement documenté les motivations d’achat en circuit court — qualité, fraîcheur, confiance, soutien à l’économie locale, préoccupation environnementale et éthique</w:t>
      </w:r>
      <w:r>
        <w:t xml:space="preserve"> </w:t>
      </w:r>
      <w:r>
        <w:t xml:space="preserve">(Dubuisson-Quellier et al. 2011; Birch et al. 2018)</w:t>
      </w:r>
      <w:r>
        <w:t xml:space="preserve">. Plusieurs travaux mobilisent la théorie du comportement planifié pour relier attitudes, normes et intentions à l’achat, en insistant sur le rôle central de la</w:t>
      </w:r>
      <w:r>
        <w:t xml:space="preserve"> </w:t>
      </w:r>
      <w:r>
        <w:rPr>
          <w:b/>
          <w:bCs/>
        </w:rPr>
        <w:t xml:space="preserve">confiance</w:t>
      </w:r>
      <w:r>
        <w:t xml:space="preserve"> </w:t>
      </w:r>
      <w:r>
        <w:t xml:space="preserve">envers le producteur</w:t>
      </w:r>
      <w:r>
        <w:t xml:space="preserve"> </w:t>
      </w:r>
      <w:r>
        <w:t xml:space="preserve">(Giampietri et al. 2016, 2018)</w:t>
      </w:r>
      <w:r>
        <w:t xml:space="preserve">. Ces recherches partagent toutefois une limite bien identifiée : le fameux</w:t>
      </w:r>
      <w:r>
        <w:t xml:space="preserve"> </w:t>
      </w:r>
      <w:r>
        <w:rPr>
          <w:b/>
          <w:bCs/>
        </w:rPr>
        <w:t xml:space="preserve">écart entre attitude et comportement</w:t>
      </w:r>
      <w:r>
        <w:t xml:space="preserve"> </w:t>
      </w:r>
      <w:r>
        <w:t xml:space="preserve">(</w:t>
      </w:r>
      <w:r>
        <w:rPr>
          <w:i/>
          <w:iCs/>
        </w:rPr>
        <w:t xml:space="preserve">attitude-behaviour gap</w:t>
      </w:r>
      <w:r>
        <w:t xml:space="preserve">), selon lequel des attitudes très favorables ne se traduisent pas mécaniquement en achats effectifs</w:t>
      </w:r>
      <w:r>
        <w:t xml:space="preserve"> </w:t>
      </w:r>
      <w:r>
        <w:t xml:space="preserve">(Vermeir et Verbeke 2006)</w:t>
      </w:r>
      <w:r>
        <w:t xml:space="preserve">. La revue de</w:t>
      </w:r>
      <w:r>
        <w:t xml:space="preserve"> </w:t>
      </w:r>
      <w:r>
        <w:t xml:space="preserve">Feldmann et Hamm (2015)</w:t>
      </w:r>
      <w:r>
        <w:t xml:space="preserve"> </w:t>
      </w:r>
      <w:r>
        <w:t xml:space="preserve">précise d’ailleurs que, contrairement au bio, l’alimentation locale n’est pas d’abord perçue comme chère : les principaux freins sont l’</w:t>
      </w:r>
      <w:r>
        <w:rPr>
          <w:b/>
          <w:bCs/>
        </w:rPr>
        <w:t xml:space="preserve">inconvenance</w:t>
      </w:r>
      <w:r>
        <w:t xml:space="preserve"> </w:t>
      </w:r>
      <w:r>
        <w:t xml:space="preserve">et le</w:t>
      </w:r>
      <w:r>
        <w:t xml:space="preserve"> </w:t>
      </w:r>
      <w:r>
        <w:rPr>
          <w:b/>
          <w:bCs/>
        </w:rPr>
        <w:t xml:space="preserve">manque de disponibilité</w:t>
      </w:r>
      <w:r>
        <w:t xml:space="preserve"> </w:t>
      </w:r>
      <w:r>
        <w:t xml:space="preserve">— soit des obstacles pratiques plus que financiers.</w:t>
      </w:r>
    </w:p>
    <w:p>
      <w:pPr>
        <w:pStyle w:val="BodyText"/>
      </w:pPr>
      <w:r>
        <w:t xml:space="preserve">Or la plupart de ces études mesurent des</w:t>
      </w:r>
      <w:r>
        <w:t xml:space="preserve"> </w:t>
      </w:r>
      <w:r>
        <w:rPr>
          <w:b/>
          <w:bCs/>
        </w:rPr>
        <w:t xml:space="preserve">intentions</w:t>
      </w:r>
      <w:r>
        <w:t xml:space="preserve">, des</w:t>
      </w:r>
      <w:r>
        <w:t xml:space="preserve"> </w:t>
      </w:r>
      <w:r>
        <w:rPr>
          <w:b/>
          <w:bCs/>
        </w:rPr>
        <w:t xml:space="preserve">attitudes</w:t>
      </w:r>
      <w:r>
        <w:t xml:space="preserve"> </w:t>
      </w:r>
      <w:r>
        <w:t xml:space="preserve">ou un</w:t>
      </w:r>
      <w:r>
        <w:t xml:space="preserve"> </w:t>
      </w:r>
      <w:r>
        <w:rPr>
          <w:b/>
          <w:bCs/>
        </w:rPr>
        <w:t xml:space="preserve">consentement à payer</w:t>
      </w:r>
      <w:r>
        <w:t xml:space="preserve"> </w:t>
      </w:r>
      <w:r>
        <w:t xml:space="preserve">hypothétique, rarement des comportements d’achat effectifs. La méta-analyse de</w:t>
      </w:r>
      <w:r>
        <w:t xml:space="preserve"> </w:t>
      </w:r>
      <w:r>
        <w:t xml:space="preserve">Mustapa et Kallas (2025)</w:t>
      </w:r>
      <w:r>
        <w:t xml:space="preserve"> </w:t>
      </w:r>
      <w:r>
        <w:t xml:space="preserve">estime ainsi à +34,5 % la prime moyenne que les consommateurs se déclarent prêts à payer pour un produit de circuit court — un chiffre à confronter à la part de budget réellement consacrée. Le second déplacement de l’article consiste précisément à quitter le registre déclaratif pour mesurer l’</w:t>
      </w:r>
      <w:r>
        <w:rPr>
          <w:b/>
          <w:bCs/>
        </w:rPr>
        <w:t xml:space="preserve">allocation budgétaire réelle</w:t>
      </w:r>
      <w:r>
        <w:t xml:space="preserve"> </w:t>
      </w:r>
      <w:r>
        <w:t xml:space="preserve">entre canaux : combien, concrètement, le ménage consacre-t-il à la vente directe, et non combien il dit vouloir y consacrer.</w:t>
      </w:r>
    </w:p>
    <w:bookmarkEnd w:id="13"/>
    <w:bookmarkStart w:id="14" w:name="X17251f6d1ead555c1f0db4a56380563248f3e45"/>
    <w:p>
      <w:pPr>
        <w:pStyle w:val="Heading2"/>
      </w:pPr>
      <w:r>
        <w:t xml:space="preserve">2.4 Segmenter les acheteurs de circuits courts</w:t>
      </w:r>
    </w:p>
    <w:p>
      <w:pPr>
        <w:pStyle w:val="FirstParagraph"/>
      </w:pPr>
      <w:r>
        <w:t xml:space="preserve">Un troisième courant cherche à</w:t>
      </w:r>
      <w:r>
        <w:t xml:space="preserve"> </w:t>
      </w:r>
      <w:r>
        <w:rPr>
          <w:b/>
          <w:bCs/>
        </w:rPr>
        <w:t xml:space="preserve">segmenter</w:t>
      </w:r>
      <w:r>
        <w:t xml:space="preserve"> </w:t>
      </w:r>
      <w:r>
        <w:t xml:space="preserve">les consommateurs de produits locaux ou de circuits courts. Les revues récentes montrent que cette segmentation s’appuie le plus souvent sur des attitudes, des motivations ou des variables sociodémographiques</w:t>
      </w:r>
      <w:r>
        <w:t xml:space="preserve"> </w:t>
      </w:r>
      <w:r>
        <w:t xml:space="preserve">(Feldmann et Hamm 2015)</w:t>
      </w:r>
      <w:r>
        <w:t xml:space="preserve">. La revue systématique de</w:t>
      </w:r>
      <w:r>
        <w:t xml:space="preserve"> </w:t>
      </w:r>
      <w:r>
        <w:t xml:space="preserve">Herzig et Zander (2025)</w:t>
      </w:r>
      <w:r>
        <w:t xml:space="preserve"> </w:t>
      </w:r>
      <w:r>
        <w:t xml:space="preserve">conclut que ces variables sociodémographiques, bien que fréquemment étudiées, expliquent finalement peu le comportement, au profit de facteurs contextuels, informationnels et relationnels ; la méta-analyse de</w:t>
      </w:r>
      <w:r>
        <w:t xml:space="preserve"> </w:t>
      </w:r>
      <w:r>
        <w:t xml:space="preserve">Mustapa et Kallas (2025)</w:t>
      </w:r>
      <w:r>
        <w:t xml:space="preserve"> </w:t>
      </w:r>
      <w:r>
        <w:t xml:space="preserve">identifie de son côté des effets hétérogènes du genre, de l’âge, de l’éducation et de la région sur le consentement à payer. Ces approches segmentent donc les individus par leurs</w:t>
      </w:r>
      <w:r>
        <w:t xml:space="preserve"> </w:t>
      </w:r>
      <w:r>
        <w:rPr>
          <w:b/>
          <w:bCs/>
        </w:rPr>
        <w:t xml:space="preserve">dispositions</w:t>
      </w:r>
      <w:r>
        <w:t xml:space="preserve"> </w:t>
      </w:r>
      <w:r>
        <w:t xml:space="preserve">déclarées.</w:t>
      </w:r>
    </w:p>
    <w:p>
      <w:pPr>
        <w:pStyle w:val="BodyText"/>
      </w:pPr>
      <w:r>
        <w:t xml:space="preserve">L’article propose une segmentation d’une autre nature : fondée non sur des attitudes mais sur le</w:t>
      </w:r>
      <w:r>
        <w:t xml:space="preserve"> </w:t>
      </w:r>
      <w:r>
        <w:rPr>
          <w:b/>
          <w:bCs/>
        </w:rPr>
        <w:t xml:space="preserve">portefeuille de canaux effectivement mobilisé</w:t>
      </w:r>
      <w:r>
        <w:t xml:space="preserve"> </w:t>
      </w:r>
      <w:r>
        <w:t xml:space="preserve">et l’</w:t>
      </w:r>
      <w:r>
        <w:rPr>
          <w:b/>
          <w:bCs/>
        </w:rPr>
        <w:t xml:space="preserve">allocation réelle de budget</w:t>
      </w:r>
      <w:r>
        <w:t xml:space="preserve"> </w:t>
      </w:r>
      <w:r>
        <w:t xml:space="preserve">qui en résulte. La typologie construite en section 4 classe les ménages selon</w:t>
      </w:r>
      <w:r>
        <w:t xml:space="preserve"> </w:t>
      </w:r>
      <w:r>
        <w:rPr>
          <w:i/>
          <w:iCs/>
        </w:rPr>
        <w:t xml:space="preserve">ce qu’ils font</w:t>
      </w:r>
      <w:r>
        <w:t xml:space="preserve"> </w:t>
      </w:r>
      <w:r>
        <w:t xml:space="preserve">— la combinaison et l’intensité de fréquentation de treize canaux — plutôt que selon</w:t>
      </w:r>
      <w:r>
        <w:t xml:space="preserve"> </w:t>
      </w:r>
      <w:r>
        <w:rPr>
          <w:i/>
          <w:iCs/>
        </w:rPr>
        <w:t xml:space="preserve">ce qu’ils déclarent penser</w:t>
      </w:r>
      <w:r>
        <w:t xml:space="preserve">. C’est le troisième déplacement, complémentaire des deux précédents.</w:t>
      </w:r>
    </w:p>
    <w:bookmarkEnd w:id="14"/>
    <w:bookmarkStart w:id="15" w:name="positionnement-et-hypothèses"/>
    <w:p>
      <w:pPr>
        <w:pStyle w:val="Heading2"/>
      </w:pPr>
      <w:r>
        <w:t xml:space="preserve">2.5 Positionnement et hypothèses</w:t>
      </w:r>
    </w:p>
    <w:p>
      <w:pPr>
        <w:pStyle w:val="FirstParagraph"/>
      </w:pPr>
      <w:r>
        <w:rPr>
          <w:b/>
          <w:bCs/>
        </w:rPr>
        <w:t xml:space="preserve">Tableau 1.</w:t>
      </w:r>
      <w:r>
        <w:t xml:space="preserve"> </w:t>
      </w:r>
      <w:r>
        <w:t xml:space="preserve">Positionnement théorique de l’article.</w:t>
      </w:r>
    </w:p>
    <w:tbl>
      <w:tblPr>
        <w:tblStyle w:val="Table"/>
        <w:tblW w:type="pct" w:w="5000"/>
        <w:tblLayout w:type="fixed"/>
        <w:tblLook w:firstRow="1" w:lastRow="0" w:firstColumn="0" w:lastColumn="0" w:noHBand="0" w:noVBand="0" w:val="0020"/>
      </w:tblPr>
      <w:tblGrid>
        <w:gridCol w:w="1516"/>
        <w:gridCol w:w="2022"/>
        <w:gridCol w:w="2527"/>
        <w:gridCol w:w="1853"/>
      </w:tblGrid>
      <w:tr>
        <w:trPr>
          <w:tblHeader w:val="on"/>
        </w:trPr>
        <w:tc>
          <w:tcPr/>
          <w:p>
            <w:pPr>
              <w:pStyle w:val="Compact"/>
            </w:pPr>
            <w:r>
              <w:t xml:space="preserve">Courant mobilisé</w:t>
            </w:r>
          </w:p>
        </w:tc>
        <w:tc>
          <w:tcPr/>
          <w:p>
            <w:pPr>
              <w:pStyle w:val="Compact"/>
            </w:pPr>
            <w:r>
              <w:t xml:space="preserve">Références principales</w:t>
            </w:r>
          </w:p>
        </w:tc>
        <w:tc>
          <w:tcPr/>
          <w:p>
            <w:pPr>
              <w:pStyle w:val="Compact"/>
            </w:pPr>
            <w:r>
              <w:t xml:space="preserve">Ce que l’article en retient</w:t>
            </w:r>
          </w:p>
        </w:tc>
        <w:tc>
          <w:tcPr/>
          <w:p>
            <w:pPr>
              <w:pStyle w:val="Compact"/>
            </w:pPr>
            <w:r>
              <w:t xml:space="preserve">Déplacement proposé</w:t>
            </w:r>
          </w:p>
        </w:tc>
      </w:tr>
      <w:tr>
        <w:tc>
          <w:tcPr/>
          <w:p>
            <w:pPr>
              <w:pStyle w:val="Compact"/>
            </w:pPr>
            <w:r>
              <w:t xml:space="preserve">Comportement omnicanal</w:t>
            </w:r>
          </w:p>
        </w:tc>
        <w:tc>
          <w:tcPr/>
          <w:p>
            <w:pPr>
              <w:pStyle w:val="Compact"/>
            </w:pPr>
            <w:r>
              <w:t xml:space="preserve">Neslin et al. (2006) ; Verhoef et al. (2015)</w:t>
            </w:r>
          </w:p>
        </w:tc>
        <w:tc>
          <w:tcPr/>
          <w:p>
            <w:pPr>
              <w:pStyle w:val="Compact"/>
            </w:pPr>
            <w:r>
              <w:t xml:space="preserve">Le consommateur combine des canaux aux fonctions distinctes</w:t>
            </w:r>
          </w:p>
        </w:tc>
        <w:tc>
          <w:tcPr/>
          <w:p>
            <w:pPr>
              <w:pStyle w:val="Compact"/>
            </w:pPr>
            <w:r>
              <w:t xml:space="preserve">Application inédite à l’alimentation locale et directe</w:t>
            </w:r>
          </w:p>
        </w:tc>
      </w:tr>
      <w:tr>
        <w:tc>
          <w:tcPr/>
          <w:p>
            <w:pPr>
              <w:pStyle w:val="Compact"/>
            </w:pPr>
            <w:r>
              <w:t xml:space="preserve">Consommation alimentaire durable</w:t>
            </w:r>
          </w:p>
        </w:tc>
        <w:tc>
          <w:tcPr/>
          <w:p>
            <w:pPr>
              <w:pStyle w:val="Compact"/>
            </w:pPr>
            <w:r>
              <w:t xml:space="preserve">Vermeir &amp; Verbeke (2006) ; Giampietri et al. (2016, 2018) ; Birch et al. (2018)</w:t>
            </w:r>
          </w:p>
        </w:tc>
        <w:tc>
          <w:tcPr/>
          <w:p>
            <w:pPr>
              <w:pStyle w:val="Compact"/>
            </w:pPr>
            <w:r>
              <w:t xml:space="preserve">Attitudes favorables mais écart à l’acte (</w:t>
            </w:r>
            <w:r>
              <w:rPr>
                <w:i/>
                <w:iCs/>
              </w:rPr>
              <w:t xml:space="preserve">attitude-behaviour gap</w:t>
            </w:r>
            <w:r>
              <w:t xml:space="preserve">)</w:t>
            </w:r>
          </w:p>
        </w:tc>
        <w:tc>
          <w:tcPr/>
          <w:p>
            <w:pPr>
              <w:pStyle w:val="Compact"/>
            </w:pPr>
            <w:r>
              <w:t xml:space="preserve">Du déclaratif à l’</w:t>
            </w:r>
            <w:r>
              <w:rPr>
                <w:b/>
                <w:bCs/>
              </w:rPr>
              <w:t xml:space="preserve">allocation budgétaire réelle</w:t>
            </w:r>
          </w:p>
        </w:tc>
      </w:tr>
      <w:tr>
        <w:tc>
          <w:tcPr/>
          <w:p>
            <w:pPr>
              <w:pStyle w:val="Compact"/>
            </w:pPr>
            <w:r>
              <w:t xml:space="preserve">Segmentation du consommateur</w:t>
            </w:r>
          </w:p>
        </w:tc>
        <w:tc>
          <w:tcPr/>
          <w:p>
            <w:pPr>
              <w:pStyle w:val="Compact"/>
            </w:pPr>
            <w:r>
              <w:t xml:space="preserve">Feldmann &amp; Hamm (2015) ; Herzig &amp; Zander (2025) ; Mustapa &amp; Kallas (2025)</w:t>
            </w:r>
          </w:p>
        </w:tc>
        <w:tc>
          <w:tcPr/>
          <w:p>
            <w:pPr>
              <w:pStyle w:val="Compact"/>
            </w:pPr>
            <w:r>
              <w:t xml:space="preserve">Profils fondés sur attitudes, motivations, consentement à payer</w:t>
            </w:r>
          </w:p>
        </w:tc>
        <w:tc>
          <w:tcPr/>
          <w:p>
            <w:pPr>
              <w:pStyle w:val="Compact"/>
            </w:pPr>
            <w:r>
              <w:t xml:space="preserve">Segmentation par le</w:t>
            </w:r>
            <w:r>
              <w:t xml:space="preserve"> </w:t>
            </w:r>
            <w:r>
              <w:rPr>
                <w:b/>
                <w:bCs/>
              </w:rPr>
              <w:t xml:space="preserve">portefeuille de canaux</w:t>
            </w:r>
            <w:r>
              <w:t xml:space="preserve"> </w:t>
            </w:r>
            <w:r>
              <w:t xml:space="preserve">et le budget réel</w:t>
            </w:r>
          </w:p>
        </w:tc>
      </w:tr>
      <w:tr>
        <w:tc>
          <w:tcPr/>
          <w:p>
            <w:pPr>
              <w:pStyle w:val="Compact"/>
            </w:pPr>
            <w:r>
              <w:t xml:space="preserve">Circuits courts (UE / France)</w:t>
            </w:r>
          </w:p>
        </w:tc>
        <w:tc>
          <w:tcPr/>
          <w:p>
            <w:pPr>
              <w:pStyle w:val="Compact"/>
            </w:pPr>
            <w:r>
              <w:t xml:space="preserve">Kneafsey et al. (2013) ; Chiffoleau (2019, 2020) ; Praly et al. (2014)</w:t>
            </w:r>
          </w:p>
        </w:tc>
        <w:tc>
          <w:tcPr/>
          <w:p>
            <w:pPr>
              <w:pStyle w:val="Compact"/>
            </w:pPr>
            <w:r>
              <w:t xml:space="preserve">État socio-économique et formes d’organisation</w:t>
            </w:r>
          </w:p>
        </w:tc>
        <w:tc>
          <w:tcPr/>
          <w:p>
            <w:pPr>
              <w:pStyle w:val="Compact"/>
            </w:pPr>
            <w:r>
              <w:t xml:space="preserve">Mesure représentative nationale actualisée,</w:t>
            </w:r>
            <w:r>
              <w:t xml:space="preserve"> </w:t>
            </w:r>
            <w:r>
              <w:rPr>
                <w:b/>
                <w:bCs/>
              </w:rPr>
              <w:t xml:space="preserve">côté ménage</w:t>
            </w:r>
          </w:p>
        </w:tc>
      </w:tr>
    </w:tbl>
    <w:p>
      <w:pPr>
        <w:pStyle w:val="BodyText"/>
      </w:pPr>
      <w:r>
        <w:t xml:space="preserve">De ce positionnement découlent trois hypothèses, que l’analyse empirique met à l’épreuve.</w:t>
      </w:r>
    </w:p>
    <w:p>
      <w:pPr>
        <w:numPr>
          <w:ilvl w:val="0"/>
          <w:numId w:val="1001"/>
        </w:numPr>
      </w:pPr>
      <w:r>
        <w:rPr>
          <w:b/>
          <w:bCs/>
        </w:rPr>
        <w:t xml:space="preserve">H1 — Complémentarité, non substitution.</w:t>
      </w:r>
      <w:r>
        <w:t xml:space="preserve"> </w:t>
      </w:r>
      <w:r>
        <w:t xml:space="preserve">La vente directe occupe rarement la place de canal principal ; elle s’inscrit dans des stratégies de complémentarité ciblée, avec une diffusion potentiellement large mais une part de budget faible.</w:t>
      </w:r>
    </w:p>
    <w:p>
      <w:pPr>
        <w:numPr>
          <w:ilvl w:val="0"/>
          <w:numId w:val="1001"/>
        </w:numPr>
      </w:pPr>
      <w:r>
        <w:rPr>
          <w:b/>
          <w:bCs/>
        </w:rPr>
        <w:t xml:space="preserve">H2 — Transversalité sociale.</w:t>
      </w:r>
      <w:r>
        <w:t xml:space="preserve"> </w:t>
      </w:r>
      <w:r>
        <w:t xml:space="preserve">Parce qu’elle remplit une fonction d’appoint accessible par de multiples lieux (dont les marchés), la pratique de la vente directe est</w:t>
      </w:r>
      <w:r>
        <w:t xml:space="preserve"> </w:t>
      </w:r>
      <w:r>
        <w:rPr>
          <w:b/>
          <w:bCs/>
        </w:rPr>
        <w:t xml:space="preserve">faiblement déterminée</w:t>
      </w:r>
      <w:r>
        <w:t xml:space="preserve"> </w:t>
      </w:r>
      <w:r>
        <w:t xml:space="preserve">par le profil sociodémographique : elle traverse les catégories plutôt qu’elle ne distingue un groupe social.</w:t>
      </w:r>
    </w:p>
    <w:p>
      <w:pPr>
        <w:numPr>
          <w:ilvl w:val="0"/>
          <w:numId w:val="1001"/>
        </w:numPr>
      </w:pPr>
      <w:r>
        <w:rPr>
          <w:b/>
          <w:bCs/>
        </w:rPr>
        <w:t xml:space="preserve">H3 — Écart intention/budget.</w:t>
      </w:r>
      <w:r>
        <w:t xml:space="preserve"> </w:t>
      </w:r>
      <w:r>
        <w:t xml:space="preserve">Conformément à l’</w:t>
      </w:r>
      <w:r>
        <w:rPr>
          <w:i/>
          <w:iCs/>
        </w:rPr>
        <w:t xml:space="preserve">attitude-behaviour gap</w:t>
      </w:r>
      <w:r>
        <w:t xml:space="preserve">, l’adhésion déclarée à la vente directe (motivations, diffusion) est nettement plus forte que son poids dans le budget effectif : beaucoup l’essaient, peu l’installent.</w:t>
      </w:r>
    </w:p>
    <w:bookmarkEnd w:id="15"/>
    <w:bookmarkEnd w:id="16"/>
    <w:bookmarkStart w:id="20" w:name="méthode"/>
    <w:p>
      <w:pPr>
        <w:pStyle w:val="Heading1"/>
      </w:pPr>
      <w:r>
        <w:t xml:space="preserve">3. Méthode</w:t>
      </w:r>
    </w:p>
    <w:bookmarkStart w:id="17" w:name="données-et-échantillon"/>
    <w:p>
      <w:pPr>
        <w:pStyle w:val="Heading2"/>
      </w:pPr>
      <w:r>
        <w:t xml:space="preserve">3.1 Données et échantillon</w:t>
      </w:r>
    </w:p>
    <w:p>
      <w:pPr>
        <w:pStyle w:val="FirstParagraph"/>
      </w:pPr>
      <w:r>
        <w:t xml:space="preserve">L’étude repose sur une enquête par questionnaire (référence 24407) administrée à un</w:t>
      </w:r>
      <w:r>
        <w:t xml:space="preserve"> </w:t>
      </w:r>
      <w:r>
        <w:rPr>
          <w:b/>
          <w:bCs/>
        </w:rPr>
        <w:t xml:space="preserve">échantillon représentatif national de 1 025 ménages français</w:t>
      </w:r>
      <w:r>
        <w:t xml:space="preserve">, construit par la méthode des quotas (sexe, âge, catégorie socioprofessionnelle, région et taille d’agglomération). Seuls les répondants déclarant être responsables, au moins partiellement, des achats alimentaires de leur foyer ont été retenus (filtre de qualification). L’échantillon compte 52,6 % de femmes ; la structure par âge est équilibrée, avec une part importante de 65 ans et plus (26,0 %), conforme à la démographie française ; les employés et ouvriers (30,0 %) et les retraités (28,1 %) constituent les deux principales catégories socioprofessionnelles. Le budget alimentaire mensuel médian déclaré du foyer s’établit à 400 € (moyenne 436 €). Un sur-échantillon de 75 répondants, fourni séparément, a été exclu afin de préserver la représentativité nationale.</w:t>
      </w:r>
    </w:p>
    <w:p>
      <w:pPr>
        <w:pStyle w:val="BodyText"/>
      </w:pPr>
      <w:r>
        <w:t xml:space="preserve">La qualité des données est élevée : les variables clés (sexe, âge, CSP, budget, fréquentation des canaux) ne présentent aucune valeur manquante, et les parts de budget déclarées par canal somment exactement à 100 % pour l’ensemble des répondants, ce qui atteste de la cohérence du protocole de recueil.</w:t>
      </w:r>
    </w:p>
    <w:bookmarkEnd w:id="17"/>
    <w:bookmarkStart w:id="18" w:name="variables"/>
    <w:p>
      <w:pPr>
        <w:pStyle w:val="Heading2"/>
      </w:pPr>
      <w:r>
        <w:t xml:space="preserve">3.2 Variables</w:t>
      </w:r>
    </w:p>
    <w:p>
      <w:pPr>
        <w:pStyle w:val="FirstParagraph"/>
      </w:pPr>
      <w:r>
        <w:rPr>
          <w:b/>
          <w:bCs/>
        </w:rPr>
        <w:t xml:space="preserve">Fréquentation des canaux.</w:t>
      </w:r>
      <w:r>
        <w:t xml:space="preserve"> </w:t>
      </w:r>
      <w:r>
        <w:t xml:space="preserve">Pour chacun des treize canaux ou modalités d’achat (tableau 2), le répondant a indiqué sa fréquence d’achat sur une échelle ordinale en sept positions, de « plusieurs fois par semaine » à « jamais ». Nous en dérivons deux indicateurs : la</w:t>
      </w:r>
      <w:r>
        <w:t xml:space="preserve"> </w:t>
      </w:r>
      <w:r>
        <w:rPr>
          <w:b/>
          <w:bCs/>
        </w:rPr>
        <w:t xml:space="preserve">pénétration</w:t>
      </w:r>
      <w:r>
        <w:t xml:space="preserve"> </w:t>
      </w:r>
      <w:r>
        <w:t xml:space="preserve">(le ménage fréquente le canal, c’est-à-dire ne répond pas « jamais ») et l’</w:t>
      </w:r>
      <w:r>
        <w:rPr>
          <w:b/>
          <w:bCs/>
        </w:rPr>
        <w:t xml:space="preserve">usage régulier</w:t>
      </w:r>
      <w:r>
        <w:t xml:space="preserve"> </w:t>
      </w:r>
      <w:r>
        <w:t xml:space="preserve">(au moins une fois par mois).</w:t>
      </w:r>
    </w:p>
    <w:p>
      <w:pPr>
        <w:pStyle w:val="BodyText"/>
      </w:pPr>
      <w:r>
        <w:rPr>
          <w:b/>
          <w:bCs/>
        </w:rPr>
        <w:t xml:space="preserve">Part de budget.</w:t>
      </w:r>
      <w:r>
        <w:t xml:space="preserve"> </w:t>
      </w:r>
      <w:r>
        <w:t xml:space="preserve">Pour chaque canal fréquenté, le répondant a estimé la part (en %) de son budget alimentaire mensuel qui y est consacrée.</w:t>
      </w:r>
    </w:p>
    <w:p>
      <w:pPr>
        <w:pStyle w:val="BodyText"/>
      </w:pPr>
      <w:r>
        <w:rPr>
          <w:b/>
          <w:bCs/>
        </w:rPr>
        <w:t xml:space="preserve">Vente directe.</w:t>
      </w:r>
      <w:r>
        <w:t xml:space="preserve"> </w:t>
      </w:r>
      <w:r>
        <w:t xml:space="preserve">Conformément à la section 2.1, un ménage est codé comme pratiquant la vente directe s’il satisfait au moins l’une des deux conditions suivantes : (a) il achète directement aux agriculteurs en dehors des marchés (canal 7, fréquence différente de « jamais ») ; ou (b) il déclare acheter sur les marchés des produits</w:t>
      </w:r>
      <w:r>
        <w:t xml:space="preserve"> </w:t>
      </w:r>
      <w:r>
        <w:rPr>
          <w:b/>
          <w:bCs/>
        </w:rPr>
        <w:t xml:space="preserve">vendus directement par l’agriculteur</w:t>
      </w:r>
      <w:r>
        <w:t xml:space="preserve">, et en avoir acheté au cours du mois précédant l’enquête. Cette définition combine donc un canal dédié et une pratique transversale aux marchés.</w:t>
      </w:r>
    </w:p>
    <w:p>
      <w:pPr>
        <w:pStyle w:val="BodyText"/>
      </w:pPr>
      <w:r>
        <w:rPr>
          <w:b/>
          <w:bCs/>
        </w:rPr>
        <w:t xml:space="preserve">Variables sociodémographiques.</w:t>
      </w:r>
      <w:r>
        <w:t xml:space="preserve"> </w:t>
      </w:r>
      <w:r>
        <w:t xml:space="preserve">Sexe, âge (six tranches), catégorie socioprofessionnelle (six postes recodés), budget alimentaire mensuel, et indicateurs géographiques (région, taille d’unité urbaine).</w:t>
      </w:r>
    </w:p>
    <w:bookmarkEnd w:id="18"/>
    <w:bookmarkStart w:id="19" w:name="analyses"/>
    <w:p>
      <w:pPr>
        <w:pStyle w:val="Heading2"/>
      </w:pPr>
      <w:r>
        <w:t xml:space="preserve">3.3 Analyses</w:t>
      </w:r>
    </w:p>
    <w:p>
      <w:pPr>
        <w:pStyle w:val="FirstParagraph"/>
      </w:pPr>
      <w:r>
        <w:t xml:space="preserve">Le plan d’analyse comprend six volets. (A1) Une</w:t>
      </w:r>
      <w:r>
        <w:t xml:space="preserve"> </w:t>
      </w:r>
      <w:r>
        <w:rPr>
          <w:b/>
          <w:bCs/>
        </w:rPr>
        <w:t xml:space="preserve">description du portefeuille</w:t>
      </w:r>
      <w:r>
        <w:t xml:space="preserve"> </w:t>
      </w:r>
      <w:r>
        <w:t xml:space="preserve">: pénétration, usage régulier et part de budget de chaque canal. (A2) Un</w:t>
      </w:r>
      <w:r>
        <w:t xml:space="preserve"> </w:t>
      </w:r>
      <w:r>
        <w:rPr>
          <w:b/>
          <w:bCs/>
        </w:rPr>
        <w:t xml:space="preserve">focus sur la vente directe</w:t>
      </w:r>
      <w:r>
        <w:t xml:space="preserve"> </w:t>
      </w:r>
      <w:r>
        <w:t xml:space="preserve">: décomposition de la pratique selon ses deux portes et distribution des fréquences. (A3) Une</w:t>
      </w:r>
      <w:r>
        <w:t xml:space="preserve"> </w:t>
      </w:r>
      <w:r>
        <w:rPr>
          <w:b/>
          <w:bCs/>
        </w:rPr>
        <w:t xml:space="preserve">typologie des stratégies d’approvisionnement</w:t>
      </w:r>
      <w:r>
        <w:t xml:space="preserve">, construite par</w:t>
      </w:r>
      <w:r>
        <w:t xml:space="preserve"> </w:t>
      </w:r>
      <w:r>
        <w:rPr>
          <w:b/>
          <w:bCs/>
        </w:rPr>
        <w:t xml:space="preserve">analyse des correspondances multiples (ACM)</w:t>
      </w:r>
      <w:r>
        <w:t xml:space="preserve"> </w:t>
      </w:r>
      <w:r>
        <w:t xml:space="preserve">sur la fréquence (recodée en trois niveaux : régulier, occasionnel, jamais) des onze canaux de consommation courante, suivie d’une</w:t>
      </w:r>
      <w:r>
        <w:t xml:space="preserve"> </w:t>
      </w:r>
      <w:r>
        <w:rPr>
          <w:b/>
          <w:bCs/>
        </w:rPr>
        <w:t xml:space="preserve">classification ascendante hiérarchique (CAH)</w:t>
      </w:r>
      <w:r>
        <w:t xml:space="preserve"> </w:t>
      </w:r>
      <w:r>
        <w:t xml:space="preserve">selon la méthode de Ward sur les cinq premiers axes factoriels. Le nombre de classes a été arrêté à cinq sur la base du coefficient de silhouette et de l’interprétabilité des profils. (A4) Une</w:t>
      </w:r>
      <w:r>
        <w:t xml:space="preserve"> </w:t>
      </w:r>
      <w:r>
        <w:rPr>
          <w:b/>
          <w:bCs/>
        </w:rPr>
        <w:t xml:space="preserve">caractérisation sociodémographique</w:t>
      </w:r>
      <w:r>
        <w:t xml:space="preserve"> </w:t>
      </w:r>
      <w:r>
        <w:t xml:space="preserve">des classes (tris croisés, tests du χ²). (A5) Une</w:t>
      </w:r>
      <w:r>
        <w:t xml:space="preserve"> </w:t>
      </w:r>
      <w:r>
        <w:rPr>
          <w:b/>
          <w:bCs/>
        </w:rPr>
        <w:t xml:space="preserve">régression logistique</w:t>
      </w:r>
      <w:r>
        <w:t xml:space="preserve"> </w:t>
      </w:r>
      <w:r>
        <w:t xml:space="preserve">modélisant la probabilité de pratiquer la vente directe en fonction des variables sociodémographiques. (A6) Une analyse des</w:t>
      </w:r>
      <w:r>
        <w:t xml:space="preserve"> </w:t>
      </w:r>
      <w:r>
        <w:rPr>
          <w:b/>
          <w:bCs/>
        </w:rPr>
        <w:t xml:space="preserve">motivations</w:t>
      </w:r>
      <w:r>
        <w:t xml:space="preserve"> </w:t>
      </w:r>
      <w:r>
        <w:t xml:space="preserve">d’achat sur les marchés (questions de classement). L’ensemble des traitements a été réalisé sous Python (</w:t>
      </w:r>
      <w:r>
        <w:rPr>
          <w:rStyle w:val="VerbatimChar"/>
        </w:rPr>
        <w:t xml:space="preserve">pandas</w:t>
      </w:r>
      <w:r>
        <w:t xml:space="preserve">,</w:t>
      </w:r>
      <w:r>
        <w:t xml:space="preserve"> </w:t>
      </w:r>
      <w:r>
        <w:rPr>
          <w:rStyle w:val="VerbatimChar"/>
        </w:rPr>
        <w:t xml:space="preserve">scikit-learn</w:t>
      </w:r>
      <w:r>
        <w:t xml:space="preserve">,</w:t>
      </w:r>
      <w:r>
        <w:t xml:space="preserve"> </w:t>
      </w:r>
      <w:r>
        <w:rPr>
          <w:rStyle w:val="VerbatimChar"/>
        </w:rPr>
        <w:t xml:space="preserve">statsmodels</w:t>
      </w:r>
      <w:r>
        <w:t xml:space="preserve">,</w:t>
      </w:r>
      <w:r>
        <w:t xml:space="preserve"> </w:t>
      </w:r>
      <w:r>
        <w:rPr>
          <w:rStyle w:val="VerbatimChar"/>
        </w:rPr>
        <w:t xml:space="preserve">prince</w:t>
      </w:r>
      <w:r>
        <w:t xml:space="preserve">) et est intégralement reproductible à partir des scripts versionnés.</w:t>
      </w:r>
    </w:p>
    <w:bookmarkEnd w:id="19"/>
    <w:bookmarkEnd w:id="20"/>
    <w:bookmarkStart w:id="42" w:name="résultats"/>
    <w:p>
      <w:pPr>
        <w:pStyle w:val="Heading1"/>
      </w:pPr>
      <w:r>
        <w:t xml:space="preserve">4. Résultats</w:t>
      </w:r>
    </w:p>
    <w:bookmarkStart w:id="24" w:name="le-portefeuille-de-canaux-des-ménages"/>
    <w:p>
      <w:pPr>
        <w:pStyle w:val="Heading2"/>
      </w:pPr>
      <w:r>
        <w:t xml:space="preserve">4.1 Le portefeuille de canaux des ménages</w:t>
      </w:r>
    </w:p>
    <w:p>
      <w:pPr>
        <w:pStyle w:val="FirstParagraph"/>
      </w:pPr>
      <w:r>
        <w:t xml:space="preserve">Les ménages français mobilisent en moyenne</w:t>
      </w:r>
      <w:r>
        <w:t xml:space="preserve"> </w:t>
      </w:r>
      <w:r>
        <w:rPr>
          <w:b/>
          <w:bCs/>
        </w:rPr>
        <w:t xml:space="preserve">6,8 canaux</w:t>
      </w:r>
      <w:r>
        <w:t xml:space="preserve"> </w:t>
      </w:r>
      <w:r>
        <w:t xml:space="preserve">d’approvisionnement différents. Le tableau 2 et la figure 1 en révèlent la hiérarchie. L’</w:t>
      </w:r>
      <w:r>
        <w:rPr>
          <w:b/>
          <w:bCs/>
        </w:rPr>
        <w:t xml:space="preserve">hypermarché-supermarché</w:t>
      </w:r>
      <w:r>
        <w:t xml:space="preserve"> </w:t>
      </w:r>
      <w:r>
        <w:t xml:space="preserve">domine sans partage : il est fréquenté par 99,1 % des ménages, dont 97,5 % au moins une fois par mois, et capte à lui seul</w:t>
      </w:r>
      <w:r>
        <w:t xml:space="preserve"> </w:t>
      </w:r>
      <w:r>
        <w:rPr>
          <w:b/>
          <w:bCs/>
        </w:rPr>
        <w:t xml:space="preserve">58,5 % du budget</w:t>
      </w:r>
      <w:r>
        <w:t xml:space="preserve"> </w:t>
      </w:r>
      <w:r>
        <w:t xml:space="preserve">alimentaire moyen. Viennent ensuite, par leur poids budgétaire, le</w:t>
      </w:r>
      <w:r>
        <w:t xml:space="preserve"> </w:t>
      </w:r>
      <w:r>
        <w:rPr>
          <w:b/>
          <w:bCs/>
        </w:rPr>
        <w:t xml:space="preserve">hard discount</w:t>
      </w:r>
      <w:r>
        <w:t xml:space="preserve"> </w:t>
      </w:r>
      <w:r>
        <w:t xml:space="preserve">(15,6 % du budget), les</w:t>
      </w:r>
      <w:r>
        <w:t xml:space="preserve"> </w:t>
      </w:r>
      <w:r>
        <w:rPr>
          <w:b/>
          <w:bCs/>
        </w:rPr>
        <w:t xml:space="preserve">artisans et commerçants spécialisés</w:t>
      </w:r>
      <w:r>
        <w:t xml:space="preserve"> </w:t>
      </w:r>
      <w:r>
        <w:t xml:space="preserve">(boucher, boulanger, primeur : 7,6 %) et le</w:t>
      </w:r>
      <w:r>
        <w:t xml:space="preserve"> </w:t>
      </w:r>
      <w:r>
        <w:rPr>
          <w:b/>
          <w:bCs/>
        </w:rPr>
        <w:t xml:space="preserve">marché</w:t>
      </w:r>
      <w:r>
        <w:t xml:space="preserve"> </w:t>
      </w:r>
      <w:r>
        <w:t xml:space="preserve">(4,8 %). Les canaux de circuits courts proprement dits — vente directe aux agriculteurs (1,5 %), paniers via intermédiaire (0,4 %) — ne pèsent qu’à la marge.</w:t>
      </w:r>
    </w:p>
    <w:p>
      <w:pPr>
        <w:pStyle w:val="BodyText"/>
      </w:pPr>
      <w:r>
        <w:rPr>
          <w:b/>
          <w:bCs/>
        </w:rPr>
        <w:t xml:space="preserve">Tableau 2.</w:t>
      </w:r>
      <w:r>
        <w:t xml:space="preserve"> </w:t>
      </w:r>
      <w:r>
        <w:t xml:space="preserve">Pénétration, usage régulier et part de budget des treize canaux (N = 1 025).</w:t>
      </w:r>
    </w:p>
    <w:tbl>
      <w:tblPr>
        <w:tblStyle w:val="Table"/>
        <w:tblW w:type="pct" w:w="5000"/>
        <w:tblLayout w:type="fixed"/>
        <w:tblLook w:firstRow="1" w:lastRow="0" w:firstColumn="0" w:lastColumn="0" w:noHBand="0" w:noVBand="0" w:val="0020"/>
      </w:tblPr>
      <w:tblGrid>
        <w:gridCol w:w="505"/>
        <w:gridCol w:w="1179"/>
        <w:gridCol w:w="2190"/>
        <w:gridCol w:w="1853"/>
        <w:gridCol w:w="2190"/>
      </w:tblGrid>
      <w:tr>
        <w:trPr>
          <w:tblHeader w:val="on"/>
        </w:trPr>
        <w:tc>
          <w:tcPr/>
          <w:p>
            <w:pPr>
              <w:pStyle w:val="Compact"/>
            </w:pPr>
            <w:r>
              <w:t xml:space="preserve">#</w:t>
            </w:r>
          </w:p>
        </w:tc>
        <w:tc>
          <w:tcPr/>
          <w:p>
            <w:pPr>
              <w:pStyle w:val="Compact"/>
            </w:pPr>
            <w:r>
              <w:t xml:space="preserve">Canal</w:t>
            </w:r>
          </w:p>
        </w:tc>
        <w:tc>
          <w:tcPr/>
          <w:p>
            <w:pPr>
              <w:pStyle w:val="Compact"/>
            </w:pPr>
            <w:r>
              <w:t xml:space="preserve">Pénétration</w:t>
            </w:r>
          </w:p>
        </w:tc>
        <w:tc>
          <w:tcPr/>
          <w:p>
            <w:pPr>
              <w:pStyle w:val="Compact"/>
            </w:pPr>
            <w:r>
              <w:t xml:space="preserve">Réguliers</w:t>
            </w:r>
          </w:p>
        </w:tc>
        <w:tc>
          <w:tcPr/>
          <w:p>
            <w:pPr>
              <w:pStyle w:val="Compact"/>
            </w:pPr>
            <w:r>
              <w:t xml:space="preserve">Part budget</w:t>
            </w:r>
          </w:p>
        </w:tc>
      </w:tr>
      <w:tr>
        <w:tc>
          <w:tcPr/>
          <w:p>
            <w:pPr>
              <w:pStyle w:val="Compact"/>
            </w:pPr>
            <w:r>
              <w:t xml:space="preserve">1</w:t>
            </w:r>
          </w:p>
        </w:tc>
        <w:tc>
          <w:tcPr/>
          <w:p>
            <w:pPr>
              <w:pStyle w:val="Compact"/>
            </w:pPr>
            <w:r>
              <w:t xml:space="preserve">Hyper/super/supérette (+ drive)</w:t>
            </w:r>
          </w:p>
        </w:tc>
        <w:tc>
          <w:tcPr/>
          <w:p>
            <w:pPr>
              <w:pStyle w:val="Compact"/>
            </w:pPr>
            <w:r>
              <w:t xml:space="preserve">99,1 %</w:t>
            </w:r>
          </w:p>
        </w:tc>
        <w:tc>
          <w:tcPr/>
          <w:p>
            <w:pPr>
              <w:pStyle w:val="Compact"/>
            </w:pPr>
            <w:r>
              <w:t xml:space="preserve">97,5 %</w:t>
            </w:r>
          </w:p>
        </w:tc>
        <w:tc>
          <w:tcPr/>
          <w:p>
            <w:pPr>
              <w:pStyle w:val="Compact"/>
            </w:pPr>
            <w:r>
              <w:t xml:space="preserve">58,5 %</w:t>
            </w:r>
          </w:p>
        </w:tc>
      </w:tr>
      <w:tr>
        <w:tc>
          <w:tcPr/>
          <w:p>
            <w:pPr>
              <w:pStyle w:val="Compact"/>
            </w:pPr>
            <w:r>
              <w:t xml:space="preserve">2</w:t>
            </w:r>
          </w:p>
        </w:tc>
        <w:tc>
          <w:tcPr/>
          <w:p>
            <w:pPr>
              <w:pStyle w:val="Compact"/>
            </w:pPr>
            <w:r>
              <w:t xml:space="preserve">Hard discount</w:t>
            </w:r>
          </w:p>
        </w:tc>
        <w:tc>
          <w:tcPr/>
          <w:p>
            <w:pPr>
              <w:pStyle w:val="Compact"/>
            </w:pPr>
            <w:r>
              <w:t xml:space="preserve">86,5 %</w:t>
            </w:r>
          </w:p>
        </w:tc>
        <w:tc>
          <w:tcPr/>
          <w:p>
            <w:pPr>
              <w:pStyle w:val="Compact"/>
            </w:pPr>
            <w:r>
              <w:t xml:space="preserve">64,2 %</w:t>
            </w:r>
          </w:p>
        </w:tc>
        <w:tc>
          <w:tcPr/>
          <w:p>
            <w:pPr>
              <w:pStyle w:val="Compact"/>
            </w:pPr>
            <w:r>
              <w:t xml:space="preserve">15,6 %</w:t>
            </w:r>
          </w:p>
        </w:tc>
      </w:tr>
      <w:tr>
        <w:tc>
          <w:tcPr/>
          <w:p>
            <w:pPr>
              <w:pStyle w:val="Compact"/>
            </w:pPr>
            <w:r>
              <w:t xml:space="preserve">9</w:t>
            </w:r>
          </w:p>
        </w:tc>
        <w:tc>
          <w:tcPr/>
          <w:p>
            <w:pPr>
              <w:pStyle w:val="Compact"/>
            </w:pPr>
            <w:r>
              <w:t xml:space="preserve">Artisans/commerçants spécialisés</w:t>
            </w:r>
          </w:p>
        </w:tc>
        <w:tc>
          <w:tcPr/>
          <w:p>
            <w:pPr>
              <w:pStyle w:val="Compact"/>
            </w:pPr>
            <w:r>
              <w:t xml:space="preserve">87,1 %</w:t>
            </w:r>
          </w:p>
        </w:tc>
        <w:tc>
          <w:tcPr/>
          <w:p>
            <w:pPr>
              <w:pStyle w:val="Compact"/>
            </w:pPr>
            <w:r>
              <w:t xml:space="preserve">61,9 %</w:t>
            </w:r>
          </w:p>
        </w:tc>
        <w:tc>
          <w:tcPr/>
          <w:p>
            <w:pPr>
              <w:pStyle w:val="Compact"/>
            </w:pPr>
            <w:r>
              <w:t xml:space="preserve">7,6 %</w:t>
            </w:r>
          </w:p>
        </w:tc>
      </w:tr>
      <w:tr>
        <w:tc>
          <w:tcPr/>
          <w:p>
            <w:pPr>
              <w:pStyle w:val="Compact"/>
            </w:pPr>
            <w:r>
              <w:t xml:space="preserve">6</w:t>
            </w:r>
          </w:p>
        </w:tc>
        <w:tc>
          <w:tcPr/>
          <w:p>
            <w:pPr>
              <w:pStyle w:val="Compact"/>
            </w:pPr>
            <w:r>
              <w:t xml:space="preserve">Marché</w:t>
            </w:r>
          </w:p>
        </w:tc>
        <w:tc>
          <w:tcPr/>
          <w:p>
            <w:pPr>
              <w:pStyle w:val="Compact"/>
            </w:pPr>
            <w:r>
              <w:t xml:space="preserve">78,8 %</w:t>
            </w:r>
          </w:p>
        </w:tc>
        <w:tc>
          <w:tcPr/>
          <w:p>
            <w:pPr>
              <w:pStyle w:val="Compact"/>
            </w:pPr>
            <w:r>
              <w:t xml:space="preserve">41,4 %</w:t>
            </w:r>
          </w:p>
        </w:tc>
        <w:tc>
          <w:tcPr/>
          <w:p>
            <w:pPr>
              <w:pStyle w:val="Compact"/>
            </w:pPr>
            <w:r>
              <w:t xml:space="preserve">4,8 %</w:t>
            </w:r>
          </w:p>
        </w:tc>
      </w:tr>
      <w:tr>
        <w:tc>
          <w:tcPr/>
          <w:p>
            <w:pPr>
              <w:pStyle w:val="Compact"/>
            </w:pPr>
            <w:r>
              <w:t xml:space="preserve">4</w:t>
            </w:r>
          </w:p>
        </w:tc>
        <w:tc>
          <w:tcPr/>
          <w:p>
            <w:pPr>
              <w:pStyle w:val="Compact"/>
            </w:pPr>
            <w:r>
              <w:t xml:space="preserve">Magasins de surgelés</w:t>
            </w:r>
          </w:p>
        </w:tc>
        <w:tc>
          <w:tcPr/>
          <w:p>
            <w:pPr>
              <w:pStyle w:val="Compact"/>
            </w:pPr>
            <w:r>
              <w:t xml:space="preserve">74,3 %</w:t>
            </w:r>
          </w:p>
        </w:tc>
        <w:tc>
          <w:tcPr/>
          <w:p>
            <w:pPr>
              <w:pStyle w:val="Compact"/>
            </w:pPr>
            <w:r>
              <w:t xml:space="preserve">36,0 %</w:t>
            </w:r>
          </w:p>
        </w:tc>
        <w:tc>
          <w:tcPr/>
          <w:p>
            <w:pPr>
              <w:pStyle w:val="Compact"/>
            </w:pPr>
            <w:r>
              <w:t xml:space="preserve">3,7 %</w:t>
            </w:r>
          </w:p>
        </w:tc>
      </w:tr>
      <w:tr>
        <w:tc>
          <w:tcPr/>
          <w:p>
            <w:pPr>
              <w:pStyle w:val="Compact"/>
            </w:pPr>
            <w:r>
              <w:t xml:space="preserve">3</w:t>
            </w:r>
          </w:p>
        </w:tc>
        <w:tc>
          <w:tcPr/>
          <w:p>
            <w:pPr>
              <w:pStyle w:val="Compact"/>
            </w:pPr>
            <w:r>
              <w:t xml:space="preserve">Épiceries indépendantes</w:t>
            </w:r>
          </w:p>
        </w:tc>
        <w:tc>
          <w:tcPr/>
          <w:p>
            <w:pPr>
              <w:pStyle w:val="Compact"/>
            </w:pPr>
            <w:r>
              <w:t xml:space="preserve">68,6 %</w:t>
            </w:r>
          </w:p>
        </w:tc>
        <w:tc>
          <w:tcPr/>
          <w:p>
            <w:pPr>
              <w:pStyle w:val="Compact"/>
            </w:pPr>
            <w:r>
              <w:t xml:space="preserve">35,2 %</w:t>
            </w:r>
          </w:p>
        </w:tc>
        <w:tc>
          <w:tcPr/>
          <w:p>
            <w:pPr>
              <w:pStyle w:val="Compact"/>
            </w:pPr>
            <w:r>
              <w:t xml:space="preserve">3,1 %</w:t>
            </w:r>
          </w:p>
        </w:tc>
      </w:tr>
      <w:tr>
        <w:tc>
          <w:tcPr/>
          <w:p>
            <w:pPr>
              <w:pStyle w:val="Compact"/>
            </w:pPr>
            <w:r>
              <w:t xml:space="preserve">5</w:t>
            </w:r>
          </w:p>
        </w:tc>
        <w:tc>
          <w:tcPr/>
          <w:p>
            <w:pPr>
              <w:pStyle w:val="Compact"/>
            </w:pPr>
            <w:r>
              <w:t xml:space="preserve">Magasins Bio spécialisés</w:t>
            </w:r>
          </w:p>
        </w:tc>
        <w:tc>
          <w:tcPr/>
          <w:p>
            <w:pPr>
              <w:pStyle w:val="Compact"/>
            </w:pPr>
            <w:r>
              <w:t xml:space="preserve">57,4 %</w:t>
            </w:r>
          </w:p>
        </w:tc>
        <w:tc>
          <w:tcPr/>
          <w:p>
            <w:pPr>
              <w:pStyle w:val="Compact"/>
            </w:pPr>
            <w:r>
              <w:t xml:space="preserve">24,2 %</w:t>
            </w:r>
          </w:p>
        </w:tc>
        <w:tc>
          <w:tcPr/>
          <w:p>
            <w:pPr>
              <w:pStyle w:val="Compact"/>
            </w:pPr>
            <w:r>
              <w:t xml:space="preserve">2,3 %</w:t>
            </w:r>
          </w:p>
        </w:tc>
      </w:tr>
      <w:tr>
        <w:tc>
          <w:tcPr/>
          <w:p>
            <w:pPr>
              <w:pStyle w:val="Compact"/>
            </w:pPr>
            <w:r>
              <w:t xml:space="preserve">7</w:t>
            </w:r>
          </w:p>
        </w:tc>
        <w:tc>
          <w:tcPr/>
          <w:p>
            <w:pPr>
              <w:pStyle w:val="Compact"/>
            </w:pPr>
            <w:r>
              <w:rPr>
                <w:b/>
                <w:bCs/>
              </w:rPr>
              <w:t xml:space="preserve">Vente directe aux agriculteurs</w:t>
            </w:r>
          </w:p>
        </w:tc>
        <w:tc>
          <w:tcPr/>
          <w:p>
            <w:pPr>
              <w:pStyle w:val="Compact"/>
            </w:pPr>
            <w:r>
              <w:rPr>
                <w:b/>
                <w:bCs/>
              </w:rPr>
              <w:t xml:space="preserve">49,7 %</w:t>
            </w:r>
          </w:p>
        </w:tc>
        <w:tc>
          <w:tcPr/>
          <w:p>
            <w:pPr>
              <w:pStyle w:val="Compact"/>
            </w:pPr>
            <w:r>
              <w:rPr>
                <w:b/>
                <w:bCs/>
              </w:rPr>
              <w:t xml:space="preserve">17,3 %</w:t>
            </w:r>
          </w:p>
        </w:tc>
        <w:tc>
          <w:tcPr/>
          <w:p>
            <w:pPr>
              <w:pStyle w:val="Compact"/>
            </w:pPr>
            <w:r>
              <w:rPr>
                <w:b/>
                <w:bCs/>
              </w:rPr>
              <w:t xml:space="preserve">1,5 %</w:t>
            </w:r>
          </w:p>
        </w:tc>
      </w:tr>
      <w:tr>
        <w:tc>
          <w:tcPr/>
          <w:p>
            <w:pPr>
              <w:pStyle w:val="Compact"/>
            </w:pPr>
            <w:r>
              <w:t xml:space="preserve">11</w:t>
            </w:r>
          </w:p>
        </w:tc>
        <w:tc>
          <w:tcPr/>
          <w:p>
            <w:pPr>
              <w:pStyle w:val="Compact"/>
            </w:pPr>
            <w:r>
              <w:t xml:space="preserve">Vrac / produits locaux</w:t>
            </w:r>
          </w:p>
        </w:tc>
        <w:tc>
          <w:tcPr/>
          <w:p>
            <w:pPr>
              <w:pStyle w:val="Compact"/>
            </w:pPr>
            <w:r>
              <w:t xml:space="preserve">21,5 %</w:t>
            </w:r>
          </w:p>
        </w:tc>
        <w:tc>
          <w:tcPr/>
          <w:p>
            <w:pPr>
              <w:pStyle w:val="Compact"/>
            </w:pPr>
            <w:r>
              <w:t xml:space="preserve">8,7 %</w:t>
            </w:r>
          </w:p>
        </w:tc>
        <w:tc>
          <w:tcPr/>
          <w:p>
            <w:pPr>
              <w:pStyle w:val="Compact"/>
            </w:pPr>
            <w:r>
              <w:t xml:space="preserve">0,5 %</w:t>
            </w:r>
          </w:p>
        </w:tc>
      </w:tr>
      <w:tr>
        <w:tc>
          <w:tcPr/>
          <w:p>
            <w:pPr>
              <w:pStyle w:val="Compact"/>
            </w:pPr>
            <w:r>
              <w:t xml:space="preserve">8</w:t>
            </w:r>
          </w:p>
        </w:tc>
        <w:tc>
          <w:tcPr/>
          <w:p>
            <w:pPr>
              <w:pStyle w:val="Compact"/>
            </w:pPr>
            <w:r>
              <w:t xml:space="preserve">Paniers via intermédiaire</w:t>
            </w:r>
          </w:p>
        </w:tc>
        <w:tc>
          <w:tcPr/>
          <w:p>
            <w:pPr>
              <w:pStyle w:val="Compact"/>
            </w:pPr>
            <w:r>
              <w:t xml:space="preserve">15,7 %</w:t>
            </w:r>
          </w:p>
        </w:tc>
        <w:tc>
          <w:tcPr/>
          <w:p>
            <w:pPr>
              <w:pStyle w:val="Compact"/>
            </w:pPr>
            <w:r>
              <w:t xml:space="preserve">5,8 %</w:t>
            </w:r>
          </w:p>
        </w:tc>
        <w:tc>
          <w:tcPr/>
          <w:p>
            <w:pPr>
              <w:pStyle w:val="Compact"/>
            </w:pPr>
            <w:r>
              <w:t xml:space="preserve">0,4 %</w:t>
            </w:r>
          </w:p>
        </w:tc>
      </w:tr>
      <w:tr>
        <w:tc>
          <w:tcPr/>
          <w:p>
            <w:pPr>
              <w:pStyle w:val="Compact"/>
            </w:pPr>
            <w:r>
              <w:t xml:space="preserve">10</w:t>
            </w:r>
          </w:p>
        </w:tc>
        <w:tc>
          <w:tcPr/>
          <w:p>
            <w:pPr>
              <w:pStyle w:val="Compact"/>
            </w:pPr>
            <w:r>
              <w:t xml:space="preserve">Coopératives / participatif</w:t>
            </w:r>
          </w:p>
        </w:tc>
        <w:tc>
          <w:tcPr/>
          <w:p>
            <w:pPr>
              <w:pStyle w:val="Compact"/>
            </w:pPr>
            <w:r>
              <w:t xml:space="preserve">22,9 %</w:t>
            </w:r>
          </w:p>
        </w:tc>
        <w:tc>
          <w:tcPr/>
          <w:p>
            <w:pPr>
              <w:pStyle w:val="Compact"/>
            </w:pPr>
            <w:r>
              <w:t xml:space="preserve">7,0 %</w:t>
            </w:r>
          </w:p>
        </w:tc>
        <w:tc>
          <w:tcPr/>
          <w:p>
            <w:pPr>
              <w:pStyle w:val="Compact"/>
            </w:pPr>
            <w:r>
              <w:t xml:space="preserve">0,4 %</w:t>
            </w:r>
          </w:p>
        </w:tc>
      </w:tr>
      <w:tr>
        <w:tc>
          <w:tcPr/>
          <w:p>
            <w:pPr>
              <w:pStyle w:val="Compact"/>
            </w:pPr>
            <w:r>
              <w:t xml:space="preserve">12</w:t>
            </w:r>
          </w:p>
        </w:tc>
        <w:tc>
          <w:tcPr/>
          <w:p>
            <w:pPr>
              <w:pStyle w:val="Compact"/>
            </w:pPr>
            <w:r>
              <w:t xml:space="preserve">Aide alimentaire</w:t>
            </w:r>
          </w:p>
        </w:tc>
        <w:tc>
          <w:tcPr/>
          <w:p>
            <w:pPr>
              <w:pStyle w:val="Compact"/>
            </w:pPr>
            <w:r>
              <w:t xml:space="preserve">12,3 %</w:t>
            </w:r>
          </w:p>
        </w:tc>
        <w:tc>
          <w:tcPr/>
          <w:p>
            <w:pPr>
              <w:pStyle w:val="Compact"/>
            </w:pPr>
            <w:r>
              <w:t xml:space="preserve">5,3 %</w:t>
            </w:r>
          </w:p>
        </w:tc>
        <w:tc>
          <w:tcPr/>
          <w:p>
            <w:pPr>
              <w:pStyle w:val="Compact"/>
            </w:pPr>
            <w:r>
              <w:t xml:space="preserve">0,4 %</w:t>
            </w:r>
          </w:p>
        </w:tc>
      </w:tr>
      <w:tr>
        <w:tc>
          <w:tcPr/>
          <w:p>
            <w:pPr>
              <w:pStyle w:val="Compact"/>
            </w:pPr>
            <w:r>
              <w:t xml:space="preserve">13</w:t>
            </w:r>
          </w:p>
        </w:tc>
        <w:tc>
          <w:tcPr/>
          <w:p>
            <w:pPr>
              <w:pStyle w:val="Compact"/>
            </w:pPr>
            <w:r>
              <w:t xml:space="preserve">Autre</w:t>
            </w:r>
          </w:p>
        </w:tc>
        <w:tc>
          <w:tcPr/>
          <w:p>
            <w:pPr>
              <w:pStyle w:val="Compact"/>
            </w:pPr>
            <w:r>
              <w:t xml:space="preserve">8,9 %</w:t>
            </w:r>
          </w:p>
        </w:tc>
        <w:tc>
          <w:tcPr/>
          <w:p>
            <w:pPr>
              <w:pStyle w:val="Compact"/>
            </w:pPr>
            <w:r>
              <w:t xml:space="preserve">6,3 %</w:t>
            </w:r>
          </w:p>
        </w:tc>
        <w:tc>
          <w:tcPr/>
          <w:p>
            <w:pPr>
              <w:pStyle w:val="Compact"/>
            </w:pPr>
            <w:r>
              <w:t xml:space="preserve">1,3 %</w:t>
            </w:r>
          </w:p>
        </w:tc>
      </w:tr>
    </w:tbl>
    <w:p>
      <w:pPr>
        <w:pStyle w:val="CaptionedFigure"/>
      </w:pPr>
      <w:r>
        <w:drawing>
          <wp:inline>
            <wp:extent cx="5334000" cy="3192232"/>
            <wp:effectExtent b="0" l="0" r="0" t="0"/>
            <wp:docPr descr="Figure 1" title="" id="22" name="Picture"/>
            <a:graphic>
              <a:graphicData uri="http://schemas.openxmlformats.org/drawingml/2006/picture">
                <pic:pic>
                  <pic:nvPicPr>
                    <pic:cNvPr descr="/home/user/formation-Claude/figures/png/fig1_part_budget_canal.png" id="23" name="Picture"/>
                    <pic:cNvPicPr>
                      <a:picLocks noChangeArrowheads="1" noChangeAspect="1"/>
                    </pic:cNvPicPr>
                  </pic:nvPicPr>
                  <pic:blipFill>
                    <a:blip r:embed="rId21"/>
                    <a:stretch>
                      <a:fillRect/>
                    </a:stretch>
                  </pic:blipFill>
                  <pic:spPr bwMode="auto">
                    <a:xfrm>
                      <a:off x="0" y="0"/>
                      <a:ext cx="5334000" cy="319223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Part moyenne du budget alimentaire par canal. La vente directe (en rouge) demeure marginale en budget malgré une diffusion large.</w:t>
      </w:r>
    </w:p>
    <w:p>
      <w:pPr>
        <w:pStyle w:val="BodyText"/>
      </w:pPr>
      <w:r>
        <w:t xml:space="preserve">Ce premier tableau dessine une structure en</w:t>
      </w:r>
      <w:r>
        <w:t xml:space="preserve"> </w:t>
      </w:r>
      <w:r>
        <w:rPr>
          <w:b/>
          <w:bCs/>
        </w:rPr>
        <w:t xml:space="preserve">noyau et périphérie</w:t>
      </w:r>
      <w:r>
        <w:t xml:space="preserve"> </w:t>
      </w:r>
      <w:r>
        <w:t xml:space="preserve">: un noyau dominé par la grande distribution et le discount, qui concentre près des trois quarts du budget, et une périphérie de canaux spécialisés — dont la vente directe — fréquentés par beaucoup mais pour de faibles montants.</w:t>
      </w:r>
    </w:p>
    <w:bookmarkEnd w:id="24"/>
    <w:bookmarkStart w:id="28" w:name="Xb8ac569a55e6c93b3e034fbafe08cee9a96946e"/>
    <w:p>
      <w:pPr>
        <w:pStyle w:val="Heading2"/>
      </w:pPr>
      <w:r>
        <w:t xml:space="preserve">4.2 La place de la vente directe : un paradoxe d’ampleur</w:t>
      </w:r>
    </w:p>
    <w:p>
      <w:pPr>
        <w:pStyle w:val="FirstParagraph"/>
      </w:pPr>
      <w:r>
        <w:t xml:space="preserve">En appliquant notre définition à double porte,</w:t>
      </w:r>
      <w:r>
        <w:t xml:space="preserve"> </w:t>
      </w:r>
      <w:r>
        <w:rPr>
          <w:b/>
          <w:bCs/>
        </w:rPr>
        <w:t xml:space="preserve">65,0 % des ménages</w:t>
      </w:r>
      <w:r>
        <w:t xml:space="preserve"> </w:t>
      </w:r>
      <w:r>
        <w:t xml:space="preserve">(666 sur 1 025) pratiquent une forme de vente directe (tableau 3). Cette proportion, élevée, masque toutefois une réalité contrastée. Prise canal par canal, l’achat direct aux agriculteurs (canal 7) concerne 49,7 % des ménages, mais seulement 17,3 % de façon régulière (au moins mensuelle ; figure 2). L’apport de la seconde porte — l’achat direct au producteur sur les marchés — est substantiel : elle ajoute</w:t>
      </w:r>
      <w:r>
        <w:t xml:space="preserve"> </w:t>
      </w:r>
      <w:r>
        <w:rPr>
          <w:b/>
          <w:bCs/>
        </w:rPr>
        <w:t xml:space="preserve">157 ménages</w:t>
      </w:r>
      <w:r>
        <w:t xml:space="preserve"> </w:t>
      </w:r>
      <w:r>
        <w:t xml:space="preserve">qui pratiquent la vente directe sur les marchés sans recourir au canal dédié, soit un quart de la population concernée.</w:t>
      </w:r>
    </w:p>
    <w:p>
      <w:pPr>
        <w:pStyle w:val="BodyText"/>
      </w:pPr>
      <w:r>
        <w:rPr>
          <w:b/>
          <w:bCs/>
        </w:rPr>
        <w:t xml:space="preserve">Tableau 3.</w:t>
      </w:r>
      <w:r>
        <w:t xml:space="preserve"> </w:t>
      </w:r>
      <w:r>
        <w:t xml:space="preserve">Décomposition de la pratique de vente directe.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Composante</w:t>
            </w:r>
          </w:p>
        </w:tc>
        <w:tc>
          <w:tcPr/>
          <w:p>
            <w:pPr>
              <w:pStyle w:val="Compact"/>
            </w:pPr>
            <w:r>
              <w:t xml:space="preserve">n</w:t>
            </w:r>
          </w:p>
        </w:tc>
        <w:tc>
          <w:tcPr/>
          <w:p>
            <w:pPr>
              <w:pStyle w:val="Compact"/>
            </w:pPr>
            <w:r>
              <w:t xml:space="preserve">% échantillon</w:t>
            </w:r>
          </w:p>
        </w:tc>
      </w:tr>
      <w:tr>
        <w:tc>
          <w:tcPr/>
          <w:p>
            <w:pPr>
              <w:pStyle w:val="Compact"/>
            </w:pPr>
            <w:r>
              <w:t xml:space="preserve">Achat direct aux agriculteurs (canal 7)</w:t>
            </w:r>
          </w:p>
        </w:tc>
        <w:tc>
          <w:tcPr/>
          <w:p>
            <w:pPr>
              <w:pStyle w:val="Compact"/>
            </w:pPr>
            <w:r>
              <w:t xml:space="preserve">509</w:t>
            </w:r>
          </w:p>
        </w:tc>
        <w:tc>
          <w:tcPr/>
          <w:p>
            <w:pPr>
              <w:pStyle w:val="Compact"/>
            </w:pPr>
            <w:r>
              <w:t xml:space="preserve">49,7 %</w:t>
            </w:r>
          </w:p>
        </w:tc>
      </w:tr>
      <w:tr>
        <w:tc>
          <w:tcPr/>
          <w:p>
            <w:pPr>
              <w:pStyle w:val="Compact"/>
            </w:pPr>
            <w:r>
              <w:t xml:space="preserve">Achat direct au producteur sur les marchés (Q22 = 1)</w:t>
            </w:r>
          </w:p>
        </w:tc>
        <w:tc>
          <w:tcPr/>
          <w:p>
            <w:pPr>
              <w:pStyle w:val="Compact"/>
            </w:pPr>
            <w:r>
              <w:t xml:space="preserve">478</w:t>
            </w:r>
          </w:p>
        </w:tc>
        <w:tc>
          <w:tcPr/>
          <w:p>
            <w:pPr>
              <w:pStyle w:val="Compact"/>
            </w:pPr>
            <w:r>
              <w:t xml:space="preserve">46,6 %</w:t>
            </w:r>
          </w:p>
        </w:tc>
      </w:tr>
      <w:tr>
        <w:tc>
          <w:tcPr/>
          <w:p>
            <w:pPr>
              <w:pStyle w:val="Compact"/>
            </w:pPr>
            <w:r>
              <w:rPr>
                <w:b/>
                <w:bCs/>
              </w:rPr>
              <w:t xml:space="preserve">Vente directe (union, définition retenue)</w:t>
            </w:r>
          </w:p>
        </w:tc>
        <w:tc>
          <w:tcPr/>
          <w:p>
            <w:pPr>
              <w:pStyle w:val="Compact"/>
            </w:pPr>
            <w:r>
              <w:rPr>
                <w:b/>
                <w:bCs/>
              </w:rPr>
              <w:t xml:space="preserve">666</w:t>
            </w:r>
          </w:p>
        </w:tc>
        <w:tc>
          <w:tcPr/>
          <w:p>
            <w:pPr>
              <w:pStyle w:val="Compact"/>
            </w:pPr>
            <w:r>
              <w:rPr>
                <w:b/>
                <w:bCs/>
              </w:rPr>
              <w:t xml:space="preserve">65,0 %</w:t>
            </w:r>
          </w:p>
        </w:tc>
      </w:tr>
      <w:tr>
        <w:tc>
          <w:tcPr/>
          <w:p>
            <w:pPr>
              <w:pStyle w:val="Compact"/>
            </w:pPr>
            <w:r>
              <w:t xml:space="preserve">dont vente directe régulière (canal 7 ≥ 1×/mois)</w:t>
            </w:r>
          </w:p>
        </w:tc>
        <w:tc>
          <w:tcPr/>
          <w:p>
            <w:pPr>
              <w:pStyle w:val="Compact"/>
            </w:pPr>
            <w:r>
              <w:t xml:space="preserve">177</w:t>
            </w:r>
          </w:p>
        </w:tc>
        <w:tc>
          <w:tcPr/>
          <w:p>
            <w:pPr>
              <w:pStyle w:val="Compact"/>
            </w:pPr>
            <w:r>
              <w:t xml:space="preserve">17,3 %</w:t>
            </w:r>
          </w:p>
        </w:tc>
      </w:tr>
    </w:tbl>
    <w:p>
      <w:pPr>
        <w:pStyle w:val="CaptionedFigure"/>
      </w:pPr>
      <w:r>
        <w:drawing>
          <wp:inline>
            <wp:extent cx="5334000" cy="3594277"/>
            <wp:effectExtent b="0" l="0" r="0" t="0"/>
            <wp:docPr descr="Figure 2" title="" id="26" name="Picture"/>
            <a:graphic>
              <a:graphicData uri="http://schemas.openxmlformats.org/drawingml/2006/picture">
                <pic:pic>
                  <pic:nvPicPr>
                    <pic:cNvPr descr="/home/user/formation-Claude/figures/png/fig2_frequence_canal7.png" id="27" name="Picture"/>
                    <pic:cNvPicPr>
                      <a:picLocks noChangeArrowheads="1" noChangeAspect="1"/>
                    </pic:cNvPicPr>
                  </pic:nvPicPr>
                  <pic:blipFill>
                    <a:blip r:embed="rId25"/>
                    <a:stretch>
                      <a:fillRect/>
                    </a:stretch>
                  </pic:blipFill>
                  <pic:spPr bwMode="auto">
                    <a:xfrm>
                      <a:off x="0" y="0"/>
                      <a:ext cx="5334000" cy="3594277"/>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Fréquence d’achat direct aux agriculteurs (canal 7). La moitié des ménages n’y recourt jamais ; les usages réguliers sont minoritaires.</w:t>
      </w:r>
    </w:p>
    <w:p>
      <w:pPr>
        <w:pStyle w:val="BodyText"/>
      </w:pPr>
      <w:r>
        <w:t xml:space="preserve">Le contraste entre cette</w:t>
      </w:r>
      <w:r>
        <w:t xml:space="preserve"> </w:t>
      </w:r>
      <w:r>
        <w:rPr>
          <w:b/>
          <w:bCs/>
        </w:rPr>
        <w:t xml:space="preserve">diffusion large</w:t>
      </w:r>
      <w:r>
        <w:t xml:space="preserve"> </w:t>
      </w:r>
      <w:r>
        <w:t xml:space="preserve">(deux ménages sur trois) et la</w:t>
      </w:r>
      <w:r>
        <w:t xml:space="preserve"> </w:t>
      </w:r>
      <w:r>
        <w:rPr>
          <w:b/>
          <w:bCs/>
        </w:rPr>
        <w:t xml:space="preserve">faible part de budget</w:t>
      </w:r>
      <w:r>
        <w:t xml:space="preserve"> </w:t>
      </w:r>
      <w:r>
        <w:t xml:space="preserve">(1,5 % pour le canal dédié) constitue le résultat central de l’article. Il confirme l’hypothèse H1 : la vente directe n’est pas, pour l’immense majorité des ménages, un canal de substitution à la grande distribution, mais un</w:t>
      </w:r>
      <w:r>
        <w:t xml:space="preserve"> </w:t>
      </w:r>
      <w:r>
        <w:rPr>
          <w:b/>
          <w:bCs/>
        </w:rPr>
        <w:t xml:space="preserve">complément ciblé</w:t>
      </w:r>
      <w:r>
        <w:t xml:space="preserve">, mobilisé occasionnellement et pour une fraction réduite des dépenses. Il valide aussi H3 : l’adhésion déclarée (65 % de pratiquants) contraste fortement avec le poids budgétaire réel (~1,5 %) — une manifestation directe de l’</w:t>
      </w:r>
      <w:r>
        <w:rPr>
          <w:i/>
          <w:iCs/>
        </w:rPr>
        <w:t xml:space="preserve">attitude-behaviour gap</w:t>
      </w:r>
      <w:r>
        <w:t xml:space="preserve">. La vente directe est, en somme,</w:t>
      </w:r>
      <w:r>
        <w:t xml:space="preserve"> </w:t>
      </w:r>
      <w:r>
        <w:rPr>
          <w:b/>
          <w:bCs/>
        </w:rPr>
        <w:t xml:space="preserve">largement essayée mais rarement intensive</w:t>
      </w:r>
      <w:r>
        <w:t xml:space="preserve">.</w:t>
      </w:r>
    </w:p>
    <w:p>
      <w:pPr>
        <w:pStyle w:val="BlockText"/>
      </w:pPr>
      <w:r>
        <w:rPr>
          <w:i/>
          <w:iCs/>
        </w:rPr>
        <w:t xml:space="preserve">Caveat de mesure.</w:t>
      </w:r>
      <w:r>
        <w:t xml:space="preserve"> </w:t>
      </w:r>
      <w:r>
        <w:t xml:space="preserve">La part de budget « directe » réalisée sur les marchés n’est pas isolable : la question budgétaire agrège, pour le marché, les achats au producteur et au revendeur. La part de 1,5 % se rapporte donc au seul canal dédié (achat direct aux agriculteurs hors marché) et</w:t>
      </w:r>
      <w:r>
        <w:t xml:space="preserve"> </w:t>
      </w:r>
      <w:r>
        <w:rPr>
          <w:b/>
          <w:bCs/>
        </w:rPr>
        <w:t xml:space="preserve">sous-estime</w:t>
      </w:r>
      <w:r>
        <w:t xml:space="preserve"> </w:t>
      </w:r>
      <w:r>
        <w:t xml:space="preserve">le poids budgétaire total de la vente directe. L’ordre de grandeur — marginal — n’en est pas affecté.</w:t>
      </w:r>
    </w:p>
    <w:bookmarkEnd w:id="28"/>
    <w:bookmarkStart w:id="32" w:name="cinq-stratégies-dapprovisionnement"/>
    <w:p>
      <w:pPr>
        <w:pStyle w:val="Heading2"/>
      </w:pPr>
      <w:r>
        <w:t xml:space="preserve">4.3 Cinq stratégies d’approvisionnement</w:t>
      </w:r>
    </w:p>
    <w:p>
      <w:pPr>
        <w:pStyle w:val="FirstParagraph"/>
      </w:pPr>
      <w:r>
        <w:t xml:space="preserve">L’ACM suivie de la CAH fait émerger</w:t>
      </w:r>
      <w:r>
        <w:t xml:space="preserve"> </w:t>
      </w:r>
      <w:r>
        <w:rPr>
          <w:b/>
          <w:bCs/>
        </w:rPr>
        <w:t xml:space="preserve">cinq stratégies d’approvisionnement</w:t>
      </w:r>
      <w:r>
        <w:t xml:space="preserve"> </w:t>
      </w:r>
      <w:r>
        <w:t xml:space="preserve">distinctes (figure 3), que l’examen conjoint de la pénétration et de l’usage régulier des canaux permet de caractériser (tableau 4). Nous les présentons par effectif décroissant.</w:t>
      </w:r>
    </w:p>
    <w:p>
      <w:pPr>
        <w:pStyle w:val="BodyText"/>
      </w:pPr>
      <w:r>
        <w:rPr>
          <w:b/>
          <w:bCs/>
        </w:rPr>
        <w:t xml:space="preserve">Tableau 4.</w:t>
      </w:r>
      <w:r>
        <w:t xml:space="preserve"> </w:t>
      </w:r>
      <w:r>
        <w:t xml:space="preserve">Les cinq stratégies d’approvisionnement (classes numérotées par effectif décroissant). La colonne</w:t>
      </w:r>
      <w:r>
        <w:t xml:space="preserve"> </w:t>
      </w:r>
      <w:r>
        <w:rPr>
          <w:b/>
          <w:bCs/>
        </w:rPr>
        <w:t xml:space="preserve">% VD</w:t>
      </w:r>
      <w:r>
        <w:t xml:space="preserve"> </w:t>
      </w:r>
      <w:r>
        <w:t xml:space="preserve">applique la définition inclusive (achat direct au moins occasionnel) ;</w:t>
      </w:r>
      <w:r>
        <w:t xml:space="preserve"> </w:t>
      </w:r>
      <w:r>
        <w:rPr>
          <w:b/>
          <w:bCs/>
        </w:rPr>
        <w:t xml:space="preserve">% VD rég.</w:t>
      </w:r>
      <w:r>
        <w:t xml:space="preserve"> </w:t>
      </w:r>
      <w:r>
        <w:t xml:space="preserve">ne retient que l’achat direct régulier au producteur (canal 7 au moins mensuel), ce qui sépare l’</w:t>
      </w:r>
      <w:r>
        <w:rPr>
          <w:b/>
          <w:bCs/>
        </w:rPr>
        <w:t xml:space="preserve">essai ponctuel</w:t>
      </w:r>
      <w:r>
        <w:t xml:space="preserve"> </w:t>
      </w:r>
      <w:r>
        <w:t xml:space="preserve">de l’</w:t>
      </w:r>
      <w:r>
        <w:rPr>
          <w:b/>
          <w:bCs/>
        </w:rPr>
        <w:t xml:space="preserve">usage installé</w:t>
      </w:r>
      <w:r>
        <w:t xml:space="preserve">.</w:t>
      </w:r>
    </w:p>
    <w:tbl>
      <w:tblPr>
        <w:tblStyle w:val="Table"/>
        <w:tblW w:type="pct" w:w="5000"/>
        <w:tblLayout w:type="fixed"/>
        <w:tblLook w:firstRow="1" w:lastRow="0" w:firstColumn="0" w:lastColumn="0" w:noHBand="0" w:noVBand="0" w:val="0020"/>
      </w:tblPr>
      <w:tblGrid>
        <w:gridCol w:w="812"/>
        <w:gridCol w:w="304"/>
        <w:gridCol w:w="2538"/>
        <w:gridCol w:w="1421"/>
        <w:gridCol w:w="609"/>
        <w:gridCol w:w="1116"/>
        <w:gridCol w:w="1116"/>
      </w:tblGrid>
      <w:tr>
        <w:trPr>
          <w:tblHeader w:val="on"/>
        </w:trPr>
        <w:tc>
          <w:tcPr/>
          <w:p>
            <w:pPr>
              <w:pStyle w:val="Compact"/>
            </w:pPr>
            <w:r>
              <w:t xml:space="preserve">Classe</w:t>
            </w:r>
          </w:p>
        </w:tc>
        <w:tc>
          <w:tcPr/>
          <w:p>
            <w:pPr>
              <w:pStyle w:val="Compact"/>
            </w:pPr>
            <w:r>
              <w:t xml:space="preserve">n</w:t>
            </w:r>
          </w:p>
        </w:tc>
        <w:tc>
          <w:tcPr/>
          <w:p>
            <w:pPr>
              <w:pStyle w:val="Compact"/>
            </w:pPr>
            <w:r>
              <w:t xml:space="preserve">Canaux réguliers (moy.)</w:t>
            </w:r>
          </w:p>
        </w:tc>
        <w:tc>
          <w:tcPr/>
          <w:p>
            <w:pPr>
              <w:pStyle w:val="Compact"/>
            </w:pPr>
            <w:r>
              <w:t xml:space="preserve">Budget moyen</w:t>
            </w:r>
          </w:p>
        </w:tc>
        <w:tc>
          <w:tcPr/>
          <w:p>
            <w:pPr>
              <w:pStyle w:val="Compact"/>
            </w:pPr>
            <w:r>
              <w:t xml:space="preserve">% VD</w:t>
            </w:r>
          </w:p>
        </w:tc>
        <w:tc>
          <w:tcPr/>
          <w:p>
            <w:pPr>
              <w:pStyle w:val="Compact"/>
            </w:pPr>
            <w:r>
              <w:t xml:space="preserve">% VD rég.</w:t>
            </w:r>
          </w:p>
        </w:tc>
        <w:tc>
          <w:tcPr/>
          <w:p>
            <w:pPr>
              <w:pStyle w:val="Compact"/>
            </w:pPr>
            <w:r>
              <w:t xml:space="preserve">Signature</w:t>
            </w:r>
          </w:p>
        </w:tc>
      </w:tr>
      <w:tr>
        <w:tc>
          <w:tcPr/>
          <w:p>
            <w:pPr>
              <w:pStyle w:val="Compact"/>
            </w:pPr>
            <w:r>
              <w:rPr>
                <w:b/>
                <w:bCs/>
              </w:rPr>
              <w:t xml:space="preserve">C1 — Généralistes</w:t>
            </w:r>
          </w:p>
        </w:tc>
        <w:tc>
          <w:tcPr/>
          <w:p>
            <w:pPr>
              <w:pStyle w:val="Compact"/>
            </w:pPr>
            <w:r>
              <w:t xml:space="preserve">624</w:t>
            </w:r>
          </w:p>
        </w:tc>
        <w:tc>
          <w:tcPr/>
          <w:p>
            <w:pPr>
              <w:pStyle w:val="Compact"/>
            </w:pPr>
            <w:r>
              <w:t xml:space="preserve">3,8</w:t>
            </w:r>
          </w:p>
        </w:tc>
        <w:tc>
          <w:tcPr/>
          <w:p>
            <w:pPr>
              <w:pStyle w:val="Compact"/>
            </w:pPr>
            <w:r>
              <w:t xml:space="preserve">439 €</w:t>
            </w:r>
          </w:p>
        </w:tc>
        <w:tc>
          <w:tcPr/>
          <w:p>
            <w:pPr>
              <w:pStyle w:val="Compact"/>
            </w:pPr>
            <w:r>
              <w:t xml:space="preserve">72 %</w:t>
            </w:r>
          </w:p>
        </w:tc>
        <w:tc>
          <w:tcPr/>
          <w:p>
            <w:pPr>
              <w:pStyle w:val="Compact"/>
            </w:pPr>
            <w:r>
              <w:t xml:space="preserve">16 %</w:t>
            </w:r>
          </w:p>
        </w:tc>
        <w:tc>
          <w:tcPr/>
          <w:p>
            <w:pPr>
              <w:pStyle w:val="Compact"/>
            </w:pPr>
            <w:r>
              <w:t xml:space="preserve">Hypermarché + quelques compléments (artisans, marché, discount)</w:t>
            </w:r>
          </w:p>
        </w:tc>
      </w:tr>
      <w:tr>
        <w:tc>
          <w:tcPr/>
          <w:p>
            <w:pPr>
              <w:pStyle w:val="Compact"/>
            </w:pPr>
            <w:r>
              <w:rPr>
                <w:b/>
                <w:bCs/>
              </w:rPr>
              <w:t xml:space="preserve">C2 — Captifs de la grande distribution</w:t>
            </w:r>
          </w:p>
        </w:tc>
        <w:tc>
          <w:tcPr/>
          <w:p>
            <w:pPr>
              <w:pStyle w:val="Compact"/>
            </w:pPr>
            <w:r>
              <w:t xml:space="preserve">249</w:t>
            </w:r>
          </w:p>
        </w:tc>
        <w:tc>
          <w:tcPr/>
          <w:p>
            <w:pPr>
              <w:pStyle w:val="Compact"/>
            </w:pPr>
            <w:r>
              <w:t xml:space="preserve">2,7</w:t>
            </w:r>
          </w:p>
        </w:tc>
        <w:tc>
          <w:tcPr/>
          <w:p>
            <w:pPr>
              <w:pStyle w:val="Compact"/>
            </w:pPr>
            <w:r>
              <w:t xml:space="preserve">408 €</w:t>
            </w:r>
          </w:p>
        </w:tc>
        <w:tc>
          <w:tcPr/>
          <w:p>
            <w:pPr>
              <w:pStyle w:val="Compact"/>
            </w:pPr>
            <w:r>
              <w:t xml:space="preserve">28 %</w:t>
            </w:r>
          </w:p>
        </w:tc>
        <w:tc>
          <w:tcPr/>
          <w:p>
            <w:pPr>
              <w:pStyle w:val="Compact"/>
            </w:pPr>
            <w:r>
              <w:t xml:space="preserve">6 %</w:t>
            </w:r>
          </w:p>
        </w:tc>
        <w:tc>
          <w:tcPr/>
          <w:p>
            <w:pPr>
              <w:pStyle w:val="Compact"/>
            </w:pPr>
            <w:r>
              <w:t xml:space="preserve">Hypermarché + discount ; très peu d’alternatives, même à l’essai</w:t>
            </w:r>
          </w:p>
        </w:tc>
      </w:tr>
      <w:tr>
        <w:tc>
          <w:tcPr/>
          <w:p>
            <w:pPr>
              <w:pStyle w:val="Compact"/>
            </w:pPr>
            <w:r>
              <w:rPr>
                <w:b/>
                <w:bCs/>
              </w:rPr>
              <w:t xml:space="preserve">C3 — Omnivores engagés</w:t>
            </w:r>
          </w:p>
        </w:tc>
        <w:tc>
          <w:tcPr/>
          <w:p>
            <w:pPr>
              <w:pStyle w:val="Compact"/>
            </w:pPr>
            <w:r>
              <w:t xml:space="preserve">79</w:t>
            </w:r>
          </w:p>
        </w:tc>
        <w:tc>
          <w:tcPr/>
          <w:p>
            <w:pPr>
              <w:pStyle w:val="Compact"/>
            </w:pPr>
            <w:r>
              <w:t xml:space="preserve">8,9</w:t>
            </w:r>
          </w:p>
        </w:tc>
        <w:tc>
          <w:tcPr/>
          <w:p>
            <w:pPr>
              <w:pStyle w:val="Compact"/>
            </w:pPr>
            <w:r>
              <w:t xml:space="preserve">513 €</w:t>
            </w:r>
          </w:p>
        </w:tc>
        <w:tc>
          <w:tcPr/>
          <w:p>
            <w:pPr>
              <w:pStyle w:val="Compact"/>
            </w:pPr>
            <w:r>
              <w:t xml:space="preserve">97 %</w:t>
            </w:r>
          </w:p>
        </w:tc>
        <w:tc>
          <w:tcPr/>
          <w:p>
            <w:pPr>
              <w:pStyle w:val="Compact"/>
            </w:pPr>
            <w:r>
              <w:t xml:space="preserve">67 %</w:t>
            </w:r>
          </w:p>
        </w:tc>
        <w:tc>
          <w:tcPr/>
          <w:p>
            <w:pPr>
              <w:pStyle w:val="Compact"/>
            </w:pPr>
            <w:r>
              <w:t xml:space="preserve">Presque tous les canaux</w:t>
            </w:r>
            <w:r>
              <w:t xml:space="preserve"> </w:t>
            </w:r>
            <w:r>
              <w:rPr>
                <w:b/>
                <w:bCs/>
              </w:rPr>
              <w:t xml:space="preserve">régulièrement</w:t>
            </w:r>
            <w:r>
              <w:t xml:space="preserve">, y compris niche (paniers, coop, vrac)</w:t>
            </w:r>
          </w:p>
        </w:tc>
      </w:tr>
      <w:tr>
        <w:tc>
          <w:tcPr/>
          <w:p>
            <w:pPr>
              <w:pStyle w:val="Compact"/>
            </w:pPr>
            <w:r>
              <w:rPr>
                <w:b/>
                <w:bCs/>
              </w:rPr>
              <w:t xml:space="preserve">C4 — Multi-canal conventionnels</w:t>
            </w:r>
          </w:p>
        </w:tc>
        <w:tc>
          <w:tcPr/>
          <w:p>
            <w:pPr>
              <w:pStyle w:val="Compact"/>
            </w:pPr>
            <w:r>
              <w:t xml:space="preserve">47</w:t>
            </w:r>
          </w:p>
        </w:tc>
        <w:tc>
          <w:tcPr/>
          <w:p>
            <w:pPr>
              <w:pStyle w:val="Compact"/>
            </w:pPr>
            <w:r>
              <w:t xml:space="preserve">6,0</w:t>
            </w:r>
          </w:p>
        </w:tc>
        <w:tc>
          <w:tcPr/>
          <w:p>
            <w:pPr>
              <w:pStyle w:val="Compact"/>
            </w:pPr>
            <w:r>
              <w:t xml:space="preserve">480 €</w:t>
            </w:r>
          </w:p>
        </w:tc>
        <w:tc>
          <w:tcPr/>
          <w:p>
            <w:pPr>
              <w:pStyle w:val="Compact"/>
            </w:pPr>
            <w:r>
              <w:t xml:space="preserve">100 %</w:t>
            </w:r>
          </w:p>
        </w:tc>
        <w:tc>
          <w:tcPr/>
          <w:p>
            <w:pPr>
              <w:pStyle w:val="Compact"/>
            </w:pPr>
            <w:r>
              <w:t xml:space="preserve">19 %</w:t>
            </w:r>
          </w:p>
        </w:tc>
        <w:tc>
          <w:tcPr/>
          <w:p>
            <w:pPr>
              <w:pStyle w:val="Compact"/>
            </w:pPr>
            <w:r>
              <w:t xml:space="preserve">Ont</w:t>
            </w:r>
            <w:r>
              <w:t xml:space="preserve"> </w:t>
            </w:r>
            <w:r>
              <w:rPr>
                <w:b/>
                <w:bCs/>
              </w:rPr>
              <w:t xml:space="preserve">essayé</w:t>
            </w:r>
            <w:r>
              <w:t xml:space="preserve"> </w:t>
            </w:r>
            <w:r>
              <w:t xml:space="preserve">presque tous les canaux (niche comprise) mais panier</w:t>
            </w:r>
            <w:r>
              <w:t xml:space="preserve"> </w:t>
            </w:r>
            <w:r>
              <w:rPr>
                <w:b/>
                <w:bCs/>
              </w:rPr>
              <w:t xml:space="preserve">régulier</w:t>
            </w:r>
            <w:r>
              <w:t xml:space="preserve"> </w:t>
            </w:r>
            <w:r>
              <w:t xml:space="preserve">conventionnel</w:t>
            </w:r>
          </w:p>
        </w:tc>
      </w:tr>
      <w:tr>
        <w:tc>
          <w:tcPr/>
          <w:p>
            <w:pPr>
              <w:pStyle w:val="Compact"/>
            </w:pPr>
            <w:r>
              <w:rPr>
                <w:b/>
                <w:bCs/>
              </w:rPr>
              <w:t xml:space="preserve">C5 — Hors-hypermarché</w:t>
            </w:r>
          </w:p>
        </w:tc>
        <w:tc>
          <w:tcPr/>
          <w:p>
            <w:pPr>
              <w:pStyle w:val="Compact"/>
            </w:pPr>
            <w:r>
              <w:t xml:space="preserve">26</w:t>
            </w:r>
          </w:p>
        </w:tc>
        <w:tc>
          <w:tcPr/>
          <w:p>
            <w:pPr>
              <w:pStyle w:val="Compact"/>
            </w:pPr>
            <w:r>
              <w:t xml:space="preserve">3,0</w:t>
            </w:r>
          </w:p>
        </w:tc>
        <w:tc>
          <w:tcPr/>
          <w:p>
            <w:pPr>
              <w:pStyle w:val="Compact"/>
            </w:pPr>
            <w:r>
              <w:t xml:space="preserve">320 €</w:t>
            </w:r>
          </w:p>
        </w:tc>
        <w:tc>
          <w:tcPr/>
          <w:p>
            <w:pPr>
              <w:pStyle w:val="Compact"/>
            </w:pPr>
            <w:r>
              <w:t xml:space="preserve">81 %</w:t>
            </w:r>
          </w:p>
        </w:tc>
        <w:tc>
          <w:tcPr/>
          <w:p>
            <w:pPr>
              <w:pStyle w:val="Compact"/>
            </w:pPr>
            <w:r>
              <w:t xml:space="preserve">8 %</w:t>
            </w:r>
          </w:p>
        </w:tc>
        <w:tc>
          <w:tcPr/>
          <w:p>
            <w:pPr>
              <w:pStyle w:val="Compact"/>
            </w:pPr>
            <w:r>
              <w:rPr>
                <w:b/>
                <w:bCs/>
              </w:rPr>
              <w:t xml:space="preserve">Seul groupe sans hypermarché régulier</w:t>
            </w:r>
            <w:r>
              <w:t xml:space="preserve"> </w:t>
            </w:r>
            <w:r>
              <w:t xml:space="preserve">; marché et proximité</w:t>
            </w:r>
          </w:p>
        </w:tc>
      </w:tr>
    </w:tbl>
    <w:p>
      <w:pPr>
        <w:pStyle w:val="CaptionedFigure"/>
      </w:pPr>
      <w:r>
        <w:drawing>
          <wp:inline>
            <wp:extent cx="5334000" cy="4654817"/>
            <wp:effectExtent b="0" l="0" r="0" t="0"/>
            <wp:docPr descr="Figure 3" title="" id="30" name="Picture"/>
            <a:graphic>
              <a:graphicData uri="http://schemas.openxmlformats.org/drawingml/2006/picture">
                <pic:pic>
                  <pic:nvPicPr>
                    <pic:cNvPr descr="/home/user/formation-Claude/figures/png/fig3_plan_factoriel.png" id="31" name="Picture"/>
                    <pic:cNvPicPr>
                      <a:picLocks noChangeArrowheads="1" noChangeAspect="1"/>
                    </pic:cNvPicPr>
                  </pic:nvPicPr>
                  <pic:blipFill>
                    <a:blip r:embed="rId29"/>
                    <a:stretch>
                      <a:fillRect/>
                    </a:stretch>
                  </pic:blipFill>
                  <pic:spPr bwMode="auto">
                    <a:xfrm>
                      <a:off x="0" y="0"/>
                      <a:ext cx="5334000" cy="4654817"/>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Plan factoriel (axes 1-2) de l’ACM, ménages colorés par classe.</w:t>
      </w:r>
    </w:p>
    <w:p>
      <w:pPr>
        <w:pStyle w:val="BodyText"/>
      </w:pPr>
      <w:r>
        <w:t xml:space="preserve">La lecture conjointe des deux colonnes de vente directe est essentielle : un taux inclusif élevé peut recouvrir un simple</w:t>
      </w:r>
      <w:r>
        <w:t xml:space="preserve"> </w:t>
      </w:r>
      <w:r>
        <w:rPr>
          <w:b/>
          <w:bCs/>
        </w:rPr>
        <w:t xml:space="preserve">essai ponctuel</w:t>
      </w:r>
      <w:r>
        <w:t xml:space="preserve"> </w:t>
      </w:r>
      <w:r>
        <w:t xml:space="preserve">et non un usage installé. Les</w:t>
      </w:r>
      <w:r>
        <w:t xml:space="preserve"> </w:t>
      </w:r>
      <w:r>
        <w:rPr>
          <w:b/>
          <w:bCs/>
        </w:rPr>
        <w:t xml:space="preserve">généralistes</w:t>
      </w:r>
      <w:r>
        <w:t xml:space="preserve"> </w:t>
      </w:r>
      <w:r>
        <w:t xml:space="preserve">(C1, 61 % de l’échantillon) forment le cœur de la population : ils articulent l’hypermarché à quelques canaux complémentaires (artisans, marché) et recourent à la vente directe de façon modérée (72 % l’ont pratiquée, mais 16 % seulement régulièrement). Les</w:t>
      </w:r>
      <w:r>
        <w:t xml:space="preserve"> </w:t>
      </w:r>
      <w:r>
        <w:rPr>
          <w:b/>
          <w:bCs/>
        </w:rPr>
        <w:t xml:space="preserve">captifs de la grande distribution</w:t>
      </w:r>
      <w:r>
        <w:t xml:space="preserve"> </w:t>
      </w:r>
      <w:r>
        <w:t xml:space="preserve">(C2, 24 %) concentrent leurs achats sur l’hypermarché et le discount et se tiennent le plus à l’écart des circuits alternatifs, même à l’essai (28 % de VD inclusive, 6 % de VD régulière). À l’opposé, les</w:t>
      </w:r>
      <w:r>
        <w:t xml:space="preserve"> </w:t>
      </w:r>
      <w:r>
        <w:rPr>
          <w:b/>
          <w:bCs/>
        </w:rPr>
        <w:t xml:space="preserve">omnivores engagés</w:t>
      </w:r>
      <w:r>
        <w:t xml:space="preserve"> </w:t>
      </w:r>
      <w:r>
        <w:t xml:space="preserve">(C3, 8 %) mobilisent presque tous les canaux</w:t>
      </w:r>
      <w:r>
        <w:t xml:space="preserve"> </w:t>
      </w:r>
      <w:r>
        <w:rPr>
          <w:b/>
          <w:bCs/>
        </w:rPr>
        <w:t xml:space="preserve">de façon régulière</w:t>
      </w:r>
      <w:r>
        <w:t xml:space="preserve"> </w:t>
      </w:r>
      <w:r>
        <w:t xml:space="preserve">(8,9 en moyenne), y compris les plus militants (paniers, coopératives, vrac), avec le budget le plus élevé (513 €) : ce sont les</w:t>
      </w:r>
      <w:r>
        <w:t xml:space="preserve"> </w:t>
      </w:r>
      <w:r>
        <w:rPr>
          <w:b/>
          <w:bCs/>
        </w:rPr>
        <w:t xml:space="preserve">seuls acheteurs vraiment intensifs</w:t>
      </w:r>
      <w:r>
        <w:t xml:space="preserve"> </w:t>
      </w:r>
      <w:r>
        <w:t xml:space="preserve">en vente directe (67 % y recourent au moins une fois par mois).</w:t>
      </w:r>
    </w:p>
    <w:p>
      <w:pPr>
        <w:pStyle w:val="BodyText"/>
      </w:pPr>
      <w:r>
        <w:t xml:space="preserve">Le cas des</w:t>
      </w:r>
      <w:r>
        <w:t xml:space="preserve"> </w:t>
      </w:r>
      <w:r>
        <w:rPr>
          <w:b/>
          <w:bCs/>
        </w:rPr>
        <w:t xml:space="preserve">multi-canal conventionnels</w:t>
      </w:r>
      <w:r>
        <w:t xml:space="preserve"> </w:t>
      </w:r>
      <w:r>
        <w:t xml:space="preserve">(C4, 5 %) mérite une attention particulière, car il éclaire la mécanique de la mesure. Ce groupe affiche</w:t>
      </w:r>
      <w:r>
        <w:t xml:space="preserve"> </w:t>
      </w:r>
      <w:r>
        <w:rPr>
          <w:b/>
          <w:bCs/>
        </w:rPr>
        <w:t xml:space="preserve">100 % de vente directe au sens inclusif</w:t>
      </w:r>
      <w:r>
        <w:t xml:space="preserve"> </w:t>
      </w:r>
      <w:r>
        <w:t xml:space="preserve">— mais ce chiffre traduit un</w:t>
      </w:r>
      <w:r>
        <w:t xml:space="preserve"> </w:t>
      </w:r>
      <w:r>
        <w:rPr>
          <w:b/>
          <w:bCs/>
        </w:rPr>
        <w:t xml:space="preserve">très large répertoire d’essai</w:t>
      </w:r>
      <w:r>
        <w:t xml:space="preserve"> </w:t>
      </w:r>
      <w:r>
        <w:t xml:space="preserve">plutôt qu’un engagement : ses membres ont goûté à presque tous les canaux, y compris les plus alternatifs (coopératives, vrac, paniers, essayés par 90 % d’entre eux), sans pour autant les intégrer à leurs habitudes. Leur panier</w:t>
      </w:r>
      <w:r>
        <w:t xml:space="preserve"> </w:t>
      </w:r>
      <w:r>
        <w:rPr>
          <w:b/>
          <w:bCs/>
        </w:rPr>
        <w:t xml:space="preserve">régulier</w:t>
      </w:r>
      <w:r>
        <w:t xml:space="preserve"> </w:t>
      </w:r>
      <w:r>
        <w:t xml:space="preserve">reste en effet résolument conventionnel (hypermarché, discount, épiceries, surgelés, artisans, marché), et leur vente directe</w:t>
      </w:r>
      <w:r>
        <w:t xml:space="preserve"> </w:t>
      </w:r>
      <w:r>
        <w:rPr>
          <w:b/>
          <w:bCs/>
        </w:rPr>
        <w:t xml:space="preserve">régulière</w:t>
      </w:r>
      <w:r>
        <w:t xml:space="preserve"> </w:t>
      </w:r>
      <w:r>
        <w:t xml:space="preserve">retombe à 19 %. Ils se distinguent ainsi des omnivores engagés non par l’ampleur de leur exploration, mais par le fait qu’ils n’</w:t>
      </w:r>
      <w:r>
        <w:rPr>
          <w:b/>
          <w:bCs/>
        </w:rPr>
        <w:t xml:space="preserve">installent pas</w:t>
      </w:r>
      <w:r>
        <w:t xml:space="preserve"> </w:t>
      </w:r>
      <w:r>
        <w:t xml:space="preserve">les circuits alternatifs dans leur routine.</w:t>
      </w:r>
    </w:p>
    <w:p>
      <w:pPr>
        <w:pStyle w:val="BodyText"/>
      </w:pPr>
      <w:r>
        <w:t xml:space="preserve">Le groupe le plus original est le plus petit : les ménages</w:t>
      </w:r>
      <w:r>
        <w:t xml:space="preserve"> </w:t>
      </w:r>
      <w:r>
        <w:rPr>
          <w:b/>
          <w:bCs/>
        </w:rPr>
        <w:t xml:space="preserve">hors-hypermarché</w:t>
      </w:r>
      <w:r>
        <w:t xml:space="preserve"> </w:t>
      </w:r>
      <w:r>
        <w:t xml:space="preserve">(C5, 2,5 %) sont les</w:t>
      </w:r>
      <w:r>
        <w:t xml:space="preserve"> </w:t>
      </w:r>
      <w:r>
        <w:rPr>
          <w:b/>
          <w:bCs/>
        </w:rPr>
        <w:t xml:space="preserve">seuls à ne pas recourir régulièrement à la grande distribution</w:t>
      </w:r>
      <w:r>
        <w:t xml:space="preserve"> </w:t>
      </w:r>
      <w:r>
        <w:t xml:space="preserve">; ils s’appuient sur le marché, les artisans et le discount, disposent du budget le plus modeste (320 €) et sont plus âgés. Bien que marginal en effectif, ce profil est théoriquement important : il montre qu’un approvisionnement</w:t>
      </w:r>
      <w:r>
        <w:t xml:space="preserve"> </w:t>
      </w:r>
      <w:r>
        <w:rPr>
          <w:b/>
          <w:bCs/>
        </w:rPr>
        <w:t xml:space="preserve">structurellement périphérique à la grande distribution</w:t>
      </w:r>
      <w:r>
        <w:t xml:space="preserve"> </w:t>
      </w:r>
      <w:r>
        <w:t xml:space="preserve">existe, et qu’il n’est pas le fait des ménages les plus aisés.</w:t>
      </w:r>
    </w:p>
    <w:bookmarkEnd w:id="32"/>
    <w:bookmarkStart w:id="33" w:name="X03a121fbb803a03a8cc5103aaa35fa14b53e1fb"/>
    <w:p>
      <w:pPr>
        <w:pStyle w:val="Heading2"/>
      </w:pPr>
      <w:r>
        <w:t xml:space="preserve">4.4 Profils sociodémographiques des stratégies</w:t>
      </w:r>
    </w:p>
    <w:p>
      <w:pPr>
        <w:pStyle w:val="FirstParagraph"/>
      </w:pPr>
      <w:r>
        <w:t xml:space="preserve">Les classes diffèrent significativement par la catégorie socioprofessionnelle (χ², p &lt; 0,001) et par l’âge (p = 0,005). Les omnivores engagés (C3) et les multi-canal conventionnels (C4) sur-représentent les cadres et professions intermédiaires et disposent des budgets les plus élevés. Les captifs de la grande distribution (C2) et les généralistes (C1) reflètent davantage la structure moyenne de la population. Le groupe hors-hypermarché (C5) se distingue par sa part élevée de retraités et son budget réduit. Le taux de pratique de la vente directe</w:t>
      </w:r>
      <w:r>
        <w:t xml:space="preserve"> </w:t>
      </w:r>
      <w:r>
        <w:rPr>
          <w:i/>
          <w:iCs/>
        </w:rPr>
        <w:t xml:space="preserve">au sens inclusif</w:t>
      </w:r>
      <w:r>
        <w:t xml:space="preserve"> </w:t>
      </w:r>
      <w:r>
        <w:t xml:space="preserve">croît avec l’ampleur du répertoire de canaux, de 28 % (C2) à 100 % (C4) ; mais la vente directe</w:t>
      </w:r>
      <w:r>
        <w:t xml:space="preserve"> </w:t>
      </w:r>
      <w:r>
        <w:rPr>
          <w:i/>
          <w:iCs/>
        </w:rPr>
        <w:t xml:space="preserve">régulière</w:t>
      </w:r>
      <w:r>
        <w:t xml:space="preserve"> </w:t>
      </w:r>
      <w:r>
        <w:t xml:space="preserve">culmine chez les seuls omnivores engagés (C3, 67 %), soulignant que largeur du répertoire et intensité d’engagement ne se confondent pas.</w:t>
      </w:r>
    </w:p>
    <w:bookmarkEnd w:id="33"/>
    <w:bookmarkStart w:id="37" w:name="des-déterminants-sociaux-ténus"/>
    <w:p>
      <w:pPr>
        <w:pStyle w:val="Heading2"/>
      </w:pPr>
      <w:r>
        <w:t xml:space="preserve">4.5 Des déterminants sociaux ténus</w:t>
      </w:r>
    </w:p>
    <w:p>
      <w:pPr>
        <w:pStyle w:val="FirstParagraph"/>
      </w:pPr>
      <w:r>
        <w:t xml:space="preserve">La régression logistique (tableau 5, figure 4) confirme et nuance ce constat. Le modèle explique</w:t>
      </w:r>
      <w:r>
        <w:t xml:space="preserve"> </w:t>
      </w:r>
      <w:r>
        <w:rPr>
          <w:b/>
          <w:bCs/>
        </w:rPr>
        <w:t xml:space="preserve">très peu</w:t>
      </w:r>
      <w:r>
        <w:t xml:space="preserve"> </w:t>
      </w:r>
      <w:r>
        <w:t xml:space="preserve">de la variance de la pratique de vente directe (pseudo-R² de McFadden = 0,022). Deux effets seulement ressortent nettement : appartenir aux</w:t>
      </w:r>
      <w:r>
        <w:t xml:space="preserve"> </w:t>
      </w:r>
      <w:r>
        <w:rPr>
          <w:b/>
          <w:bCs/>
        </w:rPr>
        <w:t xml:space="preserve">cadres et professions libérales</w:t>
      </w:r>
      <w:r>
        <w:t xml:space="preserve"> </w:t>
      </w:r>
      <w:r>
        <w:t xml:space="preserve">multiplie par 2,16 les chances de pratiquer la vente directe (p = 0,003), et un</w:t>
      </w:r>
      <w:r>
        <w:t xml:space="preserve"> </w:t>
      </w:r>
      <w:r>
        <w:rPr>
          <w:b/>
          <w:bCs/>
        </w:rPr>
        <w:t xml:space="preserve">budget alimentaire élevé</w:t>
      </w:r>
      <w:r>
        <w:t xml:space="preserve"> </w:t>
      </w:r>
      <w:r>
        <w:t xml:space="preserve">l’accroît modérément (OR = 1,18 par écart-type, p = 0,028). Les professions intermédiaires sont également au-dessus de la référence (OR = 1,60, p = 0,027). En revanche, le sexe, l’âge et la taille d’agglomération n’ont pas d’effet significatif.</w:t>
      </w:r>
    </w:p>
    <w:p>
      <w:pPr>
        <w:pStyle w:val="BodyText"/>
      </w:pPr>
      <w:r>
        <w:rPr>
          <w:b/>
          <w:bCs/>
        </w:rPr>
        <w:t xml:space="preserve">Tableau 5.</w:t>
      </w:r>
      <w:r>
        <w:t xml:space="preserve"> </w:t>
      </w:r>
      <w:r>
        <w:t xml:space="preserve">Régression logistique de la pratique de vente directe (extraits ; référence : homme, 20-24 ans, employés/ouvriers).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Odds-ratio</w:t>
            </w:r>
          </w:p>
        </w:tc>
        <w:tc>
          <w:tcPr/>
          <w:p>
            <w:pPr>
              <w:pStyle w:val="Compact"/>
            </w:pPr>
            <w:r>
              <w:t xml:space="preserve">IC 95 %</w:t>
            </w:r>
          </w:p>
        </w:tc>
        <w:tc>
          <w:tcPr/>
          <w:p>
            <w:pPr>
              <w:pStyle w:val="Compact"/>
            </w:pPr>
            <w:r>
              <w:t xml:space="preserve">p</w:t>
            </w:r>
          </w:p>
        </w:tc>
      </w:tr>
      <w:tr>
        <w:tc>
          <w:tcPr/>
          <w:p>
            <w:pPr>
              <w:pStyle w:val="Compact"/>
            </w:pPr>
            <w:r>
              <w:t xml:space="preserve">Cadres / prof. libérales</w:t>
            </w:r>
          </w:p>
        </w:tc>
        <w:tc>
          <w:tcPr/>
          <w:p>
            <w:pPr>
              <w:pStyle w:val="Compact"/>
            </w:pPr>
            <w:r>
              <w:t xml:space="preserve">2,16</w:t>
            </w:r>
          </w:p>
        </w:tc>
        <w:tc>
          <w:tcPr/>
          <w:p>
            <w:pPr>
              <w:pStyle w:val="Compact"/>
            </w:pPr>
            <w:r>
              <w:t xml:space="preserve">[1,31–3,55]</w:t>
            </w:r>
          </w:p>
        </w:tc>
        <w:tc>
          <w:tcPr/>
          <w:p>
            <w:pPr>
              <w:pStyle w:val="Compact"/>
            </w:pPr>
            <w:r>
              <w:t xml:space="preserve">0,003</w:t>
            </w:r>
          </w:p>
        </w:tc>
      </w:tr>
      <w:tr>
        <w:tc>
          <w:tcPr/>
          <w:p>
            <w:pPr>
              <w:pStyle w:val="Compact"/>
            </w:pPr>
            <w:r>
              <w:t xml:space="preserve">Professions intermédiaires</w:t>
            </w:r>
          </w:p>
        </w:tc>
        <w:tc>
          <w:tcPr/>
          <w:p>
            <w:pPr>
              <w:pStyle w:val="Compact"/>
            </w:pPr>
            <w:r>
              <w:t xml:space="preserve">1,60</w:t>
            </w:r>
          </w:p>
        </w:tc>
        <w:tc>
          <w:tcPr/>
          <w:p>
            <w:pPr>
              <w:pStyle w:val="Compact"/>
            </w:pPr>
            <w:r>
              <w:t xml:space="preserve">[1,06–2,41]</w:t>
            </w:r>
          </w:p>
        </w:tc>
        <w:tc>
          <w:tcPr/>
          <w:p>
            <w:pPr>
              <w:pStyle w:val="Compact"/>
            </w:pPr>
            <w:r>
              <w:t xml:space="preserve">0,027</w:t>
            </w:r>
          </w:p>
        </w:tc>
      </w:tr>
      <w:tr>
        <w:tc>
          <w:tcPr/>
          <w:p>
            <w:pPr>
              <w:pStyle w:val="Compact"/>
            </w:pPr>
            <w:r>
              <w:t xml:space="preserve">Budget (par écart-type)</w:t>
            </w:r>
          </w:p>
        </w:tc>
        <w:tc>
          <w:tcPr/>
          <w:p>
            <w:pPr>
              <w:pStyle w:val="Compact"/>
            </w:pPr>
            <w:r>
              <w:t xml:space="preserve">1,18</w:t>
            </w:r>
          </w:p>
        </w:tc>
        <w:tc>
          <w:tcPr/>
          <w:p>
            <w:pPr>
              <w:pStyle w:val="Compact"/>
            </w:pPr>
            <w:r>
              <w:t xml:space="preserve">[1,02–1,37]</w:t>
            </w:r>
          </w:p>
        </w:tc>
        <w:tc>
          <w:tcPr/>
          <w:p>
            <w:pPr>
              <w:pStyle w:val="Compact"/>
            </w:pPr>
            <w:r>
              <w:t xml:space="preserve">0,028</w:t>
            </w:r>
          </w:p>
        </w:tc>
      </w:tr>
      <w:tr>
        <w:tc>
          <w:tcPr/>
          <w:p>
            <w:pPr>
              <w:pStyle w:val="Compact"/>
            </w:pPr>
            <w:r>
              <w:t xml:space="preserve">Sexe = femme</w:t>
            </w:r>
          </w:p>
        </w:tc>
        <w:tc>
          <w:tcPr/>
          <w:p>
            <w:pPr>
              <w:pStyle w:val="Compact"/>
            </w:pPr>
            <w:r>
              <w:t xml:space="preserve">0,91</w:t>
            </w:r>
          </w:p>
        </w:tc>
        <w:tc>
          <w:tcPr/>
          <w:p>
            <w:pPr>
              <w:pStyle w:val="Compact"/>
            </w:pPr>
            <w:r>
              <w:t xml:space="preserve">[0,70–1,18]</w:t>
            </w:r>
          </w:p>
        </w:tc>
        <w:tc>
          <w:tcPr/>
          <w:p>
            <w:pPr>
              <w:pStyle w:val="Compact"/>
            </w:pPr>
            <w:r>
              <w:t xml:space="preserve">0,478</w:t>
            </w:r>
          </w:p>
        </w:tc>
      </w:tr>
      <w:tr>
        <w:tc>
          <w:tcPr/>
          <w:p>
            <w:pPr>
              <w:pStyle w:val="Compact"/>
            </w:pPr>
            <w:r>
              <w:t xml:space="preserve">Taille d’agglomération</w:t>
            </w:r>
          </w:p>
        </w:tc>
        <w:tc>
          <w:tcPr/>
          <w:p>
            <w:pPr>
              <w:pStyle w:val="Compact"/>
            </w:pPr>
            <w:r>
              <w:t xml:space="preserve">0,97</w:t>
            </w:r>
          </w:p>
        </w:tc>
        <w:tc>
          <w:tcPr/>
          <w:p>
            <w:pPr>
              <w:pStyle w:val="Compact"/>
            </w:pPr>
            <w:r>
              <w:t xml:space="preserve">[0,85–1,11]</w:t>
            </w:r>
          </w:p>
        </w:tc>
        <w:tc>
          <w:tcPr/>
          <w:p>
            <w:pPr>
              <w:pStyle w:val="Compact"/>
            </w:pPr>
            <w:r>
              <w:t xml:space="preserve">0,635</w:t>
            </w:r>
          </w:p>
        </w:tc>
      </w:tr>
    </w:tbl>
    <w:p>
      <w:pPr>
        <w:pStyle w:val="CaptionedFigure"/>
      </w:pPr>
      <w:r>
        <w:drawing>
          <wp:inline>
            <wp:extent cx="5334000" cy="3815982"/>
            <wp:effectExtent b="0" l="0" r="0" t="0"/>
            <wp:docPr descr="Figure 4" title="" id="35" name="Picture"/>
            <a:graphic>
              <a:graphicData uri="http://schemas.openxmlformats.org/drawingml/2006/picture">
                <pic:pic>
                  <pic:nvPicPr>
                    <pic:cNvPr descr="/home/user/formation-Claude/figures/png/fig4_regression_or.png" id="36" name="Picture"/>
                    <pic:cNvPicPr>
                      <a:picLocks noChangeArrowheads="1" noChangeAspect="1"/>
                    </pic:cNvPicPr>
                  </pic:nvPicPr>
                  <pic:blipFill>
                    <a:blip r:embed="rId34"/>
                    <a:stretch>
                      <a:fillRect/>
                    </a:stretch>
                  </pic:blipFill>
                  <pic:spPr bwMode="auto">
                    <a:xfrm>
                      <a:off x="0" y="0"/>
                      <a:ext cx="5334000" cy="3815982"/>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Déterminants de la pratique de vente directe (odds-ratios ; en rouge, effets significatifs à 5 %).</w:t>
      </w:r>
    </w:p>
    <w:p>
      <w:pPr>
        <w:pStyle w:val="BodyText"/>
      </w:pPr>
      <w:r>
        <w:t xml:space="preserve">La faiblesse du pouvoir explicatif est, en soi, un résultat. Elle soutient l’hypothèse H2 : la vente directe n’est pas le marqueur d’un groupe social circonscrit. Si les cadres y recourent un peu plus, l’essentiel de la pratique se distribue</w:t>
      </w:r>
      <w:r>
        <w:t xml:space="preserve"> </w:t>
      </w:r>
      <w:r>
        <w:rPr>
          <w:b/>
          <w:bCs/>
        </w:rPr>
        <w:t xml:space="preserve">transversalement</w:t>
      </w:r>
      <w:r>
        <w:t xml:space="preserve"> </w:t>
      </w:r>
      <w:r>
        <w:t xml:space="preserve">aux catégories — comme l’illustre l’existence du groupe hors-hypermarché à budget modeste. La vente directe apparaît ainsi moins comme une distinction de classe que comme une</w:t>
      </w:r>
      <w:r>
        <w:t xml:space="preserve"> </w:t>
      </w:r>
      <w:r>
        <w:rPr>
          <w:b/>
          <w:bCs/>
        </w:rPr>
        <w:t xml:space="preserve">possibilité d’appoint largement partagée</w:t>
      </w:r>
      <w:r>
        <w:t xml:space="preserve">. Ce résultat converge avec les conclusions de la revue systématique de</w:t>
      </w:r>
      <w:r>
        <w:t xml:space="preserve"> </w:t>
      </w:r>
      <w:r>
        <w:t xml:space="preserve">Herzig et Zander (2025)</w:t>
      </w:r>
      <w:r>
        <w:t xml:space="preserve">, pour qui les variables sociodémographiques, bien que fréquemment étudiées, expliquent finalement peu le comportement d’achat en circuit court, au profit de facteurs contextuels et relationnels.</w:t>
      </w:r>
    </w:p>
    <w:bookmarkEnd w:id="37"/>
    <w:bookmarkStart w:id="41" w:name="des-motivations-ancrées-dans-le-local"/>
    <w:p>
      <w:pPr>
        <w:pStyle w:val="Heading2"/>
      </w:pPr>
      <w:r>
        <w:t xml:space="preserve">4.6 Des motivations ancrées dans le local</w:t>
      </w:r>
    </w:p>
    <w:p>
      <w:pPr>
        <w:pStyle w:val="FirstParagraph"/>
      </w:pPr>
      <w:r>
        <w:t xml:space="preserve">Interrogés sur leurs raisons d’acheter sur les marchés (lieu de contact direct le plus fréquent avec les producteurs), les répondants placent en tête l’achat de</w:t>
      </w:r>
      <w:r>
        <w:t xml:space="preserve"> </w:t>
      </w:r>
      <w:r>
        <w:rPr>
          <w:b/>
          <w:bCs/>
        </w:rPr>
        <w:t xml:space="preserve">produits locaux</w:t>
      </w:r>
      <w:r>
        <w:t xml:space="preserve"> </w:t>
      </w:r>
      <w:r>
        <w:t xml:space="preserve">(cité dans le top 3 par 51 % d’entre eux), les</w:t>
      </w:r>
      <w:r>
        <w:t xml:space="preserve"> </w:t>
      </w:r>
      <w:r>
        <w:rPr>
          <w:b/>
          <w:bCs/>
        </w:rPr>
        <w:t xml:space="preserve">produits en circuit court</w:t>
      </w:r>
      <w:r>
        <w:t xml:space="preserve"> </w:t>
      </w:r>
      <w:r>
        <w:t xml:space="preserve">(41 %), le</w:t>
      </w:r>
      <w:r>
        <w:t xml:space="preserve"> </w:t>
      </w:r>
      <w:r>
        <w:rPr>
          <w:b/>
          <w:bCs/>
        </w:rPr>
        <w:t xml:space="preserve">goût</w:t>
      </w:r>
      <w:r>
        <w:t xml:space="preserve"> </w:t>
      </w:r>
      <w:r>
        <w:t xml:space="preserve">(39 %) et le</w:t>
      </w:r>
      <w:r>
        <w:t xml:space="preserve"> </w:t>
      </w:r>
      <w:r>
        <w:rPr>
          <w:b/>
          <w:bCs/>
        </w:rPr>
        <w:t xml:space="preserve">soutien aux agriculteurs et à l’économie locale</w:t>
      </w:r>
      <w:r>
        <w:t xml:space="preserve"> </w:t>
      </w:r>
      <w:r>
        <w:t xml:space="preserve">(34 %). Le</w:t>
      </w:r>
      <w:r>
        <w:t xml:space="preserve"> </w:t>
      </w:r>
      <w:r>
        <w:rPr>
          <w:b/>
          <w:bCs/>
        </w:rPr>
        <w:t xml:space="preserve">prix</w:t>
      </w:r>
      <w:r>
        <w:t xml:space="preserve"> </w:t>
      </w:r>
      <w:r>
        <w:t xml:space="preserve">n’arrive qu’au cinquième rang (18 %), confirmant que la vente directe se joue sur le registre de la qualité et du sens, non sur celui de l’économie monétaire (figure 5).</w:t>
      </w:r>
    </w:p>
    <w:p>
      <w:pPr>
        <w:pStyle w:val="CaptionedFigure"/>
      </w:pPr>
      <w:r>
        <w:drawing>
          <wp:inline>
            <wp:extent cx="5334000" cy="2856558"/>
            <wp:effectExtent b="0" l="0" r="0" t="0"/>
            <wp:docPr descr="Figure 5" title="" id="39" name="Picture"/>
            <a:graphic>
              <a:graphicData uri="http://schemas.openxmlformats.org/drawingml/2006/picture">
                <pic:pic>
                  <pic:nvPicPr>
                    <pic:cNvPr descr="/home/user/formation-Claude/figures/png/fig5_motivations_marche.png" id="40" name="Picture"/>
                    <pic:cNvPicPr>
                      <a:picLocks noChangeArrowheads="1" noChangeAspect="1"/>
                    </pic:cNvPicPr>
                  </pic:nvPicPr>
                  <pic:blipFill>
                    <a:blip r:embed="rId38"/>
                    <a:stretch>
                      <a:fillRect/>
                    </a:stretch>
                  </pic:blipFill>
                  <pic:spPr bwMode="auto">
                    <a:xfrm>
                      <a:off x="0" y="0"/>
                      <a:ext cx="5334000" cy="2856558"/>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Principales motivations d’achat sur les marchés (classement top 3).</w:t>
      </w:r>
    </w:p>
    <w:bookmarkEnd w:id="41"/>
    <w:bookmarkEnd w:id="42"/>
    <w:bookmarkStart w:id="47" w:name="discussion"/>
    <w:p>
      <w:pPr>
        <w:pStyle w:val="Heading1"/>
      </w:pPr>
      <w:r>
        <w:t xml:space="preserve">5. Discussion</w:t>
      </w:r>
    </w:p>
    <w:bookmarkStart w:id="43" w:name="la-vente-directe-comme-complément-diffus"/>
    <w:p>
      <w:pPr>
        <w:pStyle w:val="Heading2"/>
      </w:pPr>
      <w:r>
        <w:t xml:space="preserve">5.1 La vente directe comme complément diffus</w:t>
      </w:r>
    </w:p>
    <w:p>
      <w:pPr>
        <w:pStyle w:val="FirstParagraph"/>
      </w:pPr>
      <w:r>
        <w:t xml:space="preserve">Le principal apport de cet article tient à la</w:t>
      </w:r>
      <w:r>
        <w:t xml:space="preserve"> </w:t>
      </w:r>
      <w:r>
        <w:rPr>
          <w:b/>
          <w:bCs/>
        </w:rPr>
        <w:t xml:space="preserve">requalification</w:t>
      </w:r>
      <w:r>
        <w:t xml:space="preserve"> </w:t>
      </w:r>
      <w:r>
        <w:t xml:space="preserve">de la place de la vente directe. Les travaux existants, centrés sur les adeptes ou sur les dispositifs, pouvaient laisser penser à une pratique relativement circonscrite et engagée. Lue à l’échelle du portefeuille de canaux et sur données représentatives, la vente directe se révèle au contraire</w:t>
      </w:r>
      <w:r>
        <w:t xml:space="preserve"> </w:t>
      </w:r>
      <w:r>
        <w:rPr>
          <w:b/>
          <w:bCs/>
        </w:rPr>
        <w:t xml:space="preserve">largement diffusée mais peu intensive</w:t>
      </w:r>
      <w:r>
        <w:t xml:space="preserve"> </w:t>
      </w:r>
      <w:r>
        <w:t xml:space="preserve">: essayée par deux ménages sur trois, mobilisée régulièrement par moins d’un sur cinq, et marginale dans le budget. Elle fonctionne comme un</w:t>
      </w:r>
      <w:r>
        <w:t xml:space="preserve"> </w:t>
      </w:r>
      <w:r>
        <w:rPr>
          <w:b/>
          <w:bCs/>
        </w:rPr>
        <w:t xml:space="preserve">complément ciblé</w:t>
      </w:r>
      <w:r>
        <w:t xml:space="preserve"> </w:t>
      </w:r>
      <w:r>
        <w:t xml:space="preserve">— vraisemblablement adossé à certaines catégories de produits et à des occasions particulières — et non comme une alternative globale à la grande distribution. Ce constat rejoint l’idée, présente dans la littérature sur les réseaux alimentaires alternatifs, d’une coexistence plutôt que d’une rupture entre circuits</w:t>
      </w:r>
      <w:r>
        <w:t xml:space="preserve"> </w:t>
      </w:r>
      <w:r>
        <w:t xml:space="preserve">(Goodman et DuPuis 2002; Sage 2003)</w:t>
      </w:r>
      <w:r>
        <w:t xml:space="preserve">, mais il la quantifie précisément du point de vue du consommateur. Il donne surtout une mesure inédite de l’</w:t>
      </w:r>
      <w:r>
        <w:rPr>
          <w:i/>
          <w:iCs/>
        </w:rPr>
        <w:t xml:space="preserve">attitude-behaviour gap</w:t>
      </w:r>
      <w:r>
        <w:t xml:space="preserve"> </w:t>
      </w:r>
      <w:r>
        <w:t xml:space="preserve">(Vermeir et Verbeke 2006)</w:t>
      </w:r>
      <w:r>
        <w:t xml:space="preserve"> </w:t>
      </w:r>
      <w:r>
        <w:t xml:space="preserve">: alors que la méta-analyse de</w:t>
      </w:r>
      <w:r>
        <w:t xml:space="preserve"> </w:t>
      </w:r>
      <w:r>
        <w:t xml:space="preserve">Mustapa et Kallas (2025)</w:t>
      </w:r>
      <w:r>
        <w:t xml:space="preserve"> </w:t>
      </w:r>
      <w:r>
        <w:t xml:space="preserve">chiffre à +34,5 % la prime que les consommateurs se déclarent prêts à payer pour un produit de circuit court, la part de budget réellement consacrée à la vente directe reste marginale. L’écart entre l’intention affichée et l’allocation effective n’est pas anecdotique — il est au cœur du phénomène. Il fait également écho aux travaux récents qui, après l’espoir suscité par la crise sanitaire de voir les circuits courts monter en puissance, constatent une</w:t>
      </w:r>
      <w:r>
        <w:t xml:space="preserve"> </w:t>
      </w:r>
      <w:r>
        <w:rPr>
          <w:b/>
          <w:bCs/>
        </w:rPr>
        <w:t xml:space="preserve">normalisation</w:t>
      </w:r>
      <w:r>
        <w:t xml:space="preserve"> </w:t>
      </w:r>
      <w:r>
        <w:t xml:space="preserve">: leur contribution durable à la transition alimentaire suppose de dépasser le statut d’appoint</w:t>
      </w:r>
      <w:r>
        <w:t xml:space="preserve"> </w:t>
      </w:r>
      <w:r>
        <w:t xml:space="preserve">(Chiffoleau et Dourian 2020)</w:t>
      </w:r>
      <w:r>
        <w:t xml:space="preserve">.</w:t>
      </w:r>
    </w:p>
    <w:bookmarkEnd w:id="43"/>
    <w:bookmarkStart w:id="44" w:name="Xb1927cd501916c0e629b238992db577b94962c6"/>
    <w:p>
      <w:pPr>
        <w:pStyle w:val="Heading2"/>
      </w:pPr>
      <w:r>
        <w:t xml:space="preserve">5.2 Une transversalité sociale qui interroge les politiques publiques</w:t>
      </w:r>
    </w:p>
    <w:p>
      <w:pPr>
        <w:pStyle w:val="FirstParagraph"/>
      </w:pPr>
      <w:r>
        <w:t xml:space="preserve">Le second apport concerne la</w:t>
      </w:r>
      <w:r>
        <w:t xml:space="preserve"> </w:t>
      </w:r>
      <w:r>
        <w:rPr>
          <w:b/>
          <w:bCs/>
        </w:rPr>
        <w:t xml:space="preserve">faible détermination sociale</w:t>
      </w:r>
      <w:r>
        <w:t xml:space="preserve"> </w:t>
      </w:r>
      <w:r>
        <w:t xml:space="preserve">de la pratique. Contrairement à une lecture distinctive qui réserverait les circuits courts à des catégories aisées et urbaines, nos résultats montrent une diffusion transversale, dont témoigne le petit groupe de ménages hors-hypermarché à budget modeste. La sur-représentation des cadres est réelle mais modérée, et le pouvoir explicatif global des variables sociodémographiques est faible. Ce résultat a une portée pour l’action publique : si la vente directe n’est pas l’apanage d’un groupe, les politiques de soutien aux circuits courts peuvent viser un public large, à condition de lever les</w:t>
      </w:r>
      <w:r>
        <w:t xml:space="preserve"> </w:t>
      </w:r>
      <w:r>
        <w:rPr>
          <w:b/>
          <w:bCs/>
        </w:rPr>
        <w:t xml:space="preserve">freins pratiques</w:t>
      </w:r>
      <w:r>
        <w:t xml:space="preserve"> </w:t>
      </w:r>
      <w:r>
        <w:t xml:space="preserve">(accessibilité, temps, régularité de l’offre) plutôt que de cibler une catégorie supposée acquise.</w:t>
      </w:r>
    </w:p>
    <w:bookmarkEnd w:id="44"/>
    <w:bookmarkStart w:id="45" w:name="X42bddffd3b8151c2ab10e23a331c071586deea7"/>
    <w:p>
      <w:pPr>
        <w:pStyle w:val="Heading2"/>
      </w:pPr>
      <w:r>
        <w:t xml:space="preserve">5.3 Les stratégies d’approvisionnement comme grille de lecture</w:t>
      </w:r>
    </w:p>
    <w:p>
      <w:pPr>
        <w:pStyle w:val="FirstParagraph"/>
      </w:pPr>
      <w:r>
        <w:t xml:space="preserve">La typologie en cinq classes illustre l’intérêt d’une approche par les portefeuilles. Elle déplace l’attention des individus vers les</w:t>
      </w:r>
      <w:r>
        <w:t xml:space="preserve"> </w:t>
      </w:r>
      <w:r>
        <w:rPr>
          <w:b/>
          <w:bCs/>
        </w:rPr>
        <w:t xml:space="preserve">configurations d’usage</w:t>
      </w:r>
      <w:r>
        <w:t xml:space="preserve"> </w:t>
      </w:r>
      <w:r>
        <w:t xml:space="preserve">: ce n’est pas tant le profil sociodémographique qui prédit la vente directe que la</w:t>
      </w:r>
      <w:r>
        <w:t xml:space="preserve"> </w:t>
      </w:r>
      <w:r>
        <w:rPr>
          <w:b/>
          <w:bCs/>
        </w:rPr>
        <w:t xml:space="preserve">stratégie d’approvisionnement</w:t>
      </w:r>
      <w:r>
        <w:t xml:space="preserve"> </w:t>
      </w:r>
      <w:r>
        <w:t xml:space="preserve">dans laquelle elle s’inscrit. Les omnivores engagés l’</w:t>
      </w:r>
      <w:r>
        <w:rPr>
          <w:b/>
          <w:bCs/>
        </w:rPr>
        <w:t xml:space="preserve">installent</w:t>
      </w:r>
      <w:r>
        <w:t xml:space="preserve"> </w:t>
      </w:r>
      <w:r>
        <w:t xml:space="preserve">dans une routine multi-canal dense ; les captifs de la grande distribution s’en tiennent à distance, même à l’essai ; les multi-canal conventionnels l’</w:t>
      </w:r>
      <w:r>
        <w:rPr>
          <w:b/>
          <w:bCs/>
        </w:rPr>
        <w:t xml:space="preserve">essaient</w:t>
      </w:r>
      <w:r>
        <w:t xml:space="preserve"> </w:t>
      </w:r>
      <w:r>
        <w:t xml:space="preserve">largement sans l’intégrer à leurs habitudes ; les ménages hors-hypermarché s’organisent autour du marché et des commerces de proximité. La distinction entre</w:t>
      </w:r>
      <w:r>
        <w:t xml:space="preserve"> </w:t>
      </w:r>
      <w:r>
        <w:rPr>
          <w:b/>
          <w:bCs/>
        </w:rPr>
        <w:t xml:space="preserve">essai ponctuel</w:t>
      </w:r>
      <w:r>
        <w:t xml:space="preserve"> </w:t>
      </w:r>
      <w:r>
        <w:t xml:space="preserve">et</w:t>
      </w:r>
      <w:r>
        <w:t xml:space="preserve"> </w:t>
      </w:r>
      <w:r>
        <w:rPr>
          <w:b/>
          <w:bCs/>
        </w:rPr>
        <w:t xml:space="preserve">usage installé</w:t>
      </w:r>
      <w:r>
        <w:t xml:space="preserve"> </w:t>
      </w:r>
      <w:r>
        <w:t xml:space="preserve">— que révèle l’écart entre vente directe inclusive et régulière — apparaît ainsi comme un ressort central de ces configurations, et une variable-clé pour qui veut faire passer la vente directe du répertoire d’appoint au socle de l’approvisionnement. Cette grille pourrait être réinvestie pour d’autres canaux alternatifs (bio, vrac, anti-gaspillage) et pour suivre, dans le temps, les recompositions des répertoires d’achat.</w:t>
      </w:r>
    </w:p>
    <w:bookmarkEnd w:id="45"/>
    <w:bookmarkStart w:id="46" w:name="limites"/>
    <w:p>
      <w:pPr>
        <w:pStyle w:val="Heading2"/>
      </w:pPr>
      <w:r>
        <w:t xml:space="preserve">5.4 Limites</w:t>
      </w:r>
    </w:p>
    <w:p>
      <w:pPr>
        <w:pStyle w:val="FirstParagraph"/>
      </w:pPr>
      <w:r>
        <w:t xml:space="preserve">Plusieurs limites doivent être soulignées. D’abord, l’enquête est</w:t>
      </w:r>
      <w:r>
        <w:t xml:space="preserve"> </w:t>
      </w:r>
      <w:r>
        <w:rPr>
          <w:b/>
          <w:bCs/>
        </w:rPr>
        <w:t xml:space="preserve">transversale</w:t>
      </w:r>
      <w:r>
        <w:t xml:space="preserve"> </w:t>
      </w:r>
      <w:r>
        <w:t xml:space="preserve">: elle ne permet pas de mesurer les évolutions récentes (effets de la crise sanitaire, de l’inflation alimentaire) que la littérature documente par ailleurs ; nos résultats décrivent un état, non une trajectoire. Ensuite, les mesures sont</w:t>
      </w:r>
      <w:r>
        <w:t xml:space="preserve"> </w:t>
      </w:r>
      <w:r>
        <w:rPr>
          <w:b/>
          <w:bCs/>
        </w:rPr>
        <w:t xml:space="preserve">déclaratives</w:t>
      </w:r>
      <w:r>
        <w:t xml:space="preserve"> </w:t>
      </w:r>
      <w:r>
        <w:t xml:space="preserve">: la fréquentation et surtout les parts de budget reposent sur l’estimation des répondants, sujette à des biais de mémoire et de désirabilité sociale. Le</w:t>
      </w:r>
      <w:r>
        <w:t xml:space="preserve"> </w:t>
      </w:r>
      <w:r>
        <w:rPr>
          <w:b/>
          <w:bCs/>
        </w:rPr>
        <w:t xml:space="preserve">caveat budgétaire</w:t>
      </w:r>
      <w:r>
        <w:t xml:space="preserve"> </w:t>
      </w:r>
      <w:r>
        <w:t xml:space="preserve">déjà signalé — l’impossibilité d’isoler la part directe des achats sur les marchés — conduit à sous-estimer le poids total de la vente directe. Enfin, la plus petite classe (hors-hypermarché, n = 26) appelle la prudence dans l’interprétation de ses caractéristiques fines, et les motivations n’ont été analysées que pour le canal des marchés.</w:t>
      </w:r>
    </w:p>
    <w:bookmarkEnd w:id="46"/>
    <w:bookmarkEnd w:id="47"/>
    <w:bookmarkStart w:id="48" w:name="conclusion"/>
    <w:p>
      <w:pPr>
        <w:pStyle w:val="Heading1"/>
      </w:pPr>
      <w:r>
        <w:t xml:space="preserve">6. Conclusion</w:t>
      </w:r>
    </w:p>
    <w:p>
      <w:pPr>
        <w:pStyle w:val="FirstParagraph"/>
      </w:pPr>
      <w:r>
        <w:t xml:space="preserve">À partir d’une enquête représentative auprès de 1 025 ménages français, cet article a réexaminé la place de la vente directe alimentaire en l’inscrivant dans les</w:t>
      </w:r>
      <w:r>
        <w:t xml:space="preserve"> </w:t>
      </w:r>
      <w:r>
        <w:rPr>
          <w:b/>
          <w:bCs/>
        </w:rPr>
        <w:t xml:space="preserve">stratégies d’approvisionnement</w:t>
      </w:r>
      <w:r>
        <w:t xml:space="preserve"> </w:t>
      </w:r>
      <w:r>
        <w:t xml:space="preserve">des ménages plutôt qu’en l’isolant. Trois enseignements se dégagent. La vente directe est</w:t>
      </w:r>
      <w:r>
        <w:t xml:space="preserve"> </w:t>
      </w:r>
      <w:r>
        <w:rPr>
          <w:b/>
          <w:bCs/>
        </w:rPr>
        <w:t xml:space="preserve">largement diffusée mais budgétairement marginale</w:t>
      </w:r>
      <w:r>
        <w:t xml:space="preserve"> </w:t>
      </w:r>
      <w:r>
        <w:t xml:space="preserve">— un complément, non un substitut. Elle se distribue</w:t>
      </w:r>
      <w:r>
        <w:t xml:space="preserve"> </w:t>
      </w:r>
      <w:r>
        <w:rPr>
          <w:b/>
          <w:bCs/>
        </w:rPr>
        <w:t xml:space="preserve">transversalement</w:t>
      </w:r>
      <w:r>
        <w:t xml:space="preserve"> </w:t>
      </w:r>
      <w:r>
        <w:t xml:space="preserve">aux catégories sociales, sans constituer un marqueur de groupe. Et elle prend des sens différents selon la</w:t>
      </w:r>
      <w:r>
        <w:t xml:space="preserve"> </w:t>
      </w:r>
      <w:r>
        <w:rPr>
          <w:b/>
          <w:bCs/>
        </w:rPr>
        <w:t xml:space="preserve">stratégie d’approvisionnement</w:t>
      </w:r>
      <w:r>
        <w:t xml:space="preserve"> </w:t>
      </w:r>
      <w:r>
        <w:t xml:space="preserve">dans laquelle elle s’insère, depuis l’évitement des captifs de la grande distribution jusqu’à l’intégration dense des omnivores engagés. Loin d’être une niche militante, la vente directe apparaît comme une</w:t>
      </w:r>
      <w:r>
        <w:t xml:space="preserve"> </w:t>
      </w:r>
      <w:r>
        <w:rPr>
          <w:b/>
          <w:bCs/>
        </w:rPr>
        <w:t xml:space="preserve">possibilité d’appoint partagée</w:t>
      </w:r>
      <w:r>
        <w:t xml:space="preserve">, dont l’avenir dépendra moins de la conversion de nouveaux publics que de la levée des freins pratiques qui en limitent l’intensité. Des travaux longitudinaux permettraient de tester si cette place d’appoint se consolide ou se recompose sous l’effet des tensions actuelles sur le pouvoir d’achat et la transition alimentaire.</w:t>
      </w:r>
    </w:p>
    <w:p>
      <w:r>
        <w:pict>
          <v:rect style="width:0;height:1.5pt" o:hralign="center" o:hrstd="t" o:hr="t"/>
        </w:pict>
      </w:r>
    </w:p>
    <w:bookmarkEnd w:id="48"/>
    <w:bookmarkStart w:id="82" w:name="références"/>
    <w:p>
      <w:pPr>
        <w:pStyle w:val="Heading1"/>
      </w:pPr>
      <w:r>
        <w:t xml:space="preserve">Références</w:t>
      </w:r>
    </w:p>
    <w:bookmarkStart w:id="81" w:name="refs"/>
    <w:bookmarkStart w:id="50" w:name="ref-birch2018"/>
    <w:p>
      <w:pPr>
        <w:pStyle w:val="Bibliography"/>
      </w:pPr>
      <w:r>
        <w:t xml:space="preserve">Birch, Dawn, Juliet Memery, et Maheshan De Silva Kanakaratne. 2018.</w:t>
      </w:r>
      <w:r>
        <w:t xml:space="preserve"> </w:t>
      </w:r>
      <w:r>
        <w:t xml:space="preserve">« The mindful consumer: Balancing egoistic and altruistic motivations to purchase local food »</w:t>
      </w:r>
      <w:r>
        <w:t xml:space="preserve">.</w:t>
      </w:r>
      <w:r>
        <w:t xml:space="preserve"> </w:t>
      </w:r>
      <w:r>
        <w:rPr>
          <w:i/>
          <w:iCs/>
        </w:rPr>
        <w:t xml:space="preserve">Journal of Retailing and Consumer Services</w:t>
      </w:r>
      <w:r>
        <w:t xml:space="preserve"> </w:t>
      </w:r>
      <w:r>
        <w:t xml:space="preserve">40: 221‑28.</w:t>
      </w:r>
      <w:r>
        <w:t xml:space="preserve"> </w:t>
      </w:r>
      <w:hyperlink r:id="rId49">
        <w:r>
          <w:rPr>
            <w:rStyle w:val="Hyperlink"/>
          </w:rPr>
          <w:t xml:space="preserve">https://doi.org/10.1016/j.jretconser.2017.10.013</w:t>
        </w:r>
      </w:hyperlink>
      <w:r>
        <w:t xml:space="preserve">.</w:t>
      </w:r>
    </w:p>
    <w:bookmarkEnd w:id="50"/>
    <w:bookmarkStart w:id="51" w:name="ref-chiffoleau2019"/>
    <w:p>
      <w:pPr>
        <w:pStyle w:val="Bibliography"/>
      </w:pPr>
      <w:r>
        <w:t xml:space="preserve">Chiffoleau, Yuna. 2019.</w:t>
      </w:r>
      <w:r>
        <w:t xml:space="preserve"> </w:t>
      </w:r>
      <w:r>
        <w:rPr>
          <w:i/>
          <w:iCs/>
        </w:rPr>
        <w:t xml:space="preserve">Les circuits courts alimentaires : entre marché et innovation sociale</w:t>
      </w:r>
      <w:r>
        <w:t xml:space="preserve">. Érès.</w:t>
      </w:r>
    </w:p>
    <w:bookmarkEnd w:id="51"/>
    <w:bookmarkStart w:id="53" w:name="ref-chiffoleau2020"/>
    <w:p>
      <w:pPr>
        <w:pStyle w:val="Bibliography"/>
      </w:pPr>
      <w:r>
        <w:t xml:space="preserve">Chiffoleau, Yuna, et Tara Dourian. 2020.</w:t>
      </w:r>
      <w:r>
        <w:t xml:space="preserve"> </w:t>
      </w:r>
      <w:r>
        <w:t xml:space="preserve">« Sustainable food supply chains: Is shortening the answer?</w:t>
      </w:r>
      <w:r>
        <w:t xml:space="preserve"> </w:t>
      </w:r>
      <w:r>
        <w:t xml:space="preserve">A</w:t>
      </w:r>
      <w:r>
        <w:t xml:space="preserve"> </w:t>
      </w:r>
      <w:r>
        <w:t xml:space="preserve">literature review for a research and innovation agenda »</w:t>
      </w:r>
      <w:r>
        <w:t xml:space="preserve">.</w:t>
      </w:r>
      <w:r>
        <w:t xml:space="preserve"> </w:t>
      </w:r>
      <w:r>
        <w:rPr>
          <w:i/>
          <w:iCs/>
        </w:rPr>
        <w:t xml:space="preserve">Sustainability</w:t>
      </w:r>
      <w:r>
        <w:t xml:space="preserve"> </w:t>
      </w:r>
      <w:r>
        <w:t xml:space="preserve">12 (23): 9831.</w:t>
      </w:r>
      <w:r>
        <w:t xml:space="preserve"> </w:t>
      </w:r>
      <w:hyperlink r:id="rId52">
        <w:r>
          <w:rPr>
            <w:rStyle w:val="Hyperlink"/>
          </w:rPr>
          <w:t xml:space="preserve">https://doi.org/10.3390/su12239831</w:t>
        </w:r>
      </w:hyperlink>
      <w:r>
        <w:t xml:space="preserve">.</w:t>
      </w:r>
    </w:p>
    <w:bookmarkEnd w:id="53"/>
    <w:bookmarkStart w:id="54" w:name="ref-dubuisson2011"/>
    <w:p>
      <w:pPr>
        <w:pStyle w:val="Bibliography"/>
      </w:pPr>
      <w:r>
        <w:t xml:space="preserve">Dubuisson-Quellier, Sophie, Claire Lamine, et Ronan Le Velly. 2011.</w:t>
      </w:r>
      <w:r>
        <w:t xml:space="preserve"> </w:t>
      </w:r>
      <w:r>
        <w:t xml:space="preserve">« Citizenship and consumption: Mobilisation in alternative food systems in</w:t>
      </w:r>
      <w:r>
        <w:t xml:space="preserve"> </w:t>
      </w:r>
      <w:r>
        <w:t xml:space="preserve">France</w:t>
      </w:r>
      <w:r>
        <w:t xml:space="preserve"> »</w:t>
      </w:r>
      <w:r>
        <w:t xml:space="preserve">.</w:t>
      </w:r>
      <w:r>
        <w:t xml:space="preserve"> </w:t>
      </w:r>
      <w:r>
        <w:rPr>
          <w:i/>
          <w:iCs/>
        </w:rPr>
        <w:t xml:space="preserve">Sociologia Ruralis</w:t>
      </w:r>
      <w:r>
        <w:t xml:space="preserve"> </w:t>
      </w:r>
      <w:r>
        <w:t xml:space="preserve">51 (3): 304‑23.</w:t>
      </w:r>
    </w:p>
    <w:bookmarkEnd w:id="54"/>
    <w:bookmarkStart w:id="56" w:name="ref-feldmann2015"/>
    <w:p>
      <w:pPr>
        <w:pStyle w:val="Bibliography"/>
      </w:pPr>
      <w:r>
        <w:t xml:space="preserve">Feldmann, Corinna, et Ulrich Hamm. 2015.</w:t>
      </w:r>
      <w:r>
        <w:t xml:space="preserve"> </w:t>
      </w:r>
      <w:r>
        <w:t xml:space="preserve">« Consumers’ perceptions and preferences for local food: A review »</w:t>
      </w:r>
      <w:r>
        <w:t xml:space="preserve">.</w:t>
      </w:r>
      <w:r>
        <w:t xml:space="preserve"> </w:t>
      </w:r>
      <w:r>
        <w:rPr>
          <w:i/>
          <w:iCs/>
        </w:rPr>
        <w:t xml:space="preserve">Food Quality and Preference</w:t>
      </w:r>
      <w:r>
        <w:t xml:space="preserve"> </w:t>
      </w:r>
      <w:r>
        <w:t xml:space="preserve">40: 152‑64.</w:t>
      </w:r>
      <w:r>
        <w:t xml:space="preserve"> </w:t>
      </w:r>
      <w:hyperlink r:id="rId55">
        <w:r>
          <w:rPr>
            <w:rStyle w:val="Hyperlink"/>
          </w:rPr>
          <w:t xml:space="preserve">https://doi.org/10.1016/j.foodqual.2014.09.014</w:t>
        </w:r>
      </w:hyperlink>
      <w:r>
        <w:t xml:space="preserve">.</w:t>
      </w:r>
    </w:p>
    <w:bookmarkEnd w:id="56"/>
    <w:bookmarkStart w:id="57" w:name="ref-filserplichon2004"/>
    <w:p>
      <w:pPr>
        <w:pStyle w:val="Bibliography"/>
      </w:pPr>
      <w:r>
        <w:t xml:space="preserve">Filser, Marc, et Véronique Plichon. 2004.</w:t>
      </w:r>
      <w:r>
        <w:t xml:space="preserve"> </w:t>
      </w:r>
      <w:r>
        <w:t xml:space="preserve">« La valeur du comportement de magasinage : statut théorique et apports au positionnement de l’enseigne »</w:t>
      </w:r>
      <w:r>
        <w:t xml:space="preserve">.</w:t>
      </w:r>
      <w:r>
        <w:t xml:space="preserve"> </w:t>
      </w:r>
      <w:r>
        <w:rPr>
          <w:i/>
          <w:iCs/>
        </w:rPr>
        <w:t xml:space="preserve">Revue Française de Gestion</w:t>
      </w:r>
      <w:r>
        <w:t xml:space="preserve"> </w:t>
      </w:r>
      <w:r>
        <w:t xml:space="preserve">30 (148): 29‑43.</w:t>
      </w:r>
    </w:p>
    <w:bookmarkEnd w:id="57"/>
    <w:bookmarkStart w:id="58" w:name="ref-giampietri2016"/>
    <w:p>
      <w:pPr>
        <w:pStyle w:val="Bibliography"/>
      </w:pPr>
      <w:r>
        <w:t xml:space="preserve">Giampietri, Elisa, Adele Finco, et Teresa Del Giudice. 2016.</w:t>
      </w:r>
      <w:r>
        <w:t xml:space="preserve"> </w:t>
      </w:r>
      <w:r>
        <w:t xml:space="preserve">« Exploring consumers’ behaviour towards short food supply chains »</w:t>
      </w:r>
      <w:r>
        <w:t xml:space="preserve">.</w:t>
      </w:r>
      <w:r>
        <w:t xml:space="preserve"> </w:t>
      </w:r>
      <w:r>
        <w:rPr>
          <w:i/>
          <w:iCs/>
        </w:rPr>
        <w:t xml:space="preserve">British Food Journal</w:t>
      </w:r>
      <w:r>
        <w:t xml:space="preserve"> </w:t>
      </w:r>
      <w:r>
        <w:t xml:space="preserve">118 (3): 618‑31.</w:t>
      </w:r>
    </w:p>
    <w:bookmarkEnd w:id="58"/>
    <w:bookmarkStart w:id="60" w:name="ref-giampietri2018"/>
    <w:p>
      <w:pPr>
        <w:pStyle w:val="Bibliography"/>
      </w:pPr>
      <w:r>
        <w:t xml:space="preserve">Giampietri, Elisa, Fabio Verneau, Teresa Del Giudice, Valentina Carfora, et Adele Finco. 2018.</w:t>
      </w:r>
      <w:r>
        <w:t xml:space="preserve"> </w:t>
      </w:r>
      <w:r>
        <w:t xml:space="preserve">« A theory of planned behaviour perspective for investigating the role of trust in consumer purchasing decision related to short food supply chains »</w:t>
      </w:r>
      <w:r>
        <w:t xml:space="preserve">.</w:t>
      </w:r>
      <w:r>
        <w:t xml:space="preserve"> </w:t>
      </w:r>
      <w:r>
        <w:rPr>
          <w:i/>
          <w:iCs/>
        </w:rPr>
        <w:t xml:space="preserve">Food Quality and Preference</w:t>
      </w:r>
      <w:r>
        <w:t xml:space="preserve"> </w:t>
      </w:r>
      <w:r>
        <w:t xml:space="preserve">64: 160‑66.</w:t>
      </w:r>
      <w:r>
        <w:t xml:space="preserve"> </w:t>
      </w:r>
      <w:hyperlink r:id="rId59">
        <w:r>
          <w:rPr>
            <w:rStyle w:val="Hyperlink"/>
          </w:rPr>
          <w:t xml:space="preserve">https://doi.org/10.1016/j.foodqual.2017.09.012</w:t>
        </w:r>
      </w:hyperlink>
      <w:r>
        <w:t xml:space="preserve">.</w:t>
      </w:r>
    </w:p>
    <w:bookmarkEnd w:id="60"/>
    <w:bookmarkStart w:id="62" w:name="ref-goodman2002"/>
    <w:p>
      <w:pPr>
        <w:pStyle w:val="Bibliography"/>
      </w:pPr>
      <w:r>
        <w:t xml:space="preserve">Goodman, David, et E. Melanie DuPuis. 2002.</w:t>
      </w:r>
      <w:r>
        <w:t xml:space="preserve"> </w:t>
      </w:r>
      <w:r>
        <w:t xml:space="preserve">« Knowing food and growing food: Beyond the production–consumption debate in the sociology of agriculture »</w:t>
      </w:r>
      <w:r>
        <w:t xml:space="preserve">.</w:t>
      </w:r>
      <w:r>
        <w:t xml:space="preserve"> </w:t>
      </w:r>
      <w:r>
        <w:rPr>
          <w:i/>
          <w:iCs/>
        </w:rPr>
        <w:t xml:space="preserve">Sociologia Ruralis</w:t>
      </w:r>
      <w:r>
        <w:t xml:space="preserve"> </w:t>
      </w:r>
      <w:r>
        <w:t xml:space="preserve">42 (1): 5‑22.</w:t>
      </w:r>
      <w:r>
        <w:t xml:space="preserve"> </w:t>
      </w:r>
      <w:hyperlink r:id="rId61">
        <w:r>
          <w:rPr>
            <w:rStyle w:val="Hyperlink"/>
          </w:rPr>
          <w:t xml:space="preserve">https://doi.org/10.1111/1467-9523.00199</w:t>
        </w:r>
      </w:hyperlink>
      <w:r>
        <w:t xml:space="preserve">.</w:t>
      </w:r>
    </w:p>
    <w:bookmarkEnd w:id="62"/>
    <w:bookmarkStart w:id="64" w:name="ref-herzig2025"/>
    <w:p>
      <w:pPr>
        <w:pStyle w:val="Bibliography"/>
      </w:pPr>
      <w:r>
        <w:t xml:space="preserve">Herzig, Janna, et Katrin Zander. 2025.</w:t>
      </w:r>
      <w:r>
        <w:t xml:space="preserve"> </w:t>
      </w:r>
      <w:r>
        <w:t xml:space="preserve">« Determinants of consumer behavior in short food supply chains: A systematic literature review »</w:t>
      </w:r>
      <w:r>
        <w:t xml:space="preserve">.</w:t>
      </w:r>
      <w:r>
        <w:t xml:space="preserve"> </w:t>
      </w:r>
      <w:r>
        <w:rPr>
          <w:i/>
          <w:iCs/>
        </w:rPr>
        <w:t xml:space="preserve">Agricultural and Food Economics</w:t>
      </w:r>
      <w:r>
        <w:t xml:space="preserve"> </w:t>
      </w:r>
      <w:r>
        <w:t xml:space="preserve">13 (1): 1‑40.</w:t>
      </w:r>
      <w:r>
        <w:t xml:space="preserve"> </w:t>
      </w:r>
      <w:hyperlink r:id="rId63">
        <w:r>
          <w:rPr>
            <w:rStyle w:val="Hyperlink"/>
          </w:rPr>
          <w:t xml:space="preserve">https://doi.org/10.1186/s40100-025-00370-w</w:t>
        </w:r>
      </w:hyperlink>
      <w:r>
        <w:t xml:space="preserve">.</w:t>
      </w:r>
    </w:p>
    <w:bookmarkEnd w:id="64"/>
    <w:bookmarkStart w:id="65" w:name="ref-kneafsey2013"/>
    <w:p>
      <w:pPr>
        <w:pStyle w:val="Bibliography"/>
      </w:pPr>
      <w:r>
        <w:t xml:space="preserve">Kneafsey, Moya, Laura Venn, Ulrich Schmutz, et al. 2013.</w:t>
      </w:r>
      <w:r>
        <w:t xml:space="preserve"> </w:t>
      </w:r>
      <w:r>
        <w:rPr>
          <w:i/>
          <w:iCs/>
        </w:rPr>
        <w:t xml:space="preserve">Short food supply chains and local food systems in the</w:t>
      </w:r>
      <w:r>
        <w:rPr>
          <w:i/>
          <w:iCs/>
        </w:rPr>
        <w:t xml:space="preserve"> </w:t>
      </w:r>
      <w:r>
        <w:rPr>
          <w:i/>
          <w:iCs/>
        </w:rPr>
        <w:t xml:space="preserve">EU</w:t>
      </w:r>
      <w:r>
        <w:rPr>
          <w:i/>
          <w:iCs/>
        </w:rPr>
        <w:t xml:space="preserve">: A state of play of their socio-economic characteristics</w:t>
      </w:r>
      <w:r>
        <w:t xml:space="preserve">. Joint Research Centre, European Commission (JRC Scientific; Policy Reports, EUR 25911).</w:t>
      </w:r>
    </w:p>
    <w:bookmarkEnd w:id="65"/>
    <w:bookmarkStart w:id="66" w:name="ref-lamine2008"/>
    <w:p>
      <w:pPr>
        <w:pStyle w:val="Bibliography"/>
      </w:pPr>
      <w:r>
        <w:t xml:space="preserve">Lamine, Claire, et Nathalie Perrot. 2008.</w:t>
      </w:r>
      <w:r>
        <w:t xml:space="preserve"> </w:t>
      </w:r>
      <w:r>
        <w:rPr>
          <w:i/>
          <w:iCs/>
        </w:rPr>
        <w:t xml:space="preserve">Les AMAP : un nouveau pacte entre producteurs et consommateurs ?</w:t>
      </w:r>
      <w:r>
        <w:t xml:space="preserve"> Yves Michel.</w:t>
      </w:r>
    </w:p>
    <w:bookmarkEnd w:id="66"/>
    <w:bookmarkStart w:id="68" w:name="ref-marechal2008"/>
    <w:p>
      <w:pPr>
        <w:pStyle w:val="Bibliography"/>
      </w:pPr>
      <w:r>
        <w:t xml:space="preserve">Maréchal, Gilles, éd. 2008.</w:t>
      </w:r>
      <w:r>
        <w:t xml:space="preserve"> </w:t>
      </w:r>
      <w:r>
        <w:rPr>
          <w:i/>
          <w:iCs/>
        </w:rPr>
        <w:t xml:space="preserve">Les circuits courts alimentaires : bien manger dans les territoires</w:t>
      </w:r>
      <w:r>
        <w:t xml:space="preserve">. Éducagri.</w:t>
      </w:r>
      <w:r>
        <w:t xml:space="preserve"> </w:t>
      </w:r>
      <w:hyperlink r:id="rId67">
        <w:r>
          <w:rPr>
            <w:rStyle w:val="Hyperlink"/>
          </w:rPr>
          <w:t xml:space="preserve">https://doi.org/10.3917/edagri.colle.2008.01</w:t>
        </w:r>
      </w:hyperlink>
      <w:r>
        <w:t xml:space="preserve">.</w:t>
      </w:r>
    </w:p>
    <w:bookmarkEnd w:id="68"/>
    <w:bookmarkStart w:id="69" w:name="ref-maa2009"/>
    <w:p>
      <w:pPr>
        <w:pStyle w:val="Bibliography"/>
      </w:pPr>
      <w:r>
        <w:t xml:space="preserve">Ministère de l’Agriculture et de l’Alimentation. 2009.</w:t>
      </w:r>
      <w:r>
        <w:t xml:space="preserve"> </w:t>
      </w:r>
      <w:r>
        <w:rPr>
          <w:i/>
          <w:iCs/>
        </w:rPr>
        <w:t xml:space="preserve">Plan d’action pour développer les circuits courts (plan Barnier)</w:t>
      </w:r>
      <w:r>
        <w:t xml:space="preserve">. Rapport institutionnel.</w:t>
      </w:r>
    </w:p>
    <w:bookmarkEnd w:id="69"/>
    <w:bookmarkStart w:id="71" w:name="ref-mustapa2025"/>
    <w:p>
      <w:pPr>
        <w:pStyle w:val="Bibliography"/>
      </w:pPr>
      <w:r>
        <w:t xml:space="preserve">Mustapa, Muhammad Amir Adam, et Zein Kallas. 2025.</w:t>
      </w:r>
      <w:r>
        <w:t xml:space="preserve"> </w:t>
      </w:r>
      <w:r>
        <w:t xml:space="preserve">« Meta-analysis of consumer willingness to pay for short food supply chain products »</w:t>
      </w:r>
      <w:r>
        <w:t xml:space="preserve">.</w:t>
      </w:r>
      <w:r>
        <w:t xml:space="preserve"> </w:t>
      </w:r>
      <w:r>
        <w:rPr>
          <w:i/>
          <w:iCs/>
        </w:rPr>
        <w:t xml:space="preserve">Global Challenges</w:t>
      </w:r>
      <w:r>
        <w:t xml:space="preserve"> </w:t>
      </w:r>
      <w:r>
        <w:t xml:space="preserve">9 (3).</w:t>
      </w:r>
      <w:r>
        <w:t xml:space="preserve"> </w:t>
      </w:r>
      <w:hyperlink r:id="rId70">
        <w:r>
          <w:rPr>
            <w:rStyle w:val="Hyperlink"/>
          </w:rPr>
          <w:t xml:space="preserve">https://doi.org/10.1002/gch2.202400154</w:t>
        </w:r>
      </w:hyperlink>
      <w:r>
        <w:t xml:space="preserve">.</w:t>
      </w:r>
    </w:p>
    <w:bookmarkEnd w:id="71"/>
    <w:bookmarkStart w:id="73" w:name="ref-neslin2006"/>
    <w:p>
      <w:pPr>
        <w:pStyle w:val="Bibliography"/>
      </w:pPr>
      <w:r>
        <w:t xml:space="preserve">Neslin, Scott A., Dhruv Grewal, Robert Leghorn, et al. 2006.</w:t>
      </w:r>
      <w:r>
        <w:t xml:space="preserve"> </w:t>
      </w:r>
      <w:r>
        <w:t xml:space="preserve">« Challenges and opportunities in multichannel customer management »</w:t>
      </w:r>
      <w:r>
        <w:t xml:space="preserve">.</w:t>
      </w:r>
      <w:r>
        <w:t xml:space="preserve"> </w:t>
      </w:r>
      <w:r>
        <w:rPr>
          <w:i/>
          <w:iCs/>
        </w:rPr>
        <w:t xml:space="preserve">Journal of Service Research</w:t>
      </w:r>
      <w:r>
        <w:t xml:space="preserve"> </w:t>
      </w:r>
      <w:r>
        <w:t xml:space="preserve">9 (2): 95‑112.</w:t>
      </w:r>
      <w:r>
        <w:t xml:space="preserve"> </w:t>
      </w:r>
      <w:hyperlink r:id="rId72">
        <w:r>
          <w:rPr>
            <w:rStyle w:val="Hyperlink"/>
          </w:rPr>
          <w:t xml:space="preserve">https://doi.org/10.1177/1094670506293559</w:t>
        </w:r>
      </w:hyperlink>
      <w:r>
        <w:t xml:space="preserve">.</w:t>
      </w:r>
    </w:p>
    <w:bookmarkEnd w:id="73"/>
    <w:bookmarkStart w:id="74" w:name="ref-praly2014"/>
    <w:p>
      <w:pPr>
        <w:pStyle w:val="Bibliography"/>
      </w:pPr>
      <w:r>
        <w:t xml:space="preserve">Praly, Cécile, Carole Chazoule, Claire Delfosse, et Patrick Mundler. 2014.</w:t>
      </w:r>
      <w:r>
        <w:t xml:space="preserve"> </w:t>
      </w:r>
      <w:r>
        <w:t xml:space="preserve">« Les circuits de proximité, cadre d’analyse de la relocalisation des circuits alimentaires »</w:t>
      </w:r>
      <w:r>
        <w:t xml:space="preserve">.</w:t>
      </w:r>
      <w:r>
        <w:t xml:space="preserve"> </w:t>
      </w:r>
      <w:r>
        <w:rPr>
          <w:i/>
          <w:iCs/>
        </w:rPr>
        <w:t xml:space="preserve">Géographie, économie, société</w:t>
      </w:r>
      <w:r>
        <w:t xml:space="preserve"> </w:t>
      </w:r>
      <w:r>
        <w:t xml:space="preserve">16 (4): 455‑78.</w:t>
      </w:r>
    </w:p>
    <w:bookmarkEnd w:id="74"/>
    <w:bookmarkStart w:id="75" w:name="ref-sage2003"/>
    <w:p>
      <w:pPr>
        <w:pStyle w:val="Bibliography"/>
      </w:pPr>
      <w:r>
        <w:t xml:space="preserve">Sage, Colin. 2003.</w:t>
      </w:r>
      <w:r>
        <w:t xml:space="preserve"> </w:t>
      </w:r>
      <w:r>
        <w:t xml:space="preserve">« Social embeddedness and relations of regard: Alternative ’good food’ networks in south-west</w:t>
      </w:r>
      <w:r>
        <w:t xml:space="preserve"> </w:t>
      </w:r>
      <w:r>
        <w:t xml:space="preserve">Ireland</w:t>
      </w:r>
      <w:r>
        <w:t xml:space="preserve"> »</w:t>
      </w:r>
      <w:r>
        <w:t xml:space="preserve">.</w:t>
      </w:r>
      <w:r>
        <w:t xml:space="preserve"> </w:t>
      </w:r>
      <w:r>
        <w:rPr>
          <w:i/>
          <w:iCs/>
        </w:rPr>
        <w:t xml:space="preserve">Journal of Rural Studies</w:t>
      </w:r>
      <w:r>
        <w:t xml:space="preserve"> </w:t>
      </w:r>
      <w:r>
        <w:t xml:space="preserve">19 (1): 47‑60.</w:t>
      </w:r>
    </w:p>
    <w:bookmarkEnd w:id="75"/>
    <w:bookmarkStart w:id="77" w:name="ref-verhoef2015"/>
    <w:p>
      <w:pPr>
        <w:pStyle w:val="Bibliography"/>
      </w:pPr>
      <w:r>
        <w:t xml:space="preserve">Verhoef, Peter C., P. K. Kannan, et J. Jeffrey Inman. 2015.</w:t>
      </w:r>
      <w:r>
        <w:t xml:space="preserve"> </w:t>
      </w:r>
      <w:r>
        <w:t xml:space="preserve">« From multi-channel retailing to omni-channel retailing: Introduction to the special issue on multi-channel retailing »</w:t>
      </w:r>
      <w:r>
        <w:t xml:space="preserve">.</w:t>
      </w:r>
      <w:r>
        <w:t xml:space="preserve"> </w:t>
      </w:r>
      <w:r>
        <w:rPr>
          <w:i/>
          <w:iCs/>
        </w:rPr>
        <w:t xml:space="preserve">Journal of Retailing</w:t>
      </w:r>
      <w:r>
        <w:t xml:space="preserve"> </w:t>
      </w:r>
      <w:r>
        <w:t xml:space="preserve">91 (2): 174‑81.</w:t>
      </w:r>
      <w:r>
        <w:t xml:space="preserve"> </w:t>
      </w:r>
      <w:hyperlink r:id="rId76">
        <w:r>
          <w:rPr>
            <w:rStyle w:val="Hyperlink"/>
          </w:rPr>
          <w:t xml:space="preserve">https://doi.org/10.1016/j.jretai.2015.02.005</w:t>
        </w:r>
      </w:hyperlink>
      <w:r>
        <w:t xml:space="preserve">.</w:t>
      </w:r>
    </w:p>
    <w:bookmarkEnd w:id="77"/>
    <w:bookmarkStart w:id="79" w:name="ref-vermeir2006"/>
    <w:p>
      <w:pPr>
        <w:pStyle w:val="Bibliography"/>
      </w:pPr>
      <w:r>
        <w:t xml:space="preserve">Vermeir, Iris, et Wim Verbeke. 2006.</w:t>
      </w:r>
      <w:r>
        <w:t xml:space="preserve"> </w:t>
      </w:r>
      <w:r>
        <w:t xml:space="preserve">« Sustainable food consumption: Exploring the consumer</w:t>
      </w:r>
      <w:r>
        <w:t xml:space="preserve"> </w:t>
      </w:r>
      <w:r>
        <w:t xml:space="preserve">“attitude–behavioral intention”</w:t>
      </w:r>
      <w:r>
        <w:t xml:space="preserve"> </w:t>
      </w:r>
      <w:r>
        <w:t xml:space="preserve">gap »</w:t>
      </w:r>
      <w:r>
        <w:t xml:space="preserve">.</w:t>
      </w:r>
      <w:r>
        <w:t xml:space="preserve"> </w:t>
      </w:r>
      <w:r>
        <w:rPr>
          <w:i/>
          <w:iCs/>
        </w:rPr>
        <w:t xml:space="preserve">Journal of Agricultural and Environmental Ethics</w:t>
      </w:r>
      <w:r>
        <w:t xml:space="preserve"> </w:t>
      </w:r>
      <w:r>
        <w:t xml:space="preserve">19 (2): 169‑94.</w:t>
      </w:r>
      <w:r>
        <w:t xml:space="preserve"> </w:t>
      </w:r>
      <w:hyperlink r:id="rId78">
        <w:r>
          <w:rPr>
            <w:rStyle w:val="Hyperlink"/>
          </w:rPr>
          <w:t xml:space="preserve">https://doi.org/10.1007/s10806-005-5485-3</w:t>
        </w:r>
      </w:hyperlink>
      <w:r>
        <w:t xml:space="preserve">.</w:t>
      </w:r>
    </w:p>
    <w:bookmarkEnd w:id="79"/>
    <w:bookmarkStart w:id="80" w:name="ref-volle2012"/>
    <w:p>
      <w:pPr>
        <w:pStyle w:val="Bibliography"/>
      </w:pPr>
      <w:r>
        <w:t xml:space="preserve">Volle, Pierre, éd. 2012.</w:t>
      </w:r>
      <w:r>
        <w:t xml:space="preserve"> </w:t>
      </w:r>
      <w:r>
        <w:rPr>
          <w:i/>
          <w:iCs/>
        </w:rPr>
        <w:t xml:space="preserve">Stratégie clients : points de vue d’experts sur le management de la relation client</w:t>
      </w:r>
      <w:r>
        <w:t xml:space="preserve">. Pearson.</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70" Target="https://doi.org/10.1002/gch2.202400154" TargetMode="External" /><Relationship Type="http://schemas.openxmlformats.org/officeDocument/2006/relationships/hyperlink" Id="rId78" Target="https://doi.org/10.1007/s10806-005-5485-3" TargetMode="External" /><Relationship Type="http://schemas.openxmlformats.org/officeDocument/2006/relationships/hyperlink" Id="rId55" Target="https://doi.org/10.1016/j.foodqual.2014.09.014" TargetMode="External" /><Relationship Type="http://schemas.openxmlformats.org/officeDocument/2006/relationships/hyperlink" Id="rId59" Target="https://doi.org/10.1016/j.foodqual.2017.09.012" TargetMode="External" /><Relationship Type="http://schemas.openxmlformats.org/officeDocument/2006/relationships/hyperlink" Id="rId76" Target="https://doi.org/10.1016/j.jretai.2015.02.005" TargetMode="External" /><Relationship Type="http://schemas.openxmlformats.org/officeDocument/2006/relationships/hyperlink" Id="rId49" Target="https://doi.org/10.1016/j.jretconser.2017.10.013" TargetMode="External" /><Relationship Type="http://schemas.openxmlformats.org/officeDocument/2006/relationships/hyperlink" Id="rId61" Target="https://doi.org/10.1111/1467-9523.00199" TargetMode="External" /><Relationship Type="http://schemas.openxmlformats.org/officeDocument/2006/relationships/hyperlink" Id="rId72" Target="https://doi.org/10.1177/1094670506293559" TargetMode="External" /><Relationship Type="http://schemas.openxmlformats.org/officeDocument/2006/relationships/hyperlink" Id="rId63" Target="https://doi.org/10.1186/s40100-025-00370-w" TargetMode="External" /><Relationship Type="http://schemas.openxmlformats.org/officeDocument/2006/relationships/hyperlink" Id="rId52" Target="https://doi.org/10.3390/su12239831" TargetMode="External" /><Relationship Type="http://schemas.openxmlformats.org/officeDocument/2006/relationships/hyperlink" Id="rId67" Target="https://doi.org/10.3917/edagri.colle.2008.01"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02/gch2.202400154" TargetMode="External" /><Relationship Type="http://schemas.openxmlformats.org/officeDocument/2006/relationships/hyperlink" Id="rId78" Target="https://doi.org/10.1007/s10806-005-5485-3" TargetMode="External" /><Relationship Type="http://schemas.openxmlformats.org/officeDocument/2006/relationships/hyperlink" Id="rId55" Target="https://doi.org/10.1016/j.foodqual.2014.09.014" TargetMode="External" /><Relationship Type="http://schemas.openxmlformats.org/officeDocument/2006/relationships/hyperlink" Id="rId59" Target="https://doi.org/10.1016/j.foodqual.2017.09.012" TargetMode="External" /><Relationship Type="http://schemas.openxmlformats.org/officeDocument/2006/relationships/hyperlink" Id="rId76" Target="https://doi.org/10.1016/j.jretai.2015.02.005" TargetMode="External" /><Relationship Type="http://schemas.openxmlformats.org/officeDocument/2006/relationships/hyperlink" Id="rId49" Target="https://doi.org/10.1016/j.jretconser.2017.10.013" TargetMode="External" /><Relationship Type="http://schemas.openxmlformats.org/officeDocument/2006/relationships/hyperlink" Id="rId61" Target="https://doi.org/10.1111/1467-9523.00199" TargetMode="External" /><Relationship Type="http://schemas.openxmlformats.org/officeDocument/2006/relationships/hyperlink" Id="rId72" Target="https://doi.org/10.1177/1094670506293559" TargetMode="External" /><Relationship Type="http://schemas.openxmlformats.org/officeDocument/2006/relationships/hyperlink" Id="rId63" Target="https://doi.org/10.1186/s40100-025-00370-w" TargetMode="External" /><Relationship Type="http://schemas.openxmlformats.org/officeDocument/2006/relationships/hyperlink" Id="rId52" Target="https://doi.org/10.3390/su12239831" TargetMode="External" /><Relationship Type="http://schemas.openxmlformats.org/officeDocument/2006/relationships/hyperlink" Id="rId67" Target="https://doi.org/10.3917/edagri.colle.2008.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place de la vente directe dans les stratégies d’approvisionnement alimentaire des ménages français : une approche par les portefeuilles de canaux</dc:title>
  <dc:creator>Catherine Hérault</dc:creator>
  <dc:language>fr</dc:language>
  <cp:keywords>vente directe, circuits courts, approvisionnement alimentaire, stratégies de canal, comportement du consommateur, France</cp:keywords>
  <dcterms:created xsi:type="dcterms:W3CDTF">2026-07-07T13:50:24Z</dcterms:created>
  <dcterms:modified xsi:type="dcterms:W3CDTF">2026-07-07T13:50:24Z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/home/user/formation-Claude/references/biblio.bib</vt:lpwstr>
  </property>
  <property fmtid="{D5CDD505-2E9C-101B-9397-08002B2CF9AE}" pid="3" name="date">
    <vt:lpwstr>2026-06-29</vt:lpwstr>
  </property>
  <property fmtid="{D5CDD505-2E9C-101B-9397-08002B2CF9AE}" pid="4" name="statut">
    <vt:lpwstr>Draft Stade 2 — avant intégrité (Stade 2.5)</vt:lpwstr>
  </property>
</Properties>
</file>