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left"/>
      </w:pPr>
      <w:r>
        <w:rPr>
          <w:rFonts w:ascii="Times New Roman" w:hAnsi="Times New Roman"/>
          <w:b/>
          <w:i w:val="0"/>
          <w:sz w:val="28"/>
        </w:rPr>
        <w:t xml:space="preserve">« Beaucoup l’essaient, peu l’adoptent »</w:t>
      </w:r>
    </w:p>
    <w:p>
      <w:pPr>
        <w:jc w:val="left"/>
      </w:pPr>
      <w:r>
        <w:rPr>
          <w:rFonts w:ascii="Times New Roman" w:hAnsi="Times New Roman"/>
          <w:b w:val="0"/>
          <w:i w:val="0"/>
          <w:sz w:val="28"/>
        </w:rPr>
        <w:t xml:space="preserve">La vente directe dans les stratégies d’approvisionnement des ménages français</w:t>
      </w:r>
    </w:p>
    <w:bookmarkStart w:id="43" w:name="beaucoup-lessaient-peu-ladoptent"/>
    <w:p>
      <w:pPr>
        <w:jc w:val="left"/>
      </w:pPr>
      <w:r>
        <w:rPr>
          <w:rFonts w:ascii="Times New Roman" w:hAnsi="Times New Roman"/>
          <w:b/>
          <w:i w:val="0"/>
          <w:sz w:val="28"/>
        </w:rPr>
        <w:t xml:space="preserve">« Beaucoup l’essaient, peu l’adoptent »</w:t>
      </w:r>
    </w:p>
    <w:bookmarkStart w:id="9" w:name="X567026fb20d909d7ed1876f1ed63bc3f882a5f2"/>
    <w:p>
      <w:pPr>
        <w:jc w:val="left"/>
      </w:pPr>
      <w:r>
        <w:rPr>
          <w:rFonts w:ascii="Times New Roman" w:hAnsi="Times New Roman"/>
          <w:b/>
          <w:i w:val="0"/>
          <w:sz w:val="28"/>
        </w:rP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jc w:val="left"/>
      </w:pPr>
      <w:r>
        <w:rPr>
          <w:rFonts w:ascii="Times New Roman" w:hAnsi="Times New Roman"/>
          <w:b/>
          <w:i w:val="0"/>
          <w:sz w:val="28"/>
        </w:rPr>
        <w:t xml:space="preserve">Résumé</w:t>
      </w:r>
    </w:p>
    <w:p>
      <w:pPr>
        <w:pStyle w:val="FirstParagraph"/>
      </w:pPr>
      <w:r>
        <w:t xml:space="preserve">La vente directe — au producteur, à la ferme, en AMAP, en magasin de producteurs ou sur les marchés — est le plus souvent étudiée isolément. Cet article examine plutôt la place qu’elle occupe dans le portefeuille de canaux des ménages français et sa combinaison avec les autres circuits. Une enquête auprès d’un échantillon représentatif national de 1 025 ménages mesure, pour treize canaux, la fréquence de recours et la part de budget ; une typologie des stratégies d’approvisionnement est construite par analyse des correspondances multiples et classification, complétée par une régression logistique des déterminants du recours à la vente directe. Les résultats révèlent un paradoxe : la vente directe touche 65 % des ménages mais ne pèse que 1,5 % du budget alimentaire national, 8,5 % chez ses seuls acheteurs réguliers. Largement essayée, elle est peu retenue — 46 % de ceux qui déclarent l’utiliser n’ont rien acheté le mois écoulé. Cinq stratégies se distinguent, des « captifs de la grande distribution » aux « multi-canal intensifs », et la pratique est faiblement déterminée par le profil sociodémographique, le seul gradient net étant le diplôme. Le levier de croissance n’est pas la conquête de nouveaux publics, déjà largement acquise, mais la conversion de l’essai en habitude : fidélisation, régularité de l’offre, communication sur le local plutôt que sur le prix. L’originalité tient à cette lecture par le portefeuille de canaux et à une segmentation fondée sur les pratiques d’achat déclarées plutôt que sur les attitudes.</w:t>
      </w:r>
    </w:p>
    <w:p>
      <w:pPr/>
      <w:r>
        <w:rPr>
          <w:b/>
          <w:bCs/>
        </w:rPr>
        <w:t xml:space="preserve">Mots-clés :</w:t>
      </w:r>
      <w:r>
        <w:t xml:space="preserve"> </w:t>
      </w:r>
      <w:r>
        <w:t xml:space="preserve">vente directe, circuits courts, approvisionnement alimentaire, portefeuille de canaux, cross-shopping, segmentation, écart essai-adoption.</w:t>
      </w:r>
    </w:p>
    <w:bookmarkEnd w:id="10"/>
    <w:bookmarkStart w:id="11" w:name="abstract"/>
    <w:p>
      <w:pPr>
        <w:jc w:val="left"/>
      </w:pPr>
      <w:r>
        <w:rPr>
          <w:rFonts w:ascii="Times New Roman" w:hAnsi="Times New Roman"/>
          <w:b/>
          <w:i w:val="0"/>
          <w:sz w:val="28"/>
        </w:rPr>
        <w:t xml:space="preserve">Abstract</w:t>
      </w:r>
    </w:p>
    <w:p>
      <w:pPr>
        <w:pStyle w:val="FirstParagraph"/>
      </w:pPr>
      <w:r>
        <w:t xml:space="preserve">Direct-from-farmer purchasing (on farms, in producer shops, community-supported agriculture schemes or at markets) is usually studied through its organisational forms or its buyers’ motivations. Drawing on a survey of a nationally representative sample of 1,025 French households, this article instead examines the place of direct purchasing within the household’s channel portfolio. Direct purchasing reaches 65 % of households but accounts for only 1.5 % of the national food budget (8.5 % among its regular buyers). Five provisioning strategies are identified, and the practice proves weakly determined by socio-demographics. The managerial challenge is therefore to turn trial into habit rather than to recruit new buyers. The paper contributes a channel-portfolio (cross-shopping) reading of short food supply chains and a segmentation based on actual budget allocation rather than stated attitudes.</w:t>
      </w:r>
    </w:p>
    <w:p>
      <w:pPr/>
      <w:r>
        <w:rPr>
          <w:b/>
          <w:bCs/>
        </w:rPr>
        <w:t xml:space="preserve">Keywords:</w:t>
      </w:r>
      <w:r>
        <w:t xml:space="preserve"> </w:t>
      </w:r>
      <w:r>
        <w:t xml:space="preserve">direct selling, short food supply chains, food provisioning, channel portfolio, cross-shopping, segmentation, trial-adoption gap.</w:t>
      </w:r>
    </w:p>
    <w:p>
      <w:r>
        <w:pict>
          <v:rect style="width:0;height:1.5pt" o:hralign="center" o:hrstd="t" o:hr="t"/>
        </w:pict>
      </w:r>
    </w:p>
    <w:bookmarkEnd w:id="11"/>
    <w:bookmarkStart w:id="13" w:name="introduction"/>
    <w:p>
      <w:pPr>
        <w:jc w:val="left"/>
      </w:pPr>
      <w:r>
        <w:rPr>
          <w:rFonts w:ascii="Times New Roman" w:hAnsi="Times New Roman"/>
          <w:b/>
          <w:i w:val="0"/>
          <w:sz w:val="28"/>
        </w:rPr>
        <w:t xml:space="preserve">Introduction</w:t>
      </w:r>
    </w:p>
    <w:p>
      <w:pPr>
        <w:pStyle w:val="FirstParagraph"/>
      </w:pPr>
      <w:r>
        <w:t xml:space="preserve">Sur un marché de plein vent, beaucoup de clients disent venir chercher des « produits locaux » et « soutenir les agriculteurs ». Les enquêtes de consommation confirment cet engouement : les circuits courts jouissent d’une image très favorable et d’une visibilité croissante depuis le début des années 2000</w:t>
      </w:r>
      <w:r>
        <w:rPr>
          <w:rStyle w:val="FootnoteReference"/>
        </w:rPr>
        <w:footnoteReference w:id="12"/>
      </w:r>
      <w:r>
        <w:t xml:space="preserve">. Le phénomène s’est d’ailleurs installé du côté de l’offre : en 2020, près d’une exploitation agricole française sur quatre commercialisait en circuit court (Agreste, 2023). Pourtant, à l’échelle du budget des ménages, la vente directe ne pèse presque rien — une part modeste de la dépense alimentaire (Enthoven et Van den Broeck, 2021). Ce contraste entre une adhésion large et un poids économique faible est le point de départ de cet article.</w:t>
      </w:r>
    </w:p>
    <w:p>
      <w:pPr/>
      <w:r>
        <w:t xml:space="preserve">L’enjeu n’est pas mince pour les acteurs. Le développement des circuits courts figure aujourd’hui parmi les objectifs affichés des politiques alimentaires territoriales, des chambres d’agriculture et d’une partie de la grande distribution, qui multiplie les rayons de producteurs. Tous partagent une même interrogation pratique : comment faire grandir une pratique qui suscite une adhésion de principe très large mais peine à se traduire dans les paniers ? Répondre suppose de savoir où, précisément, se situe le point de blocage — dans le recrutement de nouveaux acheteurs, ou dans la fidélisation de ceux qui essaient déjà.</w:t>
      </w:r>
    </w:p>
    <w:p>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r>
        <w:t xml:space="preserve">L’article apporte trois déplacements. Sur le plan</w:t>
      </w:r>
      <w:r>
        <w:t xml:space="preserve"> </w:t>
      </w:r>
      <w:r>
        <w:rPr>
          <w:b/>
          <w:bCs/>
        </w:rPr>
        <w:t xml:space="preserve">théorique</w:t>
      </w:r>
      <w:r>
        <w:t xml:space="preserve">, il déplace le regard vers le</w:t>
      </w:r>
      <w:r>
        <w:t xml:space="preserve"> </w:t>
      </w:r>
      <w:r>
        <w:rPr>
          <w:b/>
          <w:bCs/>
        </w:rPr>
        <w:t xml:space="preserve">portefeuille de canaux</w:t>
      </w:r>
      <w:r>
        <w:t xml:space="preserve"> </w:t>
      </w:r>
      <w:r>
        <w:t xml:space="preserve">du ménage — le</w:t>
      </w:r>
      <w:r>
        <w:t xml:space="preserve"> </w:t>
      </w:r>
      <w:r>
        <w:rPr>
          <w:i/>
          <w:iCs/>
        </w:rPr>
        <w:t xml:space="preserve">cross-shopping</w:t>
      </w:r>
      <w:r>
        <w:t xml:space="preserve"> </w:t>
      </w:r>
      <w:r>
        <w:t xml:space="preserve">alimentaire, notion développée en distribution mais rarement appliquée à l’alimentation locale — pour lire la vente directe comme une fonction d’un répertoire de circuits que le consommateur combine lui-même. Sur le plan</w:t>
      </w:r>
      <w:r>
        <w:t xml:space="preserve"> </w:t>
      </w:r>
      <w:r>
        <w:rPr>
          <w:b/>
          <w:bCs/>
        </w:rPr>
        <w:t xml:space="preserve">méthodologique</w:t>
      </w:r>
      <w:r>
        <w:t xml:space="preserve">, il quitte le registre des</w:t>
      </w:r>
      <w:r>
        <w:t xml:space="preserve"> </w:t>
      </w:r>
      <w:r>
        <w:rPr>
          <w:b/>
          <w:bCs/>
        </w:rPr>
        <w:t xml:space="preserve">attitudes et intentions déclarées</w:t>
      </w:r>
      <w:r>
        <w:t xml:space="preserve"> </w:t>
      </w:r>
      <w:r>
        <w:t xml:space="preserve">(dont le consentement à payer) pour mesurer les</w:t>
      </w:r>
      <w:r>
        <w:t xml:space="preserve"> </w:t>
      </w:r>
      <w:r>
        <w:rPr>
          <w:b/>
          <w:bCs/>
        </w:rPr>
        <w:t xml:space="preserve">pratiques d’achat déclarées</w:t>
      </w:r>
      <w:r>
        <w:t xml:space="preserve"> </w:t>
      </w:r>
      <w:r>
        <w:t xml:space="preserve">— fréquence, allocation de budget, récence —,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8" w:name="X505919110046ab8c669ffdc905c1a7cd534b715"/>
    <w:p>
      <w:pPr>
        <w:jc w:val="left"/>
      </w:pPr>
      <w:r>
        <w:rPr>
          <w:rFonts w:ascii="Times New Roman" w:hAnsi="Times New Roman"/>
          <w:b/>
          <w:i w:val="0"/>
          <w:sz w:val="28"/>
        </w:rPr>
        <w:t xml:space="preserve">L’approvisionnement alimentaire, un portefeuille de canaux</w:t>
      </w:r>
    </w:p>
    <w:bookmarkStart w:id="14" w:name="du-canal-isolé-au-portefeuille-de-canaux"/>
    <w:p>
      <w:pPr>
        <w:jc w:val="left"/>
      </w:pPr>
      <w:r>
        <w:rPr>
          <w:rFonts w:ascii="Times New Roman" w:hAnsi="Times New Roman"/>
          <w:b w:val="0"/>
          <w:i/>
          <w:sz w:val="24"/>
        </w:rP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 vente à la ferme, marchés où le producteur vend lui-même, magasins de producteurs, associations pour le maintien d’une agriculture paysanne (AMAP), paniers en précommande (Chiffoleau, 2019 ; Maréchal, 2008). Tous partagent une même caractéristique : la relation directe au producteur, porteuse d’un supplément de sens et d’information sur le produit (Dubuisson-Quellier et al., 2011 ; Lamine et Perrot, 2008). La revue de Enthoven et Van den Broeck (2021), qui synthétise deux décennies de recherche sur les systèmes alimentaires locaux, souligne l’hétérogénéité de ces dispositifs et, surtout, la faiblesse persistante des données représentatives sur leur diffusion réelle auprès des ménages — un déficit que la présente enquête vise à combler. La littérature sur les réseaux alimentaires alternatifs insiste par ailleurs sur la</w:t>
      </w:r>
      <w:r>
        <w:t xml:space="preserve"> </w:t>
      </w:r>
      <w:r>
        <w:rPr>
          <w:b/>
          <w:bCs/>
        </w:rPr>
        <w:t xml:space="preserve">coexistence</w:t>
      </w:r>
      <w:r>
        <w:t xml:space="preserve"> </w:t>
      </w:r>
      <w:r>
        <w:t xml:space="preserve">plutôt que la rupture entre circuits : loin de se substituer à la grande distribution, la vente directe s’y articule (Goodman et DuPuis, 2002 ; Sage, 2003) — et raccourcir la chaîne n’est pas en soi une réponse suffisante (Chiffoleau et Dourian, 2020).</w:t>
      </w:r>
    </w:p>
    <w:p>
      <w:pPr/>
      <w:r>
        <w:t xml:space="preserve">La littérature en distribution a montré de longue date que les consommateurs ne sont pas fidèles à un format unique : ils</w:t>
      </w:r>
      <w:r>
        <w:t xml:space="preserve"> </w:t>
      </w:r>
      <w:r>
        <w:rPr>
          <w:b/>
          <w:bCs/>
        </w:rPr>
        <w:t xml:space="preserve">fréquentent plusieurs enseignes et formats</w:t>
      </w:r>
      <w:r>
        <w:t xml:space="preserve"> </w:t>
      </w:r>
      <w:r>
        <w:t xml:space="preserve">pour des fonctions distinctes — un comportement de</w:t>
      </w:r>
      <w:r>
        <w:t xml:space="preserve"> </w:t>
      </w:r>
      <w:r>
        <w:rPr>
          <w:i/>
          <w:iCs/>
        </w:rPr>
        <w:t xml:space="preserve">cross-shopping</w:t>
      </w:r>
      <w:r>
        <w:t xml:space="preserve"> </w:t>
      </w:r>
      <w:r>
        <w:t xml:space="preserve">(Neslin et al., 2006). Une précision conceptuelle s’impose ici. Les cadres du</w:t>
      </w:r>
      <w:r>
        <w:t xml:space="preserve"> </w:t>
      </w:r>
      <w:r>
        <w:rPr>
          <w:i/>
          <w:iCs/>
        </w:rPr>
        <w:t xml:space="preserve">multicanal</w:t>
      </w:r>
      <w:r>
        <w:t xml:space="preserve"> </w:t>
      </w:r>
      <w:r>
        <w:t xml:space="preserve">et de l’</w:t>
      </w:r>
      <w:r>
        <w:rPr>
          <w:i/>
          <w:iCs/>
        </w:rPr>
        <w:t xml:space="preserve">omnicanal</w:t>
      </w:r>
      <w:r>
        <w:t xml:space="preserve"> </w:t>
      </w:r>
      <w:r>
        <w:t xml:space="preserve">(Verhoef et al., 2015) décrivent la façon dont</w:t>
      </w:r>
      <w:r>
        <w:t xml:space="preserve"> </w:t>
      </w:r>
      <w:r>
        <w:rPr>
          <w:b/>
          <w:bCs/>
        </w:rPr>
        <w:t xml:space="preserve">un même distributeur</w:t>
      </w:r>
      <w:r>
        <w:t xml:space="preserve"> </w:t>
      </w:r>
      <w:r>
        <w:t xml:space="preserve">coordonne, voire</w:t>
      </w:r>
      <w:r>
        <w:t xml:space="preserve"> </w:t>
      </w:r>
      <w:r>
        <w:rPr>
          <w:b/>
          <w:bCs/>
        </w:rPr>
        <w:t xml:space="preserve">intègre</w:t>
      </w:r>
      <w:r>
        <w:t xml:space="preserve">, ses propres canaux (magasin, drive, site web) en un parcours unifié. Or, du point de vue qui nous occupe, le ménage combine des</w:t>
      </w:r>
      <w:r>
        <w:t xml:space="preserve"> </w:t>
      </w:r>
      <w:r>
        <w:rPr>
          <w:b/>
          <w:bCs/>
        </w:rPr>
        <w:t xml:space="preserve">enseignes indépendantes et non intégrées</w:t>
      </w:r>
      <w:r>
        <w:t xml:space="preserve"> </w:t>
      </w:r>
      <w:r>
        <w:t xml:space="preserve">— l’hypermarché, le marché, la ferme, l’artisan : il n’existe pas de distributeur intégrateur. Le concept pertinent n’est donc pas l’omnicanal au sens strict, mais le</w:t>
      </w:r>
      <w:r>
        <w:t xml:space="preserve"> </w:t>
      </w:r>
      <w:r>
        <w:rPr>
          <w:b/>
          <w:bCs/>
        </w:rPr>
        <w:t xml:space="preserve">portefeuille de canaux du consommateur</w:t>
      </w:r>
      <w:r>
        <w:t xml:space="preserve"> </w:t>
      </w:r>
      <w:r>
        <w:t xml:space="preserve">et le cross-shopping (Filser et Plichon, 2004 ; Volle, 2012 ; Hino, 2014) : le ménage assemble lui-même un répertoire de circuits, mobilisés pour des fonctions différentes — l’hypermarché pour le gros des courses et les prix, l’artisan pour la qualité de certains produits, le marché pour le frais et le plaisir. Ce répertoire est</w:t>
      </w:r>
      <w:r>
        <w:t xml:space="preserve"> </w:t>
      </w:r>
      <w:r>
        <w:rPr>
          <w:b/>
          <w:bCs/>
        </w:rPr>
        <w:t xml:space="preserve">hiérarchisé</w:t>
      </w:r>
      <w:r>
        <w:t xml:space="preserve"> </w:t>
      </w:r>
      <w:r>
        <w:t xml:space="preserve">: les</w:t>
      </w:r>
      <w:r>
        <w:t xml:space="preserve"> </w:t>
      </w:r>
      <w:r>
        <w:rPr>
          <w:b/>
          <w:bCs/>
        </w:rPr>
        <w:t xml:space="preserve">coûts fixes</w:t>
      </w:r>
      <w:r>
        <w:t xml:space="preserve"> </w:t>
      </w:r>
      <w:r>
        <w:t xml:space="preserve">de la course — déplacement, temps, familiarité avec un point de vente — poussent à concentrer l’essentiel des achats sur un</w:t>
      </w:r>
      <w:r>
        <w:t xml:space="preserve"> </w:t>
      </w:r>
      <w:r>
        <w:rPr>
          <w:b/>
          <w:bCs/>
        </w:rPr>
        <w:t xml:space="preserve">magasin primaire</w:t>
      </w:r>
      <w:r>
        <w:t xml:space="preserve">, les enseignes</w:t>
      </w:r>
      <w:r>
        <w:t xml:space="preserve"> </w:t>
      </w:r>
      <w:r>
        <w:rPr>
          <w:b/>
          <w:bCs/>
        </w:rPr>
        <w:t xml:space="preserve">secondaires</w:t>
      </w:r>
      <w:r>
        <w:t xml:space="preserve"> </w:t>
      </w:r>
      <w:r>
        <w:t xml:space="preserve">n’étant mobilisées qu’au-delà d’un certain « seuil de panier », pour un besoin que le magasin primaire couvre mal (Bell et al., 1998). La vente directe se situe typiquement du côté de ces canaux secondaires.</w:t>
      </w:r>
    </w:p>
    <w:p>
      <w:pPr/>
      <w:r>
        <w:t xml:space="preserve">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 typiquement l’approvisionnement de certaines catégories (légumes, œufs, fromages, viande) valorisées pour leur fraîcheur ou leur origine. La question pertinente n’est alors plus « pourquoi acheter en vente directe ? » mais « quelle part et quelle fonction la vente directe occupe-t-elle dans le portefeuille du ménage ? ». À notre connaissance, cette lecture par le portefeuille de canaux du consommateur reste rarement appliquée de façon explicite à l’alimentation directe et locale : c’est le premier déplacement de l’article.</w:t>
      </w:r>
    </w:p>
    <w:bookmarkEnd w:id="14"/>
    <w:bookmarkStart w:id="15" w:name="X2146e55a8402603f7cb0ad28b3eaf326ad04eda"/>
    <w:p>
      <w:pPr>
        <w:jc w:val="left"/>
      </w:pPr>
      <w:r>
        <w:rPr>
          <w:rFonts w:ascii="Times New Roman" w:hAnsi="Times New Roman"/>
          <w:b w:val="0"/>
          <w:i/>
          <w:sz w:val="24"/>
        </w:rPr>
        <w:t xml:space="preserve">Pourquoi les ménages combinent-ils les canaux ?</w:t>
      </w:r>
    </w:p>
    <w:p>
      <w:pPr>
        <w:pStyle w:val="FirstParagraph"/>
      </w:pPr>
      <w:r>
        <w:t xml:space="preserve">Établir que les canaux sont complémentaires ne dit pas encore</w:t>
      </w:r>
      <w:r>
        <w:t xml:space="preserve"> </w:t>
      </w:r>
      <w:r>
        <w:rPr>
          <w:i/>
          <w:iCs/>
        </w:rPr>
        <w:t xml:space="preserve">pourquoi</w:t>
      </w:r>
      <w:r>
        <w:t xml:space="preserve"> </w:t>
      </w:r>
      <w:r>
        <w:t xml:space="preserve">un ménage les combine. Une littérature sur les motivations du</w:t>
      </w:r>
      <w:r>
        <w:t xml:space="preserve"> </w:t>
      </w:r>
      <w:r>
        <w:rPr>
          <w:i/>
          <w:iCs/>
        </w:rPr>
        <w:t xml:space="preserve">cross-shopping</w:t>
      </w:r>
      <w:r>
        <w:t xml:space="preserve"> </w:t>
      </w:r>
      <w:r>
        <w:t xml:space="preserve">alimentaire l’éclaire. Hino (2014) montre que fréquenter plusieurs formats relève d’un</w:t>
      </w:r>
      <w:r>
        <w:t xml:space="preserve"> </w:t>
      </w:r>
      <w:r>
        <w:rPr>
          <w:b/>
          <w:bCs/>
        </w:rPr>
        <w:t xml:space="preserve">usage sélectif</w:t>
      </w:r>
      <w:r>
        <w:t xml:space="preserve"> </w:t>
      </w:r>
      <w:r>
        <w:t xml:space="preserve">— chaque format pour la fonction qu’il remplit le mieux (produits frais, dépannage, achats de gros) —, et non d’une fidélité générale à l’un d’eux ; Hai Tran et Sirieix (2020) documentent de même ces combinaisons de circuits du point de vue des pratiques d’achat. Vroegrijk et al. (2013) observent que ce sont les ménages déjà multi-enseignes qui adoptent un nouveau format en</w:t>
      </w:r>
      <w:r>
        <w:t xml:space="preserve"> </w:t>
      </w:r>
      <w:r>
        <w:rPr>
          <w:b/>
          <w:bCs/>
        </w:rPr>
        <w:t xml:space="preserve">complément</w:t>
      </w:r>
      <w:r>
        <w:t xml:space="preserve"> </w:t>
      </w:r>
      <w:r>
        <w:t xml:space="preserve">de leurs points de vente habituels, et Melis et al. (2016) que l’ajout d’un canal peut élargir la part de portefeuille captée par une enseigne plutôt que la redistribuer entre canaux existants. Cette combinaison suit aussi la logique des</w:t>
      </w:r>
      <w:r>
        <w:t xml:space="preserve"> </w:t>
      </w:r>
      <w:r>
        <w:rPr>
          <w:b/>
          <w:bCs/>
        </w:rPr>
        <w:t xml:space="preserve">types de courses</w:t>
      </w:r>
      <w:r>
        <w:t xml:space="preserve"> </w:t>
      </w:r>
      <w:r>
        <w:t xml:space="preserve">(Kahn et Schmittlein, 1989) : les grosses courses de réapprovisionnement se concentrent là où le panier complet revient le moins cher, tandis que les courses d’</w:t>
      </w:r>
      <w:r>
        <w:rPr>
          <w:b/>
          <w:bCs/>
        </w:rPr>
        <w:t xml:space="preserve">appoint</w:t>
      </w:r>
      <w:r>
        <w:t xml:space="preserve"> </w:t>
      </w:r>
      <w:r>
        <w:t xml:space="preserve">— plus fréquentes, plus petites, pour un besoin précis ou du frais — se répartissent sur des circuits spécialisés. La vente directe relève typiquement de ce second registre. La théorie des buts (Harris et al., 2018, 2021) ajoute un second niveau d’explication : la configuration du parcours d’achat varie selon la</w:t>
      </w:r>
      <w:r>
        <w:t xml:space="preserve"> </w:t>
      </w:r>
      <w:r>
        <w:rPr>
          <w:b/>
          <w:bCs/>
        </w:rPr>
        <w:t xml:space="preserve">hiérarchie de buts</w:t>
      </w:r>
      <w:r>
        <w:t xml:space="preserve"> </w:t>
      </w:r>
      <w:r>
        <w:t xml:space="preserve">— abstraits (être un consommateur responsable) ou concrets (dépanner un repas) — active dans un contexte d’achat donné, et diffère d’une situation à l’autre pour un même ménage. Appliqué à la vente directe, ce cadre suggère qu’y recourir dépend moins d’un profil de consommateur stable que d’une</w:t>
      </w:r>
      <w:r>
        <w:t xml:space="preserve"> </w:t>
      </w:r>
      <w:r>
        <w:rPr>
          <w:b/>
          <w:bCs/>
        </w:rPr>
        <w:t xml:space="preserve">fonction ponctuelle</w:t>
      </w:r>
      <w:r>
        <w:t xml:space="preserve"> </w:t>
      </w:r>
      <w:r>
        <w:t xml:space="preserve">(fraîcheur, lien au producteur, occasion) qu’elle remplit mieux qu’un autre canal à un moment donné — lecture qui complète, sans s’y substituer, l’explication par le profil sociodémographique.</w:t>
      </w:r>
    </w:p>
    <w:bookmarkEnd w:id="15"/>
    <w:bookmarkStart w:id="16" w:name="Xa78a6e9b4ec9f4ce7a7a5897be46e9029041738"/>
    <w:p>
      <w:pPr>
        <w:jc w:val="left"/>
      </w:pPr>
      <w:r>
        <w:rPr>
          <w:rFonts w:ascii="Times New Roman" w:hAnsi="Times New Roman"/>
          <w:b w:val="0"/>
          <w:i/>
          <w:sz w:val="24"/>
        </w:rPr>
        <w:t xml:space="preserve">De l’intention déclarée aux pratiques d’achat</w:t>
      </w:r>
    </w:p>
    <w:p>
      <w:pPr>
        <w:pStyle w:val="FirstParagraph"/>
      </w:pPr>
      <w:r>
        <w:t xml:space="preserve">La littérature sur la consommation alimentaire durable a massivement documenté les motivations d’achat en circuit court — qualité et fraîcheur perçues, confiance dans le producteur, soutien à l’économie locale, préoccupation environnementale (Dubuisson-Quellier et al., 2011 ; Birch et al., 2018) —, plusieurs travaux mobilisant la théorie du comportement planifié pour relier attitudes, normes et intentions à l’achat (Giampietri et al., 2016, 2018). Birch et al. (2018) relèvent en outre que les motivations égoïstes (goût, santé) y pèsent souvent davantage que les altruistes.</w:t>
      </w:r>
    </w:p>
    <w:p>
      <w:pPr/>
      <w:r>
        <w:t xml:space="preserve">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 (Vermeir et Verbeke, 2006). La revue de Feldmann et Hamm (2015), portant sur soixante-treize études, précise d’ailleurs que, contrairement au bio, l’alimentation locale n’est pas d’abord perçue comme chère : les principaux freins sont l’</w:t>
      </w:r>
      <w:r>
        <w:rPr>
          <w:b/>
          <w:bCs/>
        </w:rPr>
        <w:t xml:space="preserve">inconvénience</w:t>
      </w:r>
      <w:r>
        <w:t xml:space="preserve"> </w:t>
      </w:r>
      <w:r>
        <w:t xml:space="preserve">et le</w:t>
      </w:r>
      <w:r>
        <w:t xml:space="preserve"> </w:t>
      </w:r>
      <w:r>
        <w:rPr>
          <w:b/>
          <w:bCs/>
        </w:rPr>
        <w:t xml:space="preserve">manque de disponibilité</w:t>
      </w:r>
      <w:r>
        <w:t xml:space="preserve"> </w:t>
      </w:r>
      <w:r>
        <w:t xml:space="preserve">— soit des obstacles pratiques plus que financiers. Or la plupart de ces travaux mesurent des intentions, des attitudes ou un consentement à payer hypothétique, rarement des comportements d’achat. Ainsi, les consommateurs se déclarent prêts à payer une prime substantielle pour un produit de circuit court (Mustapa et Kallas, 2025) — disposition dont rien ne garantit la traduction dans les volumes achetés. Le deuxième déplacement de l’article consiste précisément à quitter le registre des attitudes et des intentions pour mesurer les</w:t>
      </w:r>
      <w:r>
        <w:t xml:space="preserve"> </w:t>
      </w:r>
      <w:r>
        <w:rPr>
          <w:b/>
          <w:bCs/>
        </w:rPr>
        <w:t xml:space="preserve">pratiques d’achat déclarées</w:t>
      </w:r>
      <w:r>
        <w:t xml:space="preserve"> </w:t>
      </w:r>
      <w:r>
        <w:t xml:space="preserve">— fréquence de recours, allocation de budget, récence : combien, concrètement, le ménage déclare-t-il consacrer à la vente directe, et non combien il dit vouloir y consacrer. Nos données restent déclaratives, mais elles portent sur des comportements effectifs et non sur des dispositions.</w:t>
      </w:r>
    </w:p>
    <w:bookmarkEnd w:id="16"/>
    <w:bookmarkStart w:id="17" w:name="Xb8fafdd004a54fdf2a5d287765afad3d0b8bc36"/>
    <w:p>
      <w:pPr>
        <w:jc w:val="left"/>
      </w:pPr>
      <w:r>
        <w:rPr>
          <w:rFonts w:ascii="Times New Roman" w:hAnsi="Times New Roman"/>
          <w:b w:val="0"/>
          <w:i/>
          <w:sz w:val="24"/>
        </w:rPr>
        <w:t xml:space="preserve">Segmenter par les pratiques plutôt que par les attitudes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 (Feldmann et Hamm, 2015). La revue systématique de Herzig et Zander (2025) conclut cependant que ces variables sociodémographiques, bien que fréquemment étudiées, expliquent finalement peu le comportement, au profit de facteurs contextuels, informationnels et relationnels. Ces approches segmentent donc les individus par leurs</w:t>
      </w:r>
      <w:r>
        <w:t xml:space="preserve"> </w:t>
      </w:r>
      <w:r>
        <w:rPr>
          <w:b/>
          <w:bCs/>
        </w:rPr>
        <w:t xml:space="preserve">dispositions</w:t>
      </w:r>
      <w:r>
        <w:t xml:space="preserve"> </w:t>
      </w:r>
      <w:r>
        <w:t xml:space="preserve">déclarées. Nous proposons une segmentation d’une autre nature, fondée non sur des attitudes mais sur le</w:t>
      </w:r>
      <w:r>
        <w:t xml:space="preserve"> </w:t>
      </w:r>
      <w:r>
        <w:rPr>
          <w:b/>
          <w:bCs/>
        </w:rPr>
        <w:t xml:space="preserve">portefeuille de canaux effectivement mobilisé</w:t>
      </w:r>
      <w:r>
        <w:t xml:space="preserve"> </w:t>
      </w:r>
      <w:r>
        <w:t xml:space="preserve">et l’allocation de budget déclarée qui en résulte :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de l’article.</w:t>
      </w:r>
    </w:p>
    <w:p>
      <w:pPr/>
      <w:r>
        <w:t xml:space="preserve">Ce positionnement (Tableau 1) conduit à trois attentes, que l’analyse met à l’épreuve. D’abord, la vente directe occuperait rarement la place de canal principal : diffusion potentiellement large, mais part de budget faible (complémentarité, non substitution). Ensuite, parce qu’elle remplit une fonction d’appoint mobilisable pour des buts ponctuels variés, sa pratique serait faiblement déterminée par le profil sociodémographique : elle traverserait les catégories plutôt qu’elle ne distinguerait un groupe social. Enfin, en écho à l’écart attitude-comportement de la littérature, la diffusion (l’essai) serait bien plus large que le poids budgétaire : faute de mesure d’intention, c’est un écart entre essai et adoption que l’analyse met à l’épreuve — beaucoup l’essaieraient, peu l’adopteraient.</w:t>
      </w:r>
    </w:p>
    <w:p>
      <w:pPr/>
      <w:r>
        <w:rPr>
          <w:b/>
          <w:bCs/>
        </w:rPr>
        <w:t xml:space="preserve">Tableau 1 : Positionnement de l’article</w:t>
      </w:r>
    </w:p>
    <w:tbl>
      <w:tblPr>
        <w:tblStyle w:val="Table"/>
        <w:tblW w:type="pct" w:w="5000"/>
        <w:tblLayout w:type="fixed"/>
        <w:tblLook w:firstRow="1" w:lastRow="0" w:firstColumn="0" w:lastColumn="0" w:noHBand="0" w:noVBand="0" w:val="0020"/>
      </w:tblPr>
      <w:tblGrid>
        <w:gridCol w:w="2227"/>
        <w:gridCol w:w="2970"/>
        <w:gridCol w:w="2722"/>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Déplacement proposé</w:t>
            </w:r>
          </w:p>
        </w:tc>
      </w:tr>
      <w:tr>
        <w:tc>
          <w:tcPr/>
          <w:p>
            <w:pPr>
              <w:pStyle w:val="Compact"/>
            </w:pPr>
            <w:r>
              <w:t xml:space="preserve">Portefeuille de canaux / cross-shopping</w:t>
            </w:r>
          </w:p>
        </w:tc>
        <w:tc>
          <w:tcPr/>
          <w:p>
            <w:pPr>
              <w:pStyle w:val="Compact"/>
            </w:pPr>
            <w:r>
              <w:t xml:space="preserve">Neslin et al. (2006) ; Verhoef et al. (2015) ; Hino (2014) ; Vroegrijk et al. (2013)</w:t>
            </w:r>
          </w:p>
        </w:tc>
        <w:tc>
          <w:tcPr/>
          <w:p>
            <w:pPr>
              <w:pStyle w:val="Compact"/>
            </w:pPr>
            <w:r>
              <w:t xml:space="preserve">Lecture par le portefeuille du ménage, appliquée à l’alimentation directe</w:t>
            </w:r>
          </w:p>
        </w:tc>
      </w:tr>
      <w:tr>
        <w:tc>
          <w:tcPr/>
          <w:p>
            <w:pPr>
              <w:pStyle w:val="Compact"/>
            </w:pPr>
            <w:r>
              <w:t xml:space="preserve">Consommation durable</w:t>
            </w:r>
          </w:p>
        </w:tc>
        <w:tc>
          <w:tcPr/>
          <w:p>
            <w:pPr>
              <w:pStyle w:val="Compact"/>
            </w:pPr>
            <w:r>
              <w:t xml:space="preserve">Vermeir et Verbeke (2006) ; Giampietri et al. (2016, 2018) ; Birch et al. (2018)</w:t>
            </w:r>
          </w:p>
        </w:tc>
        <w:tc>
          <w:tcPr/>
          <w:p>
            <w:pPr>
              <w:pStyle w:val="Compact"/>
            </w:pPr>
            <w:r>
              <w:t xml:space="preserve">Des attitudes/intentions aux pratiques d’achat déclarées</w:t>
            </w:r>
          </w:p>
        </w:tc>
      </w:tr>
      <w:tr>
        <w:tc>
          <w:tcPr/>
          <w:p>
            <w:pPr>
              <w:pStyle w:val="Compact"/>
            </w:pPr>
            <w:r>
              <w:t xml:space="preserve">Segmentation</w:t>
            </w:r>
          </w:p>
        </w:tc>
        <w:tc>
          <w:tcPr/>
          <w:p>
            <w:pPr>
              <w:pStyle w:val="Compact"/>
            </w:pPr>
            <w:r>
              <w:t xml:space="preserve">Feldmann et Hamm (2015) ; Herzig et Zander (2025) ; Mustapa et Kallas (2025)</w:t>
            </w:r>
          </w:p>
        </w:tc>
        <w:tc>
          <w:tcPr/>
          <w:p>
            <w:pPr>
              <w:pStyle w:val="Compact"/>
            </w:pPr>
            <w:r>
              <w:t xml:space="preserve">Segmentation par le portefeuille de canaux et le budget réel</w:t>
            </w:r>
          </w:p>
        </w:tc>
      </w:tr>
      <w:tr>
        <w:tc>
          <w:tcPr/>
          <w:p>
            <w:pPr>
              <w:pStyle w:val="Compact"/>
            </w:pPr>
            <w:r>
              <w:t xml:space="preserve">Circuits courts (UE/France)</w:t>
            </w:r>
          </w:p>
        </w:tc>
        <w:tc>
          <w:tcPr/>
          <w:p>
            <w:pPr>
              <w:pStyle w:val="Compact"/>
            </w:pPr>
            <w:r>
              <w:t xml:space="preserve">Enthoven et Van den Broeck (2021) ; Chiffoleau (2019) ; Agreste (2023)</w:t>
            </w:r>
          </w:p>
        </w:tc>
        <w:tc>
          <w:tcPr/>
          <w:p>
            <w:pPr>
              <w:pStyle w:val="Compact"/>
            </w:pPr>
            <w:r>
              <w:t xml:space="preserve">Mesure représentative nationale, côté ménage</w:t>
            </w:r>
          </w:p>
        </w:tc>
      </w:tr>
    </w:tbl>
    <w:bookmarkEnd w:id="17"/>
    <w:bookmarkEnd w:id="18"/>
    <w:bookmarkStart w:id="19" w:name="X7145b3f0329b27779053ada1e4c2ef6847806d6"/>
    <w:p>
      <w:pPr>
        <w:jc w:val="left"/>
      </w:pPr>
      <w:r>
        <w:rPr>
          <w:rFonts w:ascii="Times New Roman" w:hAnsi="Times New Roman"/>
          <w:b/>
          <w:i w:val="0"/>
          <w:sz w:val="28"/>
        </w:rP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 terrain de</w:t>
      </w:r>
      <w:r>
        <w:t xml:space="preserve"> </w:t>
      </w:r>
      <w:r>
        <w:rPr>
          <w:b/>
          <w:bCs/>
        </w:rPr>
        <w:t xml:space="preserve">septembre</w:t>
      </w:r>
      <w:r>
        <w:t xml:space="preserve">.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 Les questions de récence portent explicitement sur le mois de septembre, mois de pleine saison pour les marchés et les produits locaux — ce qui, le cas échéant, tend à</w:t>
      </w:r>
      <w:r>
        <w:t xml:space="preserve"> </w:t>
      </w:r>
      <w:r>
        <w:rPr>
          <w:i/>
          <w:iCs/>
        </w:rPr>
        <w:t xml:space="preserve">sur</w:t>
      </w:r>
      <w:r>
        <w:t xml:space="preserve">-estimer l’activité récente des formes directes plutôt qu’à la minorer.</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cinq dimensions synthétiques (dont les deux premières concentrent 62 % de l’inertie). Une</w:t>
      </w:r>
      <w:r>
        <w:t xml:space="preserve"> </w:t>
      </w:r>
      <w:r>
        <w:rPr>
          <w:b/>
          <w:bCs/>
        </w:rPr>
        <w:t xml:space="preserve">classification ascendante hiérarchique</w:t>
      </w:r>
      <w:r>
        <w:t xml:space="preserve"> </w:t>
      </w:r>
      <w:r>
        <w:t xml:space="preserve">(méthode de Ward) regroupe ensuite les ménages proches sur ces dimensions. Le nombre de classes a été arrêté par examen conjoint de la qualité de partition et de l’interprétabilité : la solution à cinq classes maximise la silhouette moyenne (0,24, contre 0,21 à quatre classes et 0,23 à six) et la découpe à six ne fait que scinder le plus gros groupe sans gain. Cette silhouette</w:t>
      </w:r>
      <w:r>
        <w:t xml:space="preserve"> </w:t>
      </w:r>
      <w:r>
        <w:rPr>
          <w:b/>
          <w:bCs/>
        </w:rPr>
        <w:t xml:space="preserve">modérée</w:t>
      </w:r>
      <w:r>
        <w:t xml:space="preserve">, caractéristique d’une segmentation sur variables d’usage, invite à lire la typologie comme un ensemble de configurations dominantes plutôt que de frontières nettes. Les effectifs (voir Tableau 5) confirment une classe majoritaire et des classes de queue de distribution — la plus petite (n = 26) n’est interprétée qu’avec prudence. La typologie décrit ainsi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9"/>
    <w:bookmarkStart w:id="26" w:name="la-vente-directe-répandue-mais-marginale"/>
    <w:p>
      <w:pPr>
        <w:jc w:val="left"/>
      </w:pPr>
      <w:r>
        <w:rPr>
          <w:rFonts w:ascii="Times New Roman" w:hAnsi="Times New Roman"/>
          <w:b/>
          <w:i w:val="0"/>
          <w:sz w:val="28"/>
        </w:rP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 la pluralité des fréquentations, postulée par l’approche en portefeuille de canaux, est ici pleinement confirmée. La hiérarchie est nette (Figure 1, Tableau 2) : l’hypermarché-supermarché domine sans partage (99,1 % de pénétration, 58,5 % du budget), suivi du hard discount (15,6 % du budget), des artisans et commerçants spécialisés (7,6 %) et du marché (4,8 %). Les canaux de circuits courts proprement dits ne pèsent qu’à la marge dans le budget. L’ensemble dessine une structure en</w:t>
      </w:r>
      <w:r>
        <w:t xml:space="preserve"> </w:t>
      </w:r>
      <w:r>
        <w:rPr>
          <w:b/>
          <w:bCs/>
        </w:rPr>
        <w:t xml:space="preserve">noyau et périphérie</w:t>
      </w:r>
      <w:r>
        <w:t xml:space="preserve"> </w:t>
      </w:r>
      <w:r>
        <w:t xml:space="preserve">— soit, dans les termes du patronage de points de vente, un</w:t>
      </w:r>
      <w:r>
        <w:t xml:space="preserve"> </w:t>
      </w:r>
      <w:r>
        <w:rPr>
          <w:b/>
          <w:bCs/>
        </w:rPr>
        <w:t xml:space="preserve">magasin primaire</w:t>
      </w:r>
      <w:r>
        <w:t xml:space="preserve"> </w:t>
      </w:r>
      <w:r>
        <w:t xml:space="preserve">(la grande distribution, qui concentre près des trois quarts du budget) entouré de canaux</w:t>
      </w:r>
      <w:r>
        <w:t xml:space="preserve"> </w:t>
      </w:r>
      <w:r>
        <w:rPr>
          <w:b/>
          <w:bCs/>
        </w:rPr>
        <w:t xml:space="preserve">secondaires d’appoint</w:t>
      </w:r>
      <w:r>
        <w:t xml:space="preserve">, dont la vente directe, fréquentés par beaucoup mais pour de faibles montants. C’est dans cette périphérie, et non en rivalité avec le noyau, que se joue la vente directe.</w:t>
      </w:r>
    </w:p>
    <w:p>
      <w:pPr>
        <w:pStyle w:val="CaptionedFigure"/>
      </w:pPr>
      <w:r>
        <w:drawing>
          <wp:inline>
            <wp:extent cx="5969000" cy="3542126"/>
            <wp:effectExtent b="0" l="0" r="0" t="0"/>
            <wp:docPr descr="Figure 1" title="" id="21" name="Picture"/>
            <a:graphic>
              <a:graphicData uri="http://schemas.openxmlformats.org/drawingml/2006/picture">
                <pic:pic>
                  <pic:nvPicPr>
                    <pic:cNvPr descr="../../figures/png/fig1_part_budget_canal_nb.png" id="22" name="Picture"/>
                    <pic:cNvPicPr>
                      <a:picLocks noChangeArrowheads="1" noChangeAspect="1"/>
                    </pic:cNvPicPr>
                  </pic:nvPicPr>
                  <pic:blipFill>
                    <a:blip r:embed="rId20"/>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r>
        <w:rPr>
          <w:b/>
          <w:bCs/>
        </w:rPr>
        <w:t xml:space="preserve">Figure 1 : Part du budget alimentaire par canal (n = 1 025)</w:t>
      </w:r>
    </w:p>
    <w:p>
      <w:pPr/>
      <w:r>
        <w:t xml:space="preserve">En appliquant la définition à double porte,</w:t>
      </w:r>
      <w:r>
        <w:t xml:space="preserve"> </w:t>
      </w:r>
      <w:r>
        <w:rPr>
          <w:b/>
          <w:bCs/>
        </w:rPr>
        <w:t xml:space="preserve">65,0 % des ménages</w:t>
      </w:r>
      <w:r>
        <w:t xml:space="preserve"> </w:t>
      </w:r>
      <w:r>
        <w:t xml:space="preserve">(IC à 95 % : 62,0–67,8 ; n = 666 sur 1 025) pratiquent une forme de vente directe. L’achat direct aux agriculteurs (hors marchés) concerne 49,7 % des ménages (n = 509), mais seulement 17,3 % de façon régulière (n = 177 ; Figure 2) ; l’achat direct au producteur sur les marchés ajoute 157 ménages — un quart de la population concernée — qui n’auraient pas été comptés autrement. Reconnaître cette seconde porte importe : réduire la vente directe à ses formes les plus institutionnalisées (AMAP, magasins de producteurs) en sous-estimerait nettement la diffusion, en ignorant le marché, premier lieu de contact direct avec les agriculteurs.</w:t>
      </w:r>
    </w:p>
    <w:p>
      <w:pPr/>
      <w:r>
        <w:rPr>
          <w:b/>
          <w:bCs/>
        </w:rPr>
        <w:t xml:space="preserve">Tableau 2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4" name="Picture"/>
            <a:graphic>
              <a:graphicData uri="http://schemas.openxmlformats.org/drawingml/2006/picture">
                <pic:pic>
                  <pic:nvPicPr>
                    <pic:cNvPr descr="../../figures/png/fig2_frequence_canal7_nb.png" id="25" name="Picture"/>
                    <pic:cNvPicPr>
                      <a:picLocks noChangeArrowheads="1" noChangeAspect="1"/>
                    </pic:cNvPicPr>
                  </pic:nvPicPr>
                  <pic:blipFill>
                    <a:blip r:embed="rId23"/>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r>
        <w:rPr>
          <w:b/>
          <w:bCs/>
        </w:rPr>
        <w:t xml:space="preserve">Figure 2 : Fréquence d’achat direct aux agriculteurs</w:t>
      </w:r>
    </w:p>
    <w:p>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ancré dans le budget d’une minorité active.</w:t>
      </w:r>
    </w:p>
    <w:p>
      <w:pPr/>
      <w:r>
        <w:t xml:space="preserve">Le contraste que nous relevons pourrait n’être qu’un effet des définitions retenues — 65 % étant la mesure la plus large et 1,5 % la plus conservatrice. Le Tableau 3 le met à l’épreuve en croisant les trois définitions possibles de la vente directe avec les deux dénominateurs budgétaires. Le paradoxe y résiste : même sous la définition la plus stricte (usage régulier, 17,3 % des ménages), la part de budget chez ces seuls réguliers (8,5 %) reste minoritaire ; et la diffusion large (65 %) coexiste avec un poids national de 1,5 % quelle que soit la porte d’entrée. L’écart entre adhésion et poids n’est donc pas un artefact du choix de dénominateur.</w:t>
      </w:r>
    </w:p>
    <w:p>
      <w:pPr/>
      <w:r>
        <w:rPr>
          <w:b/>
          <w:bCs/>
        </w:rPr>
        <w:t xml:space="preserve">Tableau 3 : Sensibilité — définition de la vente directe et dénominateur budgétaire</w:t>
      </w:r>
    </w:p>
    <w:tbl>
      <w:tblPr>
        <w:tblStyle w:val="Table"/>
        <w:tblW w:type="pct" w:w="5000"/>
        <w:tblLayout w:type="fixed"/>
        <w:tblLook w:firstRow="1" w:lastRow="0" w:firstColumn="0" w:lastColumn="0" w:noHBand="0" w:noVBand="0" w:val="0020"/>
      </w:tblPr>
      <w:tblGrid>
        <w:gridCol w:w="3960"/>
        <w:gridCol w:w="990"/>
        <w:gridCol w:w="990"/>
        <w:gridCol w:w="990"/>
        <w:gridCol w:w="990"/>
      </w:tblGrid>
      <w:tr>
        <w:trPr>
          <w:tblHeader w:val="on"/>
        </w:trPr>
        <w:tc>
          <w:tcPr/>
          <w:p>
            <w:pPr>
              <w:pStyle w:val="Compact"/>
            </w:pPr>
            <w:r>
              <w:t xml:space="preserve">Définition retenue</w:t>
            </w:r>
          </w:p>
        </w:tc>
        <w:tc>
          <w:tcPr/>
          <w:p>
            <w:pPr>
              <w:pStyle w:val="Compact"/>
              <w:jc w:val="center"/>
            </w:pPr>
            <w:r>
              <w:t xml:space="preserve">n</w:t>
            </w:r>
          </w:p>
        </w:tc>
        <w:tc>
          <w:tcPr/>
          <w:p>
            <w:pPr>
              <w:pStyle w:val="Compact"/>
              <w:jc w:val="center"/>
            </w:pPr>
            <w:r>
              <w:t xml:space="preserve">% ménages</w:t>
            </w:r>
          </w:p>
        </w:tc>
        <w:tc>
          <w:tcPr/>
          <w:p>
            <w:pPr>
              <w:pStyle w:val="Compact"/>
              <w:jc w:val="center"/>
            </w:pPr>
            <w:r>
              <w:t xml:space="preserve">Part du budget /population</w:t>
            </w:r>
          </w:p>
        </w:tc>
        <w:tc>
          <w:tcPr/>
          <w:p>
            <w:pPr>
              <w:pStyle w:val="Compact"/>
              <w:jc w:val="center"/>
            </w:pPr>
            <w:r>
              <w:t xml:space="preserve">Part du budget /acheteurs réguliers</w:t>
            </w:r>
          </w:p>
        </w:tc>
      </w:tr>
      <w:tr>
        <w:tc>
          <w:tcPr/>
          <w:p>
            <w:pPr>
              <w:pStyle w:val="Compact"/>
            </w:pPr>
            <w:r>
              <w:t xml:space="preserve">Inclusive — union des deux portes</w:t>
            </w:r>
          </w:p>
        </w:tc>
        <w:tc>
          <w:tcPr/>
          <w:p>
            <w:pPr>
              <w:pStyle w:val="Compact"/>
              <w:jc w:val="center"/>
            </w:pPr>
            <w:r>
              <w:t xml:space="preserve">666</w:t>
            </w:r>
          </w:p>
        </w:tc>
        <w:tc>
          <w:tcPr/>
          <w:p>
            <w:pPr>
              <w:pStyle w:val="Compact"/>
              <w:jc w:val="center"/>
            </w:pPr>
            <w:r>
              <w:t xml:space="preserve">65,0 %</w:t>
            </w:r>
          </w:p>
        </w:tc>
        <w:tc>
          <w:tcPr/>
          <w:p>
            <w:pPr>
              <w:pStyle w:val="Compact"/>
              <w:jc w:val="center"/>
            </w:pPr>
            <w:r>
              <w:t xml:space="preserve">—</w:t>
            </w:r>
          </w:p>
        </w:tc>
        <w:tc>
          <w:tcPr/>
          <w:p>
            <w:pPr>
              <w:pStyle w:val="Compact"/>
              <w:jc w:val="center"/>
            </w:pPr>
            <w:r>
              <w:t xml:space="preserve">—</w:t>
            </w:r>
          </w:p>
        </w:tc>
      </w:tr>
      <w:tr>
        <w:tc>
          <w:tcPr/>
          <w:p>
            <w:pPr>
              <w:pStyle w:val="Compact"/>
            </w:pPr>
            <w:r>
              <w:t xml:space="preserve">Pénétration (achat direct, toute fréquence)</w:t>
            </w:r>
          </w:p>
        </w:tc>
        <w:tc>
          <w:tcPr/>
          <w:p>
            <w:pPr>
              <w:pStyle w:val="Compact"/>
              <w:jc w:val="center"/>
            </w:pPr>
            <w:r>
              <w:t xml:space="preserve">509</w:t>
            </w:r>
          </w:p>
        </w:tc>
        <w:tc>
          <w:tcPr/>
          <w:p>
            <w:pPr>
              <w:pStyle w:val="Compact"/>
              <w:jc w:val="center"/>
            </w:pPr>
            <w:r>
              <w:t xml:space="preserve">49,7 %</w:t>
            </w:r>
          </w:p>
        </w:tc>
        <w:tc>
          <w:tcPr/>
          <w:p>
            <w:pPr>
              <w:pStyle w:val="Compact"/>
              <w:jc w:val="center"/>
            </w:pPr>
            <w:r>
              <w:t xml:space="preserve">1,5 %</w:t>
            </w:r>
          </w:p>
        </w:tc>
        <w:tc>
          <w:tcPr/>
          <w:p>
            <w:pPr>
              <w:pStyle w:val="Compact"/>
              <w:jc w:val="center"/>
            </w:pPr>
            <w:r>
              <w:t xml:space="preserve">—</w:t>
            </w:r>
          </w:p>
        </w:tc>
      </w:tr>
      <w:tr>
        <w:tc>
          <w:tcPr/>
          <w:p>
            <w:pPr>
              <w:pStyle w:val="Compact"/>
            </w:pPr>
            <w:r>
              <w:t xml:space="preserve">Régulière (au moins mensuelle)</w:t>
            </w:r>
          </w:p>
        </w:tc>
        <w:tc>
          <w:tcPr/>
          <w:p>
            <w:pPr>
              <w:pStyle w:val="Compact"/>
              <w:jc w:val="center"/>
            </w:pPr>
            <w:r>
              <w:t xml:space="preserve">177</w:t>
            </w:r>
          </w:p>
        </w:tc>
        <w:tc>
          <w:tcPr/>
          <w:p>
            <w:pPr>
              <w:pStyle w:val="Compact"/>
              <w:jc w:val="center"/>
            </w:pPr>
            <w:r>
              <w:t xml:space="preserve">17,3 %</w:t>
            </w:r>
          </w:p>
        </w:tc>
        <w:tc>
          <w:tcPr/>
          <w:p>
            <w:pPr>
              <w:pStyle w:val="Compact"/>
              <w:jc w:val="center"/>
            </w:pPr>
            <w:r>
              <w:t xml:space="preserve">1,5 %</w:t>
            </w:r>
          </w:p>
        </w:tc>
        <w:tc>
          <w:tcPr/>
          <w:p>
            <w:pPr>
              <w:pStyle w:val="Compact"/>
              <w:jc w:val="center"/>
            </w:pPr>
            <w:r>
              <w:t xml:space="preserve">8,5 %</w:t>
            </w:r>
          </w:p>
        </w:tc>
      </w:tr>
    </w:tbl>
    <w:p>
      <w:pPr/>
      <w:r>
        <w:rPr>
          <w:i/>
          <w:iCs/>
        </w:rPr>
        <w:t xml:space="preserve">Le poids budgétaire est mesuré sur la part propre de l’achat direct aux agriculteurs (canal identifiable). « /population » rapporte à l’ensemble des 1 025 ménages (plancher, part nulle imputée aux non-réguliers) ; « /acheteurs réguliers » à la seule sous-population qui y recourt au moins une fois par mois (intensité).</w:t>
      </w:r>
    </w:p>
    <w:p>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Ce contraste, observé dans les seuls comportements d’achat, fait écho — sans que nous en mesurions le versant attitudinal — à l’écart entre attitudes et comportements que documente la littérature (Vermeir et Verbeke, 2006) : l’essai est massif, la part de budget marginale.</w:t>
      </w:r>
    </w:p>
    <w:bookmarkEnd w:id="26"/>
    <w:bookmarkStart w:id="30" w:name="Xe4e0b2f4b1568e238a2a23f481cbadf536e92a8"/>
    <w:p>
      <w:pPr>
        <w:jc w:val="left"/>
      </w:pPr>
      <w:r>
        <w:rPr>
          <w:rFonts w:ascii="Times New Roman" w:hAnsi="Times New Roman"/>
          <w:b/>
          <w:i w:val="0"/>
          <w:sz w:val="28"/>
        </w:rPr>
        <w:t xml:space="preserve">De l’essai à l’adoption : une pratique peu retenue</w:t>
      </w:r>
    </w:p>
    <w:p>
      <w:pPr>
        <w:pStyle w:val="FirstParagraph"/>
      </w:pPr>
      <w:r>
        <w:t xml:space="preserve">Le faible poids budgétaire trouve un écho dans un second indicateur, indépendant : la</w:t>
      </w:r>
      <w:r>
        <w:t xml:space="preserve"> </w:t>
      </w:r>
      <w:r>
        <w:rPr>
          <w:b/>
          <w:bCs/>
        </w:rPr>
        <w:t xml:space="preserve">récence d’achat</w:t>
      </w:r>
      <w:r>
        <w:t xml:space="preserve">. Au-delà de la question générale de fréquentation, l’enquête demande, pour chaque forme de vente directe, si le ménage y a acheté au cours du mois écoulé, en distinguant quatre situations : achat récent, achat plus ancien mais maintenu, achat abandonné, et absence d’achat (Tableau 4). Pour situer ces formes, nous les comparons à trois circuits conventionnels spécialisés — boulanger, boucher, primeur — soumis aux mêmes questions (Figure 3). Ces comparateurs portent sur une population distincte (893 clients d’artisans contre 509 acheteurs directs) : la mise en regard reste indicative.</w:t>
      </w:r>
    </w:p>
    <w:p>
      <w:pPr/>
      <w:r>
        <w:t xml:space="preserve">Au niveau agrégé, parmi les 509 ménages qui déclarent acheter en vente directe aux agriculteurs,</w:t>
      </w:r>
      <w:r>
        <w:t xml:space="preserve"> </w:t>
      </w:r>
      <w:r>
        <w:rPr>
          <w:b/>
          <w:bCs/>
        </w:rPr>
        <w:t xml:space="preserve">54 % seulement ont effectivement acheté au cours du mois écoulé</w:t>
      </w:r>
      <w:r>
        <w:t xml:space="preserve"> </w:t>
      </w:r>
      <w:r>
        <w:t xml:space="preserve">via l’une des formes ; 46 % n’ont rien acheté ce mois-là. Une part de ces 46 % relève d’une</w:t>
      </w:r>
      <w:r>
        <w:t xml:space="preserve"> </w:t>
      </w:r>
      <w:r>
        <w:rPr>
          <w:b/>
          <w:bCs/>
        </w:rPr>
        <w:t xml:space="preserve">intermittence</w:t>
      </w:r>
      <w:r>
        <w:t xml:space="preserve"> </w:t>
      </w:r>
      <w:r>
        <w:t xml:space="preserve">attendue, non d’un décrochage : l’</w:t>
      </w:r>
      <w:r>
        <w:rPr>
          <w:b/>
          <w:bCs/>
        </w:rPr>
        <w:t xml:space="preserve">abandon déclaré</w:t>
      </w:r>
      <w:r>
        <w:t xml:space="preserve"> </w:t>
      </w:r>
      <w:r>
        <w:t xml:space="preserve">(« j’en achetais, ce n’est plus le cas ») reste modéré, de 15 à 19 % selon les formes (Tableau 4). Cet écart tient aussi à la</w:t>
      </w:r>
      <w:r>
        <w:t xml:space="preserve"> </w:t>
      </w:r>
      <w:r>
        <w:rPr>
          <w:b/>
          <w:bCs/>
        </w:rPr>
        <w:t xml:space="preserve">façon de mesurer</w:t>
      </w:r>
      <w:r>
        <w:t xml:space="preserve"> </w:t>
      </w:r>
      <w:r>
        <w:t xml:space="preserve">: une question générale (« achetez-vous en vente directe ? ») appelle une réponse plus inclusive qu’une question</w:t>
      </w:r>
      <w:r>
        <w:t xml:space="preserve"> </w:t>
      </w:r>
      <w:r>
        <w:rPr>
          <w:b/>
          <w:bCs/>
        </w:rPr>
        <w:t xml:space="preserve">datée</w:t>
      </w:r>
      <w:r>
        <w:t xml:space="preserve"> </w:t>
      </w:r>
      <w:r>
        <w:t xml:space="preserve">(« en avez-vous acheté le mois écoulé ? »), le jugement de fréquence déclaré dépendant du mode d’interrogation (Menon, Raghubir et Schwarz, 1995). Mais cet abandon modéré et le faible poids budgétaire (1,5 %) montrent que la fréquentation déclarée surestime la</w:t>
      </w:r>
      <w:r>
        <w:t xml:space="preserve"> </w:t>
      </w:r>
      <w:r>
        <w:rPr>
          <w:b/>
          <w:bCs/>
        </w:rPr>
        <w:t xml:space="preserve">régularité</w:t>
      </w:r>
      <w:r>
        <w:t xml:space="preserve">, non la fidélité : beaucoup l’essaient, peu l’adoptent.</w:t>
      </w:r>
    </w:p>
    <w:p>
      <w:pPr/>
      <w:r>
        <w:t xml:space="preserve">Surtout, la récence décroît fortement avec l’effort qu’exige la forme, et la comparaison conventionnelle le souligne. Les canaux du quotidien sont fortement ancrés : chez le boulanger, 58 % des clients ont acheté le mois écoulé ; sur le marché au producteur, 59 %. Mais dès que la forme demande une démarche spécifique, la récence s’effondre : 20 % pour les magasins de producteurs, 17 % pour les halles, 7 % pour les foires et salons, 6 % pour les paniers en ligne. Le boucher et le primeur (37-38 %) se situent au niveau de l’achat à la ferme (34 %), signe que le clivage ne suit pas la frontière conventionnel/alternatif mais bien le</w:t>
      </w:r>
      <w:r>
        <w:t xml:space="preserve"> </w:t>
      </w:r>
      <w:r>
        <w:rPr>
          <w:b/>
          <w:bCs/>
        </w:rPr>
        <w:t xml:space="preserve">degré d’effort</w:t>
      </w:r>
      <w:r>
        <w:t xml:space="preserve"> </w:t>
      </w:r>
      <w:r>
        <w:t xml:space="preserve">requis. Deux mécanismes se conjuguent. D’abord un déficit de</w:t>
      </w:r>
      <w:r>
        <w:t xml:space="preserve"> </w:t>
      </w:r>
      <w:r>
        <w:rPr>
          <w:b/>
          <w:bCs/>
        </w:rPr>
        <w:t xml:space="preserve">notoriété</w:t>
      </w:r>
      <w:r>
        <w:t xml:space="preserve"> </w:t>
      </w:r>
      <w:r>
        <w:t xml:space="preserve">des formes les plus institutionnelles : parmi les acheteurs directs eux-mêmes, 8 % ignorent ce qu’est un magasin de producteurs, 10 % ce qu’est un panier en ligne de type La Ruche, et jusqu’à</w:t>
      </w:r>
      <w:r>
        <w:t xml:space="preserve"> </w:t>
      </w:r>
      <w:r>
        <w:rPr>
          <w:b/>
          <w:bCs/>
        </w:rPr>
        <w:t xml:space="preserve">46 % ce qu’est une AMAP</w:t>
      </w:r>
      <w:r>
        <w:t xml:space="preserve">. Ensuite un abandon marqué là où l’engagement est le plus fort : parmi les 116 ménages qui ont un jour été clients d’une AMAP (41 le sont encore, 75 ne le sont plus), près des deux tiers (</w:t>
      </w:r>
      <w:r>
        <w:rPr>
          <w:b/>
          <w:bCs/>
        </w:rPr>
        <w:t xml:space="preserve">65 %</w:t>
      </w:r>
      <w:r>
        <w:t xml:space="preserve">, IC à 95 % : 56–73) ont cessé — chiffre frappant, mais assis sur un effectif modeste, à manier avec prudence.</w:t>
      </w:r>
    </w:p>
    <w:p>
      <w:pPr/>
      <w:r>
        <w:rPr>
          <w:b/>
          <w:bCs/>
        </w:rPr>
        <w:t xml:space="preserve">Tableau 4 : Récence d’achat par forme de vente directe et comparaison conventionnelle</w:t>
      </w:r>
    </w:p>
    <w:tbl>
      <w:tblPr>
        <w:tblStyle w:val="Table"/>
        <w:tblW w:type="pct" w:w="5000"/>
        <w:tblLayout w:type="fixed"/>
        <w:tblLook w:firstRow="1" w:lastRow="0" w:firstColumn="0" w:lastColumn="0" w:noHBand="0" w:noVBand="0" w:val="0020"/>
      </w:tblPr>
      <w:tblGrid>
        <w:gridCol w:w="1732"/>
        <w:gridCol w:w="1237"/>
        <w:gridCol w:w="1237"/>
        <w:gridCol w:w="1237"/>
        <w:gridCol w:w="1237"/>
        <w:gridCol w:w="1237"/>
      </w:tblGrid>
      <w:tr>
        <w:trPr>
          <w:tblHeader w:val="on"/>
        </w:trPr>
        <w:tc>
          <w:tcPr/>
          <w:p>
            <w:pPr>
              <w:pStyle w:val="Compact"/>
            </w:pPr>
            <w:r>
              <w:t xml:space="preserve">Forme</w:t>
            </w:r>
          </w:p>
        </w:tc>
        <w:tc>
          <w:tcPr/>
          <w:p>
            <w:pPr>
              <w:pStyle w:val="Compact"/>
              <w:jc w:val="center"/>
            </w:pPr>
            <w:r>
              <w:t xml:space="preserve">Interrogés (n)</w:t>
            </w:r>
          </w:p>
        </w:tc>
        <w:tc>
          <w:tcPr/>
          <w:p>
            <w:pPr>
              <w:pStyle w:val="Compact"/>
              <w:jc w:val="center"/>
            </w:pPr>
            <w:r>
              <w:t xml:space="preserve">Acheté le mois écoulé</w:t>
            </w:r>
          </w:p>
        </w:tc>
        <w:tc>
          <w:tcPr/>
          <w:p>
            <w:pPr>
              <w:pStyle w:val="Compact"/>
              <w:jc w:val="center"/>
            </w:pPr>
            <w:r>
              <w:t xml:space="preserve">Achète, pas ce mois-ci</w:t>
            </w:r>
          </w:p>
        </w:tc>
        <w:tc>
          <w:tcPr/>
          <w:p>
            <w:pPr>
              <w:pStyle w:val="Compact"/>
              <w:jc w:val="center"/>
            </w:pPr>
            <w:r>
              <w:t xml:space="preserve">N’achète plus</w:t>
            </w:r>
          </w:p>
        </w:tc>
        <w:tc>
          <w:tcPr/>
          <w:p>
            <w:pPr>
              <w:pStyle w:val="Compact"/>
              <w:jc w:val="center"/>
            </w:pPr>
            <w:r>
              <w:t xml:space="preserve">Jamais / ne connaît pas</w:t>
            </w:r>
          </w:p>
        </w:tc>
      </w:tr>
      <w:tr>
        <w:tc>
          <w:tcPr/>
          <w:p>
            <w:pPr>
              <w:pStyle w:val="Compact"/>
            </w:pPr>
            <w:r>
              <w:t xml:space="preserve">Marché (au producteur)</w:t>
            </w:r>
          </w:p>
        </w:tc>
        <w:tc>
          <w:tcPr/>
          <w:p>
            <w:pPr>
              <w:pStyle w:val="Compact"/>
              <w:jc w:val="center"/>
            </w:pPr>
            <w:r>
              <w:t xml:space="preserve">810</w:t>
            </w:r>
          </w:p>
        </w:tc>
        <w:tc>
          <w:tcPr/>
          <w:p>
            <w:pPr>
              <w:pStyle w:val="Compact"/>
              <w:jc w:val="center"/>
            </w:pPr>
            <w:r>
              <w:t xml:space="preserve">59 %</w:t>
            </w:r>
          </w:p>
        </w:tc>
        <w:tc>
          <w:tcPr/>
          <w:p>
            <w:pPr>
              <w:pStyle w:val="Compact"/>
              <w:jc w:val="center"/>
            </w:pPr>
            <w:r>
              <w:t xml:space="preserve">30 %</w:t>
            </w:r>
          </w:p>
        </w:tc>
        <w:tc>
          <w:tcPr/>
          <w:p>
            <w:pPr>
              <w:pStyle w:val="Compact"/>
              <w:jc w:val="center"/>
            </w:pPr>
            <w:r>
              <w:t xml:space="preserve">6 %</w:t>
            </w:r>
          </w:p>
        </w:tc>
        <w:tc>
          <w:tcPr/>
          <w:p>
            <w:pPr>
              <w:pStyle w:val="Compact"/>
              <w:jc w:val="center"/>
            </w:pPr>
            <w:r>
              <w:t xml:space="preserve">5 %</w:t>
            </w:r>
          </w:p>
        </w:tc>
      </w:tr>
      <w:tr>
        <w:tc>
          <w:tcPr/>
          <w:p>
            <w:pPr>
              <w:pStyle w:val="Compact"/>
            </w:pPr>
            <w:r>
              <w:t xml:space="preserve">Boulanger</w:t>
            </w:r>
            <w:r>
              <w:t xml:space="preserve"> </w:t>
            </w:r>
            <w:r>
              <w:rPr>
                <w:i/>
                <w:iCs/>
              </w:rPr>
              <w:t xml:space="preserve">(conv.)</w:t>
            </w:r>
          </w:p>
        </w:tc>
        <w:tc>
          <w:tcPr/>
          <w:p>
            <w:pPr>
              <w:pStyle w:val="Compact"/>
              <w:jc w:val="center"/>
            </w:pPr>
            <w:r>
              <w:t xml:space="preserve">893</w:t>
            </w:r>
          </w:p>
        </w:tc>
        <w:tc>
          <w:tcPr/>
          <w:p>
            <w:pPr>
              <w:pStyle w:val="Compact"/>
              <w:jc w:val="center"/>
            </w:pPr>
            <w:r>
              <w:t xml:space="preserve">58 %</w:t>
            </w:r>
          </w:p>
        </w:tc>
        <w:tc>
          <w:tcPr/>
          <w:p>
            <w:pPr>
              <w:pStyle w:val="Compact"/>
              <w:jc w:val="center"/>
            </w:pPr>
            <w:r>
              <w:t xml:space="preserve">21 %</w:t>
            </w:r>
          </w:p>
        </w:tc>
        <w:tc>
          <w:tcPr/>
          <w:p>
            <w:pPr>
              <w:pStyle w:val="Compact"/>
              <w:jc w:val="center"/>
            </w:pPr>
            <w:r>
              <w:t xml:space="preserve">10 %</w:t>
            </w:r>
          </w:p>
        </w:tc>
        <w:tc>
          <w:tcPr/>
          <w:p>
            <w:pPr>
              <w:pStyle w:val="Compact"/>
              <w:jc w:val="center"/>
            </w:pPr>
            <w:r>
              <w:t xml:space="preserve">11 %</w:t>
            </w:r>
          </w:p>
        </w:tc>
      </w:tr>
      <w:tr>
        <w:tc>
          <w:tcPr/>
          <w:p>
            <w:pPr>
              <w:pStyle w:val="Compact"/>
            </w:pPr>
            <w:r>
              <w:t xml:space="preserve">Boucher</w:t>
            </w:r>
            <w:r>
              <w:t xml:space="preserve"> </w:t>
            </w:r>
            <w:r>
              <w:rPr>
                <w:i/>
                <w:iCs/>
              </w:rPr>
              <w:t xml:space="preserve">(conv.)</w:t>
            </w:r>
          </w:p>
        </w:tc>
        <w:tc>
          <w:tcPr/>
          <w:p>
            <w:pPr>
              <w:pStyle w:val="Compact"/>
              <w:jc w:val="center"/>
            </w:pPr>
            <w:r>
              <w:t xml:space="preserve">893</w:t>
            </w:r>
          </w:p>
        </w:tc>
        <w:tc>
          <w:tcPr/>
          <w:p>
            <w:pPr>
              <w:pStyle w:val="Compact"/>
              <w:jc w:val="center"/>
            </w:pPr>
            <w:r>
              <w:t xml:space="preserve">38 %</w:t>
            </w:r>
          </w:p>
        </w:tc>
        <w:tc>
          <w:tcPr/>
          <w:p>
            <w:pPr>
              <w:pStyle w:val="Compact"/>
              <w:jc w:val="center"/>
            </w:pPr>
            <w:r>
              <w:t xml:space="preserve">32 %</w:t>
            </w:r>
          </w:p>
        </w:tc>
        <w:tc>
          <w:tcPr/>
          <w:p>
            <w:pPr>
              <w:pStyle w:val="Compact"/>
              <w:jc w:val="center"/>
            </w:pPr>
            <w:r>
              <w:t xml:space="preserve">17 %</w:t>
            </w:r>
          </w:p>
        </w:tc>
        <w:tc>
          <w:tcPr/>
          <w:p>
            <w:pPr>
              <w:pStyle w:val="Compact"/>
              <w:jc w:val="center"/>
            </w:pPr>
            <w:r>
              <w:t xml:space="preserve">13 %</w:t>
            </w:r>
          </w:p>
        </w:tc>
      </w:tr>
      <w:tr>
        <w:tc>
          <w:tcPr/>
          <w:p>
            <w:pPr>
              <w:pStyle w:val="Compact"/>
            </w:pPr>
            <w:r>
              <w:t xml:space="preserve">Primeur</w:t>
            </w:r>
            <w:r>
              <w:t xml:space="preserve"> </w:t>
            </w:r>
            <w:r>
              <w:rPr>
                <w:i/>
                <w:iCs/>
              </w:rPr>
              <w:t xml:space="preserve">(conv.)</w:t>
            </w:r>
          </w:p>
        </w:tc>
        <w:tc>
          <w:tcPr/>
          <w:p>
            <w:pPr>
              <w:pStyle w:val="Compact"/>
              <w:jc w:val="center"/>
            </w:pPr>
            <w:r>
              <w:t xml:space="preserve">893</w:t>
            </w:r>
          </w:p>
        </w:tc>
        <w:tc>
          <w:tcPr/>
          <w:p>
            <w:pPr>
              <w:pStyle w:val="Compact"/>
              <w:jc w:val="center"/>
            </w:pPr>
            <w:r>
              <w:t xml:space="preserve">37 %</w:t>
            </w:r>
          </w:p>
        </w:tc>
        <w:tc>
          <w:tcPr/>
          <w:p>
            <w:pPr>
              <w:pStyle w:val="Compact"/>
              <w:jc w:val="center"/>
            </w:pPr>
            <w:r>
              <w:t xml:space="preserve">34 %</w:t>
            </w:r>
          </w:p>
        </w:tc>
        <w:tc>
          <w:tcPr/>
          <w:p>
            <w:pPr>
              <w:pStyle w:val="Compact"/>
              <w:jc w:val="center"/>
            </w:pPr>
            <w:r>
              <w:t xml:space="preserve">17 %</w:t>
            </w:r>
          </w:p>
        </w:tc>
        <w:tc>
          <w:tcPr/>
          <w:p>
            <w:pPr>
              <w:pStyle w:val="Compact"/>
              <w:jc w:val="center"/>
            </w:pPr>
            <w:r>
              <w:t xml:space="preserve">13 %</w:t>
            </w:r>
          </w:p>
        </w:tc>
      </w:tr>
      <w:tr>
        <w:tc>
          <w:tcPr/>
          <w:p>
            <w:pPr>
              <w:pStyle w:val="Compact"/>
            </w:pPr>
            <w:r>
              <w:t xml:space="preserve">À la ferme</w:t>
            </w:r>
          </w:p>
        </w:tc>
        <w:tc>
          <w:tcPr/>
          <w:p>
            <w:pPr>
              <w:pStyle w:val="Compact"/>
              <w:jc w:val="center"/>
            </w:pPr>
            <w:r>
              <w:t xml:space="preserve">509</w:t>
            </w:r>
          </w:p>
        </w:tc>
        <w:tc>
          <w:tcPr/>
          <w:p>
            <w:pPr>
              <w:pStyle w:val="Compact"/>
              <w:jc w:val="center"/>
            </w:pPr>
            <w:r>
              <w:t xml:space="preserve">34 %</w:t>
            </w:r>
          </w:p>
        </w:tc>
        <w:tc>
          <w:tcPr/>
          <w:p>
            <w:pPr>
              <w:pStyle w:val="Compact"/>
              <w:jc w:val="center"/>
            </w:pPr>
            <w:r>
              <w:t xml:space="preserve">35 %</w:t>
            </w:r>
          </w:p>
        </w:tc>
        <w:tc>
          <w:tcPr/>
          <w:p>
            <w:pPr>
              <w:pStyle w:val="Compact"/>
              <w:jc w:val="center"/>
            </w:pPr>
            <w:r>
              <w:t xml:space="preserve">16 %</w:t>
            </w:r>
          </w:p>
        </w:tc>
        <w:tc>
          <w:tcPr/>
          <w:p>
            <w:pPr>
              <w:pStyle w:val="Compact"/>
              <w:jc w:val="center"/>
            </w:pPr>
            <w:r>
              <w:t xml:space="preserve">15 %</w:t>
            </w:r>
          </w:p>
        </w:tc>
      </w:tr>
      <w:tr>
        <w:tc>
          <w:tcPr/>
          <w:p>
            <w:pPr>
              <w:pStyle w:val="Compact"/>
            </w:pPr>
            <w:r>
              <w:t xml:space="preserve">Magasin de producteurs</w:t>
            </w:r>
          </w:p>
        </w:tc>
        <w:tc>
          <w:tcPr/>
          <w:p>
            <w:pPr>
              <w:pStyle w:val="Compact"/>
              <w:jc w:val="center"/>
            </w:pPr>
            <w:r>
              <w:t xml:space="preserve">509</w:t>
            </w:r>
          </w:p>
        </w:tc>
        <w:tc>
          <w:tcPr/>
          <w:p>
            <w:pPr>
              <w:pStyle w:val="Compact"/>
              <w:jc w:val="center"/>
            </w:pPr>
            <w:r>
              <w:t xml:space="preserve">20 %</w:t>
            </w:r>
          </w:p>
        </w:tc>
        <w:tc>
          <w:tcPr/>
          <w:p>
            <w:pPr>
              <w:pStyle w:val="Compact"/>
              <w:jc w:val="center"/>
            </w:pPr>
            <w:r>
              <w:t xml:space="preserve">34 %</w:t>
            </w:r>
          </w:p>
        </w:tc>
        <w:tc>
          <w:tcPr/>
          <w:p>
            <w:pPr>
              <w:pStyle w:val="Compact"/>
              <w:jc w:val="center"/>
            </w:pPr>
            <w:r>
              <w:t xml:space="preserve">15 %</w:t>
            </w:r>
          </w:p>
        </w:tc>
        <w:tc>
          <w:tcPr/>
          <w:p>
            <w:pPr>
              <w:pStyle w:val="Compact"/>
              <w:jc w:val="center"/>
            </w:pPr>
            <w:r>
              <w:t xml:space="preserve">31 %</w:t>
            </w:r>
          </w:p>
        </w:tc>
      </w:tr>
      <w:tr>
        <w:tc>
          <w:tcPr/>
          <w:p>
            <w:pPr>
              <w:pStyle w:val="Compact"/>
            </w:pPr>
            <w:r>
              <w:t xml:space="preserve">Halle commerçante</w:t>
            </w:r>
          </w:p>
        </w:tc>
        <w:tc>
          <w:tcPr/>
          <w:p>
            <w:pPr>
              <w:pStyle w:val="Compact"/>
              <w:jc w:val="center"/>
            </w:pPr>
            <w:r>
              <w:t xml:space="preserve">509</w:t>
            </w:r>
          </w:p>
        </w:tc>
        <w:tc>
          <w:tcPr/>
          <w:p>
            <w:pPr>
              <w:pStyle w:val="Compact"/>
              <w:jc w:val="center"/>
            </w:pPr>
            <w:r>
              <w:t xml:space="preserve">17 %</w:t>
            </w:r>
          </w:p>
        </w:tc>
        <w:tc>
          <w:tcPr/>
          <w:p>
            <w:pPr>
              <w:pStyle w:val="Compact"/>
              <w:jc w:val="center"/>
            </w:pPr>
            <w:r>
              <w:t xml:space="preserve">35 %</w:t>
            </w:r>
          </w:p>
        </w:tc>
        <w:tc>
          <w:tcPr/>
          <w:p>
            <w:pPr>
              <w:pStyle w:val="Compact"/>
              <w:jc w:val="center"/>
            </w:pPr>
            <w:r>
              <w:t xml:space="preserve">19 %</w:t>
            </w:r>
          </w:p>
        </w:tc>
        <w:tc>
          <w:tcPr/>
          <w:p>
            <w:pPr>
              <w:pStyle w:val="Compact"/>
              <w:jc w:val="center"/>
            </w:pPr>
            <w:r>
              <w:t xml:space="preserve">29 %</w:t>
            </w:r>
          </w:p>
        </w:tc>
      </w:tr>
      <w:tr>
        <w:tc>
          <w:tcPr/>
          <w:p>
            <w:pPr>
              <w:pStyle w:val="Compact"/>
            </w:pPr>
            <w:r>
              <w:t xml:space="preserve">Foire / salon</w:t>
            </w:r>
          </w:p>
        </w:tc>
        <w:tc>
          <w:tcPr/>
          <w:p>
            <w:pPr>
              <w:pStyle w:val="Compact"/>
              <w:jc w:val="center"/>
            </w:pPr>
            <w:r>
              <w:t xml:space="preserve">509</w:t>
            </w:r>
          </w:p>
        </w:tc>
        <w:tc>
          <w:tcPr/>
          <w:p>
            <w:pPr>
              <w:pStyle w:val="Compact"/>
              <w:jc w:val="center"/>
            </w:pPr>
            <w:r>
              <w:t xml:space="preserve">7 %</w:t>
            </w:r>
          </w:p>
        </w:tc>
        <w:tc>
          <w:tcPr/>
          <w:p>
            <w:pPr>
              <w:pStyle w:val="Compact"/>
              <w:jc w:val="center"/>
            </w:pPr>
            <w:r>
              <w:t xml:space="preserve">34 %</w:t>
            </w:r>
          </w:p>
        </w:tc>
        <w:tc>
          <w:tcPr/>
          <w:p>
            <w:pPr>
              <w:pStyle w:val="Compact"/>
              <w:jc w:val="center"/>
            </w:pPr>
            <w:r>
              <w:t xml:space="preserve">18 %</w:t>
            </w:r>
          </w:p>
        </w:tc>
        <w:tc>
          <w:tcPr/>
          <w:p>
            <w:pPr>
              <w:pStyle w:val="Compact"/>
              <w:jc w:val="center"/>
            </w:pPr>
            <w:r>
              <w:t xml:space="preserve">42 %</w:t>
            </w:r>
          </w:p>
        </w:tc>
      </w:tr>
      <w:tr>
        <w:tc>
          <w:tcPr/>
          <w:p>
            <w:pPr>
              <w:pStyle w:val="Compact"/>
            </w:pPr>
            <w:r>
              <w:t xml:space="preserve">Panier en ligne (La Ruche…)</w:t>
            </w:r>
          </w:p>
        </w:tc>
        <w:tc>
          <w:tcPr/>
          <w:p>
            <w:pPr>
              <w:pStyle w:val="Compact"/>
              <w:jc w:val="center"/>
            </w:pPr>
            <w:r>
              <w:t xml:space="preserve">509</w:t>
            </w:r>
          </w:p>
        </w:tc>
        <w:tc>
          <w:tcPr/>
          <w:p>
            <w:pPr>
              <w:pStyle w:val="Compact"/>
              <w:jc w:val="center"/>
            </w:pPr>
            <w:r>
              <w:t xml:space="preserve">6 %</w:t>
            </w:r>
          </w:p>
        </w:tc>
        <w:tc>
          <w:tcPr/>
          <w:p>
            <w:pPr>
              <w:pStyle w:val="Compact"/>
              <w:jc w:val="center"/>
            </w:pPr>
            <w:r>
              <w:t xml:space="preserve">11 %</w:t>
            </w:r>
          </w:p>
        </w:tc>
        <w:tc>
          <w:tcPr/>
          <w:p>
            <w:pPr>
              <w:pStyle w:val="Compact"/>
              <w:jc w:val="center"/>
            </w:pPr>
            <w:r>
              <w:t xml:space="preserve">14 %</w:t>
            </w:r>
          </w:p>
        </w:tc>
        <w:tc>
          <w:tcPr/>
          <w:p>
            <w:pPr>
              <w:pStyle w:val="Compact"/>
              <w:jc w:val="center"/>
            </w:pPr>
            <w:r>
              <w:t xml:space="preserve">70 %</w:t>
            </w:r>
          </w:p>
        </w:tc>
      </w:tr>
    </w:tbl>
    <w:p>
      <w:pPr/>
      <w:r>
        <w:rPr>
          <w:i/>
          <w:iCs/>
        </w:rPr>
        <w:t xml:space="preserve">Base : personnes interrogées sur chaque forme, en % ligne. Les 509 ménages qui achètent en vente directe aux agriculteurs sont interrogés sur toutes les formes directes ; la dernière colonne réunit « jamais acheté » et, pour les formes les moins connues, « ne connaît pas cette forme » (8 % pour les magasins de producteurs, 10 % pour les paniers en ligne). Les circuits en italique (boulanger, boucher, primeur) sont des comparateurs conventionnels spécialisés (clients d’artisans, n = 893). L’AMAP est traitée à part (questionnaire sans référence au mois écoulé) : parmi ses clients passés ou présents, 35 % le sont encore, 65 % ont cessé.</w:t>
      </w:r>
    </w:p>
    <w:p>
      <w:pPr>
        <w:pStyle w:val="CaptionedFigure"/>
      </w:pPr>
      <w:r>
        <w:drawing>
          <wp:inline>
            <wp:extent cx="5969000" cy="2990492"/>
            <wp:effectExtent b="0" l="0" r="0" t="0"/>
            <wp:docPr descr="Figure 3" title="" id="28" name="Picture"/>
            <a:graphic>
              <a:graphicData uri="http://schemas.openxmlformats.org/drawingml/2006/picture">
                <pic:pic>
                  <pic:nvPicPr>
                    <pic:cNvPr descr="../../figures/png/fig6_essai_ancrage_nb.png" id="29" name="Picture"/>
                    <pic:cNvPicPr>
                      <a:picLocks noChangeArrowheads="1" noChangeAspect="1"/>
                    </pic:cNvPicPr>
                  </pic:nvPicPr>
                  <pic:blipFill>
                    <a:blip r:embed="rId27"/>
                    <a:stretch>
                      <a:fillRect/>
                    </a:stretch>
                  </pic:blipFill>
                  <pic:spPr bwMode="auto">
                    <a:xfrm>
                      <a:off x="0" y="0"/>
                      <a:ext cx="5969000" cy="2990492"/>
                    </a:xfrm>
                    <a:prstGeom prst="rect">
                      <a:avLst/>
                    </a:prstGeom>
                    <a:noFill/>
                    <a:ln w="9525">
                      <a:noFill/>
                      <a:headEnd/>
                      <a:tailEnd/>
                    </a:ln>
                  </pic:spPr>
                </pic:pic>
              </a:graphicData>
            </a:graphic>
          </wp:inline>
        </w:drawing>
      </w:r>
    </w:p>
    <w:p>
      <w:pPr>
        <w:pStyle w:val="ImageCaption"/>
      </w:pPr>
      <w:r>
        <w:t xml:space="preserve">Figure 3</w:t>
      </w:r>
    </w:p>
    <w:p>
      <w:pPr/>
      <w:r>
        <w:rPr>
          <w:b/>
          <w:bCs/>
        </w:rPr>
        <w:t xml:space="preserve">Figure 3 : Récence d’achat par forme (vente directe et circuits conventionnels spécialisés)</w:t>
      </w:r>
    </w:p>
    <w:p>
      <w:pPr/>
      <w:r>
        <w:t xml:space="preserve">Ce gradient confirme, par un tout autre chemin que le budget, le même diagnostic : la vente directe est</w:t>
      </w:r>
      <w:r>
        <w:t xml:space="preserve"> </w:t>
      </w:r>
      <w:r>
        <w:rPr>
          <w:b/>
          <w:bCs/>
        </w:rPr>
        <w:t xml:space="preserve">largement essayée, mais son usage peine à s’ancrer</w:t>
      </w:r>
      <w:r>
        <w:t xml:space="preserve"> </w:t>
      </w:r>
      <w:r>
        <w:t xml:space="preserve">— et d’autant plus que la forme exige de l’engagement. Le point de fuite n’est donc pas l’accès ou l’essai, déjà acquis, mais la</w:t>
      </w:r>
      <w:r>
        <w:t xml:space="preserve"> </w:t>
      </w:r>
      <w:r>
        <w:rPr>
          <w:b/>
          <w:bCs/>
        </w:rPr>
        <w:t xml:space="preserve">rétention</w:t>
      </w:r>
      <w:r>
        <w:t xml:space="preserve">.</w:t>
      </w:r>
    </w:p>
    <w:bookmarkEnd w:id="30"/>
    <w:bookmarkStart w:id="31" w:name="cinq-stratégies-dapprovisionnement"/>
    <w:p>
      <w:pPr>
        <w:jc w:val="left"/>
      </w:pPr>
      <w:r>
        <w:rPr>
          <w:rFonts w:ascii="Times New Roman" w:hAnsi="Times New Roman"/>
          <w:b/>
          <w:i w:val="0"/>
          <w:sz w:val="28"/>
        </w:rPr>
        <w:t xml:space="preserve">Cinq stratégies d’approvisionnement</w:t>
      </w:r>
    </w:p>
    <w:p>
      <w:pPr>
        <w:pStyle w:val="FirstParagraph"/>
      </w:pPr>
      <w:r>
        <w:t xml:space="preserve">La typologie fait émerger cinq stratégies distinctes (Tableau 5),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r>
        <w:rPr>
          <w:b/>
          <w:bCs/>
        </w:rPr>
        <w:t xml:space="preserve">Tableau 5 : Les cinq stratégies d’approvisionnement</w:t>
      </w:r>
    </w:p>
    <w:tbl>
      <w:tblPr>
        <w:tblStyle w:val="Table"/>
        <w:tblW w:type="pct" w:w="5000"/>
        <w:tblLayout w:type="fixed"/>
        <w:tblLook w:firstRow="1" w:lastRow="0" w:firstColumn="0" w:lastColumn="0" w:noHBand="0" w:noVBand="0" w:val="0020"/>
      </w:tblPr>
      <w:tblGrid>
        <w:gridCol w:w="1131"/>
        <w:gridCol w:w="514"/>
        <w:gridCol w:w="514"/>
        <w:gridCol w:w="1440"/>
        <w:gridCol w:w="1542"/>
        <w:gridCol w:w="1645"/>
        <w:gridCol w:w="1131"/>
      </w:tblGrid>
      <w:tr>
        <w:trPr>
          <w:tblHeader w:val="on"/>
        </w:trPr>
        <w:tc>
          <w:tcPr/>
          <w:p>
            <w:pPr>
              <w:pStyle w:val="Compact"/>
            </w:pPr>
            <w:r>
              <w:t xml:space="preserve">Stratégie</w:t>
            </w:r>
          </w:p>
        </w:tc>
        <w:tc>
          <w:tcPr/>
          <w:p>
            <w:pPr>
              <w:pStyle w:val="Compact"/>
              <w:jc w:val="center"/>
            </w:pPr>
            <w:r>
              <w:t xml:space="preserve">Part (n)</w:t>
            </w:r>
          </w:p>
        </w:tc>
        <w:tc>
          <w:tcPr/>
          <w:p>
            <w:pPr>
              <w:pStyle w:val="Compact"/>
              <w:jc w:val="center"/>
            </w:pPr>
            <w:r>
              <w:t xml:space="preserve">Canaux (fréq. / rég.)</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Multi-canal modérés</w:t>
            </w:r>
          </w:p>
        </w:tc>
        <w:tc>
          <w:tcPr/>
          <w:p>
            <w:pPr>
              <w:pStyle w:val="Compact"/>
              <w:jc w:val="center"/>
            </w:pPr>
            <w:r>
              <w:t xml:space="preserve">61 % (624)</w:t>
            </w:r>
          </w:p>
        </w:tc>
        <w:tc>
          <w:tcPr/>
          <w:p>
            <w:pPr>
              <w:pStyle w:val="Compact"/>
              <w:jc w:val="center"/>
            </w:pPr>
            <w:r>
              <w:t xml:space="preserve">7,2 / 3,8</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jc w:val="center"/>
            </w:pPr>
            <w:r>
              <w:t xml:space="preserve">24 % (249)</w:t>
            </w:r>
          </w:p>
        </w:tc>
        <w:tc>
          <w:tcPr/>
          <w:p>
            <w:pPr>
              <w:pStyle w:val="Compact"/>
              <w:jc w:val="center"/>
            </w:pPr>
            <w:r>
              <w:t xml:space="preserve">3,8 / 2,8</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Multi-canal intensifs</w:t>
            </w:r>
          </w:p>
        </w:tc>
        <w:tc>
          <w:tcPr/>
          <w:p>
            <w:pPr>
              <w:pStyle w:val="Compact"/>
              <w:jc w:val="center"/>
            </w:pPr>
            <w:r>
              <w:t xml:space="preserve">8 % (79)</w:t>
            </w:r>
          </w:p>
        </w:tc>
        <w:tc>
          <w:tcPr/>
          <w:p>
            <w:pPr>
              <w:pStyle w:val="Compact"/>
              <w:jc w:val="center"/>
            </w:pPr>
            <w:r>
              <w:t xml:space="preserve">11,1 / 9,5</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Explorateurs conventionnels</w:t>
            </w:r>
          </w:p>
        </w:tc>
        <w:tc>
          <w:tcPr/>
          <w:p>
            <w:pPr>
              <w:pStyle w:val="Compact"/>
              <w:jc w:val="center"/>
            </w:pPr>
            <w:r>
              <w:t xml:space="preserve">5 % (47)</w:t>
            </w:r>
          </w:p>
        </w:tc>
        <w:tc>
          <w:tcPr/>
          <w:p>
            <w:pPr>
              <w:pStyle w:val="Compact"/>
              <w:jc w:val="center"/>
            </w:pPr>
            <w:r>
              <w:t xml:space="preserve">11,0 / 6,1</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cœur régulier conventionnel</w:t>
            </w:r>
          </w:p>
        </w:tc>
      </w:tr>
      <w:tr>
        <w:tc>
          <w:tcPr/>
          <w:p>
            <w:pPr>
              <w:pStyle w:val="Compact"/>
            </w:pPr>
            <w:r>
              <w:t xml:space="preserve">Adeptes de la proximité</w:t>
            </w:r>
          </w:p>
        </w:tc>
        <w:tc>
          <w:tcPr/>
          <w:p>
            <w:pPr>
              <w:pStyle w:val="Compact"/>
              <w:jc w:val="center"/>
            </w:pPr>
            <w:r>
              <w:t xml:space="preserve">2,5 % (26)</w:t>
            </w:r>
          </w:p>
        </w:tc>
        <w:tc>
          <w:tcPr/>
          <w:p>
            <w:pPr>
              <w:pStyle w:val="Compact"/>
              <w:jc w:val="center"/>
            </w:pPr>
            <w:r>
              <w:t xml:space="preserve">6,3 / 3,3</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r>
        <w:rPr>
          <w:i/>
          <w:iCs/>
        </w:rPr>
        <w:t xml:space="preserve">« Canaux (fréq. / rég.) » : nombre moyen de canaux fréquentés / utilisés régulièrement (sur 13). Effectifs bruts entre parenthèses ; la classe « adeptes de la proximité » (n = 26) est de faible effectif, ses caractéristiques fines sont indicatives.</w:t>
      </w:r>
    </w:p>
    <w:p>
      <w:pPr/>
      <w:r>
        <w:t xml:space="preserve">Les</w:t>
      </w:r>
      <w:r>
        <w:t xml:space="preserve"> </w:t>
      </w:r>
      <w:r>
        <w:rPr>
          <w:b/>
          <w:bCs/>
        </w:rPr>
        <w:t xml:space="preserve">multi-canal modérés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multi-canal intensifs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explorateurs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adeptes de la proximité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p>
      <w:pPr/>
      <w:r>
        <w:t xml:space="preserve">Un enseignement transversal ressort :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qu’illustre l’écart entre vente directe inclusive et régulière — structure toute la typologie. Le taux inclusif croît avec l’ampleur du répertoire de canaux (de 28 % chez les captifs à 100 % chez les explorateurs conventionnels), mais l’usage régulier ne culmine que chez les multi-canal intensifs (67 %) : largeur du répertoire et intensité d’engagement ne se confondent pas. Ce n’est donc pas le profil social qui prédit le mieux la vente directe, mais la</w:t>
      </w:r>
      <w:r>
        <w:t xml:space="preserve"> </w:t>
      </w:r>
      <w:r>
        <w:rPr>
          <w:b/>
          <w:bCs/>
        </w:rPr>
        <w:t xml:space="preserve">configuration d’usage</w:t>
      </w:r>
      <w:r>
        <w:t xml:space="preserve"> </w:t>
      </w:r>
      <w:r>
        <w:t xml:space="preserve">dans laquelle elle s’inscrit — point sur lequel nous revenons en discussion.</w:t>
      </w:r>
    </w:p>
    <w:bookmarkEnd w:id="31"/>
    <w:bookmarkStart w:id="35" w:name="X7f871b1800f415beac489a6ed1e968c0967dae2"/>
    <w:p>
      <w:pPr>
        <w:jc w:val="left"/>
      </w:pPr>
      <w:r>
        <w:rPr>
          <w:rFonts w:ascii="Times New Roman" w:hAnsi="Times New Roman"/>
          <w:b/>
          <w:i w:val="0"/>
          <w:sz w:val="28"/>
        </w:rPr>
        <w:t xml:space="preserve">Qui achète en direct ? Des déterminants sociaux ténus</w:t>
      </w:r>
    </w:p>
    <w:p>
      <w:pPr>
        <w:pStyle w:val="FirstParagraph"/>
      </w:pPr>
      <w:r>
        <w:t xml:space="preserve">Les cinq stratégies diffèrent significativement par la catégorie socioprofessionnelle (p &lt; 0,001), par le</w:t>
      </w:r>
      <w:r>
        <w:t xml:space="preserve"> </w:t>
      </w:r>
      <w:r>
        <w:rPr>
          <w:b/>
          <w:bCs/>
        </w:rPr>
        <w:t xml:space="preserve">diplôme</w:t>
      </w:r>
      <w:r>
        <w:t xml:space="preserve"> </w:t>
      </w:r>
      <w:r>
        <w:t xml:space="preserve">(p &lt; 0,001) et par l’âge (p = 0,005). Les multi-canal intensifs et les explorateurs conventionnels sont nettement les plus diplômés — 42 à 43 % de bac+3 ou plus, contre seulement 4 à 11 % de non-bacheliers — et disposent des budgets les plus élevés ; les captifs de la grande distribution sont à l’inverse les moins diplômés (un tiers sans le bac) ; les multi-canal modérés reflètent la structure moyenne ; le groupe adeptes de la proximité se distingue par sa part élevée de retraités et son budget réduit. Ces écarts, réels, restent toutefois modestes au regard de la dispersion interne des classes.</w:t>
      </w:r>
    </w:p>
    <w:p>
      <w:pPr/>
      <w:r>
        <w:t xml:space="preserve">La régression logistique du recours à la vente directe (Figure 4 ; N = 1 025, 666 pratiquants) le confirme : même en intégrant le diplôme, le modèle explique très peu de sa variance (pseudo-R² de McFadden = 0,029). Le déterminant le plus net est le</w:t>
      </w:r>
      <w:r>
        <w:t xml:space="preserve"> </w:t>
      </w:r>
      <w:r>
        <w:rPr>
          <w:b/>
          <w:bCs/>
        </w:rPr>
        <w:t xml:space="preserve">niveau de diplôme</w:t>
      </w:r>
      <w:r>
        <w:t xml:space="preserve"> </w:t>
      </w:r>
      <w:r>
        <w:t xml:space="preserve">: détenir un diplôme de niveau bac+3 ou plus multiplie par 1,89 les chances de pratiquer la vente directe (p = 0,003). Un budget alimentaire élevé joue également, modérément (odds-ratio = 1,17 par écart-type, p = 0,042). Fait notable, une fois le diplôme pris en compte, l’effet de la catégorie « cadres » s’estompe (odds-ratio = 1,64, p = 0,07, non significatif) — les deux variables étant modérément liées (V de Cramér diplôme × CSP = 0,29), tandis que le diplôme n’est pas un simple relais du revenu (corrélation diplôme × budget = 0,06). C’est donc l’</w:t>
      </w:r>
      <w:r>
        <w:rPr>
          <w:b/>
          <w:bCs/>
        </w:rPr>
        <w:t xml:space="preserve">éducation</w:t>
      </w:r>
      <w:r>
        <w:t xml:space="preserve">, plus que la position socioprofessionnelle, qui constitue le principal gradient social. Le sexe, l’âge et la taille d’agglomération restent sans effet significatif.</w:t>
      </w:r>
    </w:p>
    <w:p>
      <w:pPr/>
      <w:r>
        <w:t xml:space="preserve">Ce gradient éducatif mérite toutefois une précision qui en dit long : il porte sur le fait d’</w:t>
      </w:r>
      <w:r>
        <w:rPr>
          <w:b/>
          <w:bCs/>
        </w:rPr>
        <w:t xml:space="preserve">avoir essayé</w:t>
      </w:r>
      <w:r>
        <w:t xml:space="preserve"> </w:t>
      </w:r>
      <w:r>
        <w:t xml:space="preserve">la vente directe (définition inclusive), non sur son adoption régulière. Refaite sur la définition stricte — l’achat direct au moins mensuel —, la même régression voit l’effet du diplôme s’évanouir (odds-ratio du bac+3 ramené à 1,22, p = 0,45 ; pseudo-R² = 0,016). Autrement dit, les plus diplômés franchissent un peu plus souvent le pas de l’essai, mais ne sont pas plus enclins que les autres à en faire une habitude. Le profil social prédit marginalement qui goûte à la vente directe ; il ne prédit quasiment pas qui l’adopte — ce qui renvoie, une fois de plus, à la configuration d’usage plutôt qu’à la position sociale.</w:t>
      </w:r>
    </w:p>
    <w:p>
      <w:pPr>
        <w:pStyle w:val="CaptionedFigure"/>
      </w:pPr>
      <w:r>
        <w:drawing>
          <wp:inline>
            <wp:extent cx="5969000" cy="4901190"/>
            <wp:effectExtent b="0" l="0" r="0" t="0"/>
            <wp:docPr descr="Figure 4" title="" id="33" name="Picture"/>
            <a:graphic>
              <a:graphicData uri="http://schemas.openxmlformats.org/drawingml/2006/picture">
                <pic:pic>
                  <pic:nvPicPr>
                    <pic:cNvPr descr="../../figures/png/fig4_regression_or_nb.png" id="34" name="Picture"/>
                    <pic:cNvPicPr>
                      <a:picLocks noChangeArrowheads="1" noChangeAspect="1"/>
                    </pic:cNvPicPr>
                  </pic:nvPicPr>
                  <pic:blipFill>
                    <a:blip r:embed="rId32"/>
                    <a:stretch>
                      <a:fillRect/>
                    </a:stretch>
                  </pic:blipFill>
                  <pic:spPr bwMode="auto">
                    <a:xfrm>
                      <a:off x="0" y="0"/>
                      <a:ext cx="5969000" cy="4901190"/>
                    </a:xfrm>
                    <a:prstGeom prst="rect">
                      <a:avLst/>
                    </a:prstGeom>
                    <a:noFill/>
                    <a:ln w="9525">
                      <a:noFill/>
                      <a:headEnd/>
                      <a:tailEnd/>
                    </a:ln>
                  </pic:spPr>
                </pic:pic>
              </a:graphicData>
            </a:graphic>
          </wp:inline>
        </w:drawing>
      </w:r>
    </w:p>
    <w:p>
      <w:pPr>
        <w:pStyle w:val="ImageCaption"/>
      </w:pPr>
      <w:r>
        <w:t xml:space="preserve">Figure 4</w:t>
      </w:r>
    </w:p>
    <w:p>
      <w:pPr/>
      <w:r>
        <w:rPr>
          <w:b/>
          <w:bCs/>
        </w:rPr>
        <w:t xml:space="preserve">Figure 4 : Déterminants de l’usage de la vente directe (odds-ratios)</w:t>
      </w:r>
    </w:p>
    <w:p>
      <w:pPr/>
      <w:r>
        <w:t xml:space="preserve">La faiblesse de ce pouvoir explicatif est en soi un résultat : la vente directe n’est pas le marqueur d’un groupe social circonscrit — comme l’illustre le groupe adeptes de la proximité, plus âgé et à budget modeste. Ce constat converge avec Herzig et Zander (2025), pour qui les variables sociodémographiques expliquent finalement peu le comportement d’achat en circuit court.</w:t>
      </w:r>
    </w:p>
    <w:bookmarkEnd w:id="35"/>
    <w:bookmarkStart w:id="39" w:name="discussion-des-résultats"/>
    <w:p>
      <w:pPr>
        <w:jc w:val="left"/>
      </w:pPr>
      <w:r>
        <w:rPr>
          <w:rFonts w:ascii="Times New Roman" w:hAnsi="Times New Roman"/>
          <w:b/>
          <w:i w:val="0"/>
          <w:sz w:val="28"/>
        </w:rPr>
        <w:t xml:space="preserve">Discussion des résultats</w:t>
      </w:r>
    </w:p>
    <w:bookmarkStart w:id="36" w:name="la-vente-directe-comme-complément-diffus"/>
    <w:p>
      <w:pPr>
        <w:jc w:val="left"/>
      </w:pPr>
      <w:r>
        <w:rPr>
          <w:rFonts w:ascii="Times New Roman" w:hAnsi="Times New Roman"/>
          <w:b w:val="0"/>
          <w:i/>
          <w:sz w:val="24"/>
        </w:rPr>
        <w:t xml:space="preserve">La vente directe comme complément diffus</w:t>
      </w:r>
    </w:p>
    <w:p>
      <w:pPr>
        <w:pStyle w:val="FirstParagraph"/>
      </w:pPr>
      <w:r>
        <w:t xml:space="preserve">Le principal apport de cet article tient à la requalification de la place de la vente directe. Les travaux existants, centrés sur les adeptes ou sur les dispositifs, pouvaient laisser penser à une pratique circonscrite et engagée. Lue à l’échelle du portefeuille de canaux et sur données représentatives, elle se révèle au contraire largement diffusée mais peu intensive : essayée par deux ménages sur trois, mobilisée régulièrement par moins d’un sur cinq, marginale dans le budget. Ce constat rejoint l’idée d’une coexistence plutôt que d’une rupture entre circuits (Goodman et DuPuis, 2002 ; Sage, 2003), mais il la quantifie du point de vue du consommateur — et, plus précisément qu’une analogie, il prolonge ce que la distribution a établi sur la</w:t>
      </w:r>
      <w:r>
        <w:t xml:space="preserve"> </w:t>
      </w:r>
      <w:r>
        <w:rPr>
          <w:b/>
          <w:bCs/>
        </w:rPr>
        <w:t xml:space="preserve">complémentarité</w:t>
      </w:r>
      <w:r>
        <w:t xml:space="preserve"> </w:t>
      </w:r>
      <w:r>
        <w:t xml:space="preserve">des canaux. De même que l’ouverture de magasins physiques accroît le chiffre d’affaires total d’un distributeur — de l’ordre de 20 % —, la logique de complémentarité l’emportant sur la cannibalisation de ses autres canaux (Pauwels et Neslin, 2015), la vente directe fonctionne, à l’échelle du ménage, comme un canal</w:t>
      </w:r>
      <w:r>
        <w:t xml:space="preserve"> </w:t>
      </w:r>
      <w:r>
        <w:rPr>
          <w:b/>
          <w:bCs/>
        </w:rPr>
        <w:t xml:space="preserve">additionnel</w:t>
      </w:r>
      <w:r>
        <w:t xml:space="preserve"> </w:t>
      </w:r>
      <w:r>
        <w:t xml:space="preserve">dont la fonction (fraîcheur, lien au producteur) ne recoupe pas celle de l’hypermarché, et non comme un concurrent auquel il faudrait retirer du budget. La théorie des buts (Harris et al., 2018, 2021) offre une interprétation plausible — que nos données, purement comportementales, ne testent pas directement — de cette faible intensité : la vente directe répondrait à des buts</w:t>
      </w:r>
      <w:r>
        <w:t xml:space="preserve"> </w:t>
      </w:r>
      <w:r>
        <w:rPr>
          <w:b/>
          <w:bCs/>
        </w:rPr>
        <w:t xml:space="preserve">ponctuels</w:t>
      </w:r>
      <w:r>
        <w:t xml:space="preserve"> </w:t>
      </w:r>
      <w:r>
        <w:t xml:space="preserve">— une occasion, une envie de produits frais — plutôt qu’à un but stable et récurrent, ce qui expliquerait qu’elle soit largement essayée sans devenir un canal d’approvisionnement régulier pour la majorité.</w:t>
      </w:r>
    </w:p>
    <w:bookmarkEnd w:id="36"/>
    <w:bookmarkStart w:id="37" w:name="X1ceaee95a05493161d744855b63c55b4af59aa9"/>
    <w:p>
      <w:pPr>
        <w:jc w:val="left"/>
      </w:pPr>
      <w:r>
        <w:rPr>
          <w:rFonts w:ascii="Times New Roman" w:hAnsi="Times New Roman"/>
          <w:b w:val="0"/>
          <w:i/>
          <w:sz w:val="24"/>
        </w:rPr>
        <w:t xml:space="preserve">Une transversalité sociale qui tient à la fonction</w:t>
      </w:r>
    </w:p>
    <w:p>
      <w:pPr>
        <w:pStyle w:val="FirstParagraph"/>
      </w:pPr>
      <w:r>
        <w:t xml:space="preserve">Le second apport concerne la faible détermination sociale de la pratique. Contre une lecture distinctive qui réserverait les circuits courts aux catégories aisées et urbaines, nos données montrent une diffusion transversale, dont témoigne le petit groupe de ménages hors-hypermarché à budget modeste. La sur-représentation des plus diplômés est réelle mais modérée — et, on l’a vu, elle ne vaut que pour l’essai, non pour l’adoption régulière. Lu à la lumière des motivations à combiner les canaux, ce résultat n’est pas une anomalie : si le recours à la vente directe dépend moins d’un profil que d’un but ponctuel activé dans certaines situations d’achat (Hino, 2014 ; Harris et al., 2018) — hypothèse interprétative que nous ne mesurons pas —, alors sa faible détermination sociodémographique peut se lire comme la</w:t>
      </w:r>
      <w:r>
        <w:t xml:space="preserve"> </w:t>
      </w:r>
      <w:r>
        <w:rPr>
          <w:b/>
          <w:bCs/>
        </w:rPr>
        <w:t xml:space="preserve">conséquence de sa fonction</w:t>
      </w:r>
      <w:r>
        <w:t xml:space="preserve">, non comme une singularité à expliquer.</w:t>
      </w:r>
    </w:p>
    <w:bookmarkEnd w:id="37"/>
    <w:bookmarkStart w:id="38" w:name="X42bddffd3b8151c2ab10e23a331c071586deea7"/>
    <w:p>
      <w:pPr>
        <w:jc w:val="left"/>
      </w:pPr>
      <w:r>
        <w:rPr>
          <w:rFonts w:ascii="Times New Roman" w:hAnsi="Times New Roman"/>
          <w:b w:val="0"/>
          <w:i/>
          <w:sz w:val="24"/>
        </w:rPr>
        <w:t xml:space="preserve">Les stratégies d’approvisionnement comme grille de lecture</w:t>
      </w:r>
    </w:p>
    <w:p>
      <w:pPr>
        <w:pStyle w:val="FirstParagraph"/>
      </w:pPr>
      <w:r>
        <w:t xml:space="preserve">La typologie en cinq classes illustre l’intérêt d’une approche par les portefeuilles : elle déplace l’attention des individus vers les</w:t>
      </w:r>
      <w:r>
        <w:t xml:space="preserve"> </w:t>
      </w:r>
      <w:r>
        <w:rPr>
          <w:b/>
          <w:bCs/>
        </w:rPr>
        <w:t xml:space="preserve">configurations d’usage</w:t>
      </w:r>
      <w:r>
        <w:t xml:space="preserve">. Ce n’est pas tant le profil sociodémographique qui prédit la vente directe que la stratégie d’approvisionnement dans laquelle elle s’inscrit — les multi-canal intensifs l’intègrent à un répertoire dense, les captifs s’en tiennent à distance, les adeptes de la proximité en font un pivot par défaut. Cette lecture rejoint les travaux de Hino (2014) sur l’usage sélectif des formats : les ménages n’adoptent pas un canal en bloc, ils l’intègrent — ou non — à des routines d’achat déjà constituées, sous l’effet de contraintes matérielles et temporelles autant que de choix délibérés.</w:t>
      </w:r>
    </w:p>
    <w:bookmarkEnd w:id="38"/>
    <w:bookmarkEnd w:id="39"/>
    <w:bookmarkStart w:id="40" w:name="ce-que-les-acteurs-peuvent-en-faire"/>
    <w:p>
      <w:pPr>
        <w:jc w:val="left"/>
      </w:pPr>
      <w:r>
        <w:rPr>
          <w:rFonts w:ascii="Times New Roman" w:hAnsi="Times New Roman"/>
          <w:b/>
          <w:i w:val="0"/>
          <w:sz w:val="28"/>
        </w:rPr>
        <w:t xml:space="preserve">Ce que les acteurs peuvent en faire</w:t>
      </w:r>
    </w:p>
    <w:p>
      <w:pPr>
        <w:pStyle w:val="FirstParagraph"/>
      </w:pPr>
      <w:r>
        <w:t xml:space="preserve">Ces résultats déplacent le diagnostic habituel. Tant que la vente directe est pensée comme une niche à diffuser, l’effort porte sur la sensibilisation et la conquête de nouveaux convaincus ; or la conquête est, pour l’essentiel, déjà faite. L’enjeu n’est pas d’ouvrir le canal à de nouveaux publics, mais de le</w:t>
      </w:r>
      <w:r>
        <w:t xml:space="preserve"> </w:t>
      </w:r>
      <w:r>
        <w:rPr>
          <w:b/>
          <w:bCs/>
        </w:rPr>
        <w:t xml:space="preserve">rendre régulier</w:t>
      </w:r>
      <w:r>
        <w:t xml:space="preserve"> </w:t>
      </w:r>
      <w:r>
        <w:t xml:space="preserve">chez ceux qui l’ont déjà essayé. Cette bascule — de l’acquisition vers la fidélisation, du convaincre vers le faciliter — structure quatre recommandations, adressées prioritairement aux producteurs et réseaux de vente directe et aux collectivités.</w:t>
      </w:r>
    </w:p>
    <w:p>
      <w:pPr/>
      <w:r>
        <w:rPr>
          <w:b/>
          <w:bCs/>
        </w:rPr>
        <w:t xml:space="preserve">Miser sur la fidélisation, non sur l’acquisition.</w:t>
      </w:r>
      <w:r>
        <w:t xml:space="preserve"> </w:t>
      </w:r>
      <w:r>
        <w:t xml:space="preserve">Le potentiel de conquête est largement atteint : 65 % des ménages ont déjà acheté en direct, mais seuls 17 % le font régulièrement, et un seul groupe sur cinq — les multi-canal intensifs — a vraiment adopté la pratique. Le gisement de croissance se situe donc chez les quelque 48 % de ménages qui achètent en direct</w:t>
      </w:r>
      <w:r>
        <w:t xml:space="preserve"> </w:t>
      </w:r>
      <w:r>
        <w:rPr>
          <w:b/>
          <w:bCs/>
        </w:rPr>
        <w:t xml:space="preserve">sans régularité</w:t>
      </w:r>
      <w:r>
        <w:t xml:space="preserve"> </w:t>
      </w:r>
      <w:r>
        <w:t xml:space="preserve">: les faire passer de l’essai à l’habitude produirait un effet budgétaire bien supérieur à celui du recrutement de nouveaux essayeurs. Un ordre de grandeur le montre : les 17 % de réguliers actuels portent une part nationale de 1,5 % à une intensité de 8,5 % de leur budget ; si les essayeurs irréguliers atteignaient cette même régularité, la part nationale de la vente directe passerait mécaniquement à environ</w:t>
      </w:r>
      <w:r>
        <w:t xml:space="preserve"> </w:t>
      </w:r>
      <w:r>
        <w:rPr>
          <w:b/>
          <w:bCs/>
        </w:rPr>
        <w:t xml:space="preserve">4 %</w:t>
      </w:r>
      <w:r>
        <w:t xml:space="preserve"> </w:t>
      </w:r>
      <w:r>
        <w:t xml:space="preserve">— un quasi-triplement, hors de portée du seul recrutement, la pénétration étant déjà proche de son plafond. Cette projection est une borne haute, à valeur d’ordre de grandeur. Pour les producteurs et les réseaux, cela oriente l’effort vers les</w:t>
      </w:r>
      <w:r>
        <w:t xml:space="preserve"> </w:t>
      </w:r>
      <w:r>
        <w:rPr>
          <w:b/>
          <w:bCs/>
        </w:rPr>
        <w:t xml:space="preserve">dispositifs de régularité</w:t>
      </w:r>
      <w:r>
        <w:t xml:space="preserve"> </w:t>
      </w:r>
      <w:r>
        <w:t xml:space="preserve">: abonnements et paniers récurrents à engagement souple, points de retrait sur les trajets domicile-travail, gammes élargies au-delà des seuls fruits et légumes, horaires compatibles avec les actifs, animation de la relation client. À l’échelle d’un réseau de vente, une logique</w:t>
      </w:r>
      <w:r>
        <w:t xml:space="preserve"> </w:t>
      </w:r>
      <w:r>
        <w:rPr>
          <w:b/>
          <w:bCs/>
        </w:rPr>
        <w:t xml:space="preserve">omnicanale</w:t>
      </w:r>
      <w:r>
        <w:t xml:space="preserve"> </w:t>
      </w:r>
      <w:r>
        <w:t xml:space="preserve">— au sens propre, cette fois : celui d’une même enseigne intégrant ses canaux — peut y aider, sans opposer physique et numérique : la précommande en ligne assortie d’un retrait physique combine la commodité attendue et le contact direct valorisé.</w:t>
      </w:r>
    </w:p>
    <w:p>
      <w:pPr/>
      <w:r>
        <w:rPr>
          <w:b/>
          <w:bCs/>
        </w:rPr>
        <w:t xml:space="preserve">Lever les freins pratiques, pas les réticences.</w:t>
      </w:r>
      <w:r>
        <w:t xml:space="preserve"> </w:t>
      </w:r>
      <w:r>
        <w:t xml:space="preserve">Les motivations sont acquises — local, qualité, goût, soutien aux agriculteurs arrivent loin devant le prix — et les freins ne sont pas idéologiques mais logistiques : temps, accessibilité, régularité et diversité de l’offre (Feldmann et Hamm, 2015). Pour les pouvoirs publics et les collectivités — notamment dans le cadre des projets alimentaires territoriaux —, l’action utile porte donc moins sur la sensibilisation, largement redondante, que sur l’</w:t>
      </w:r>
      <w:r>
        <w:rPr>
          <w:b/>
          <w:bCs/>
        </w:rPr>
        <w:t xml:space="preserve">infrastructure</w:t>
      </w:r>
      <w:r>
        <w:t xml:space="preserve"> </w:t>
      </w:r>
      <w:r>
        <w:t xml:space="preserve">de la vente directe : mutualisation de points de vente et de logistique (halles de producteurs, drives fermiers partagés), horaires élargis, présence dans les zones périurbaines et rurales mal desservies, articulation avec la restauration collective pour sécuriser des débouchés réguliers aux producteurs. Autrement dit, financer des équipements et des services plutôt que des campagnes de conviction.</w:t>
      </w:r>
    </w:p>
    <w:p>
      <w:pPr/>
      <w:r>
        <w:rPr>
          <w:b/>
          <w:bCs/>
        </w:rPr>
        <w:t xml:space="preserve">Cibler large, pas une niche.</w:t>
      </w:r>
      <w:r>
        <w:t xml:space="preserve"> </w:t>
      </w:r>
      <w:r>
        <w:t xml:space="preserve">La vente directe restant faiblement déterminée socialement — le modèle n’explique que 3 % de la variance, avec pour seul gradient net un léger sur-recours des plus diplômés, et encore à l’essai seulement —, il n’y a pas lieu de la réserver, dans le ciblage marketing, à un segment aisé et urbain. Les dispositifs peuvent viser tous les publics, budgets modestes compris : le profil adeptes de la proximité montre qu’un approvisionnement de proximité à petit budget est déjà pratiqué. Cela plaide pour une segmentation par la</w:t>
      </w:r>
      <w:r>
        <w:t xml:space="preserve"> </w:t>
      </w:r>
      <w:r>
        <w:rPr>
          <w:b/>
          <w:bCs/>
        </w:rPr>
        <w:t xml:space="preserve">stratégie d’approvisionnement</w:t>
      </w:r>
      <w:r>
        <w:t xml:space="preserve"> </w:t>
      </w:r>
      <w:r>
        <w:t xml:space="preserve">plutôt que par le revenu ou la CSP. Que le seul gradient net passe par le</w:t>
      </w:r>
      <w:r>
        <w:t xml:space="preserve"> </w:t>
      </w:r>
      <w:r>
        <w:rPr>
          <w:b/>
          <w:bCs/>
        </w:rPr>
        <w:t xml:space="preserve">diplôme</w:t>
      </w:r>
      <w:r>
        <w:t xml:space="preserve"> </w:t>
      </w:r>
      <w:r>
        <w:t xml:space="preserve">oriente d’ailleurs vers un frein</w:t>
      </w:r>
      <w:r>
        <w:t xml:space="preserve"> </w:t>
      </w:r>
      <w:r>
        <w:rPr>
          <w:b/>
          <w:bCs/>
        </w:rPr>
        <w:t xml:space="preserve">informationnel</w:t>
      </w:r>
      <w:r>
        <w:t xml:space="preserve"> </w:t>
      </w:r>
      <w:r>
        <w:t xml:space="preserve">— savoir où trouver ces circuits, en comprendre le fonctionnement, comme le confirme le déficit de notoriété de l’AMAP — davantage que financier : le levier n’est pas de rendre la vente directe moins chère, mais plus</w:t>
      </w:r>
      <w:r>
        <w:t xml:space="preserve"> </w:t>
      </w:r>
      <w:r>
        <w:rPr>
          <w:b/>
          <w:bCs/>
        </w:rPr>
        <w:t xml:space="preserve">lisible et accessible</w:t>
      </w:r>
      <w:r>
        <w:t xml:space="preserve">.</w:t>
      </w:r>
    </w:p>
    <w:p>
      <w:pPr/>
      <w:r>
        <w:rPr>
          <w:b/>
          <w:bCs/>
        </w:rPr>
        <w:t xml:space="preserve">Communiquer « local et qualité », pas « pas cher ».</w:t>
      </w:r>
      <w:r>
        <w:t xml:space="preserve"> </w:t>
      </w:r>
      <w:r>
        <w:t xml:space="preserve">Le prix n’est ni le principal moteur ni le principal frein de l’achat local, dont les obstacles tiennent davantage à la commodité et à la disponibilité (Feldmann et Hamm, 2015). Chercher à concurrencer la grande distribution sur le terrain du prix serait donc une erreur de positionnement. Pour les producteurs, le registre payant est celui de l’origine, de la fraîcheur, du goût et de la relation. Pour la grande distribution elle-même, qui intègre de plus en plus de références locales, l’enjeu n’est pas de capter la vente directe mais de jouer la</w:t>
      </w:r>
      <w:r>
        <w:t xml:space="preserve"> </w:t>
      </w:r>
      <w:r>
        <w:rPr>
          <w:b/>
          <w:bCs/>
        </w:rPr>
        <w:t xml:space="preserve">complémentarité</w:t>
      </w:r>
      <w:r>
        <w:t xml:space="preserve"> </w:t>
      </w:r>
      <w:r>
        <w:t xml:space="preserve">— rayons de producteurs, traçabilité, mise en avant de l’origine —, sur un registre de sens où la vente directe a ouvert la voie. La logique de portefeuille se vérifie ici : les canaux se répartissent des fonctions plutôt qu’ils ne se cannibalisent.</w:t>
      </w:r>
    </w:p>
    <w:p>
      <w:pPr/>
      <w:r>
        <w:t xml:space="preserve">Ces leviers ne s’appliquent pas uniformément (Tableau 6) : l’effort de conversion vise en priorité les configurations qui essaient sans pérenniser — multi-canal modérés et explorateurs conventionnels —, les captifs relèvent d’un travail d’accès et de notoriété, et les intensifs, déjà acquis, du seul maintien.</w:t>
      </w:r>
    </w:p>
    <w:p>
      <w:pPr/>
      <w:r>
        <w:rPr>
          <w:b/>
          <w:bCs/>
        </w:rPr>
        <w:t xml:space="preserve">Tableau 6 : Levier prioritaire par stratégie d’approvisionnement et par acteur</w:t>
      </w:r>
    </w:p>
    <w:tbl>
      <w:tblPr>
        <w:tblStyle w:val="Table"/>
        <w:tblW w:type="pct" w:w="5000"/>
        <w:tblLayout w:type="fixed"/>
        <w:tblLook w:firstRow="1" w:lastRow="0" w:firstColumn="0" w:lastColumn="0" w:noHBand="0" w:noVBand="0" w:val="0020"/>
      </w:tblPr>
      <w:tblGrid>
        <w:gridCol w:w="1370"/>
        <w:gridCol w:w="3198"/>
        <w:gridCol w:w="1523"/>
        <w:gridCol w:w="1827"/>
      </w:tblGrid>
      <w:tr>
        <w:trPr>
          <w:tblHeader w:val="on"/>
        </w:trPr>
        <w:tc>
          <w:tcPr/>
          <w:p>
            <w:pPr>
              <w:pStyle w:val="Compact"/>
            </w:pPr>
            <w:r>
              <w:t xml:space="preserve">Stratégie (part)</w:t>
            </w:r>
          </w:p>
        </w:tc>
        <w:tc>
          <w:tcPr/>
          <w:p>
            <w:pPr>
              <w:pStyle w:val="Compact"/>
            </w:pPr>
            <w:r>
              <w:t xml:space="preserve">Situation vis-à-vis de la vente directe</w:t>
            </w:r>
          </w:p>
        </w:tc>
        <w:tc>
          <w:tcPr/>
          <w:p>
            <w:pPr>
              <w:pStyle w:val="Compact"/>
            </w:pPr>
            <w:r>
              <w:t xml:space="preserve">Levier prioritaire</w:t>
            </w:r>
          </w:p>
        </w:tc>
        <w:tc>
          <w:tcPr/>
          <w:p>
            <w:pPr>
              <w:pStyle w:val="Compact"/>
            </w:pPr>
            <w:r>
              <w:t xml:space="preserve">Acteur le mieux placé</w:t>
            </w:r>
          </w:p>
        </w:tc>
      </w:tr>
      <w:tr>
        <w:tc>
          <w:tcPr/>
          <w:p>
            <w:pPr>
              <w:pStyle w:val="Compact"/>
            </w:pPr>
            <w:r>
              <w:t xml:space="preserve">Multi-canal modérés (61 %)</w:t>
            </w:r>
          </w:p>
        </w:tc>
        <w:tc>
          <w:tcPr/>
          <w:p>
            <w:pPr>
              <w:pStyle w:val="Compact"/>
            </w:pPr>
            <w:r>
              <w:t xml:space="preserve">Essaient, faible régularité</w:t>
            </w:r>
          </w:p>
        </w:tc>
        <w:tc>
          <w:tcPr/>
          <w:p>
            <w:pPr>
              <w:pStyle w:val="Compact"/>
            </w:pPr>
            <w:r>
              <w:t xml:space="preserve">Convertir l’essai en habitude : abonnements souples, gammes élargies</w:t>
            </w:r>
          </w:p>
        </w:tc>
        <w:tc>
          <w:tcPr/>
          <w:p>
            <w:pPr>
              <w:pStyle w:val="Compact"/>
            </w:pPr>
            <w:r>
              <w:t xml:space="preserve">Producteurs, réseaux</w:t>
            </w:r>
          </w:p>
        </w:tc>
      </w:tr>
      <w:tr>
        <w:tc>
          <w:tcPr/>
          <w:p>
            <w:pPr>
              <w:pStyle w:val="Compact"/>
            </w:pPr>
            <w:r>
              <w:t xml:space="preserve">Captifs de la grande distribution (24 %)</w:t>
            </w:r>
          </w:p>
        </w:tc>
        <w:tc>
          <w:tcPr/>
          <w:p>
            <w:pPr>
              <w:pStyle w:val="Compact"/>
            </w:pPr>
            <w:r>
              <w:t xml:space="preserve">Peu ou pas d’achat direct</w:t>
            </w:r>
          </w:p>
        </w:tc>
        <w:tc>
          <w:tcPr/>
          <w:p>
            <w:pPr>
              <w:pStyle w:val="Compact"/>
            </w:pPr>
            <w:r>
              <w:t xml:space="preserve">Accès et notoriété : points de vente sur les trajets, information</w:t>
            </w:r>
          </w:p>
        </w:tc>
        <w:tc>
          <w:tcPr/>
          <w:p>
            <w:pPr>
              <w:pStyle w:val="Compact"/>
            </w:pPr>
            <w:r>
              <w:t xml:space="preserve">Collectivités, réseaux</w:t>
            </w:r>
          </w:p>
        </w:tc>
      </w:tr>
      <w:tr>
        <w:tc>
          <w:tcPr/>
          <w:p>
            <w:pPr>
              <w:pStyle w:val="Compact"/>
            </w:pPr>
            <w:r>
              <w:t xml:space="preserve">Multi-canal intensifs (8 %)</w:t>
            </w:r>
          </w:p>
        </w:tc>
        <w:tc>
          <w:tcPr/>
          <w:p>
            <w:pPr>
              <w:pStyle w:val="Compact"/>
            </w:pPr>
            <w:r>
              <w:t xml:space="preserve">Déjà adoptée et régulière</w:t>
            </w:r>
          </w:p>
        </w:tc>
        <w:tc>
          <w:tcPr/>
          <w:p>
            <w:pPr>
              <w:pStyle w:val="Compact"/>
            </w:pPr>
            <w:r>
              <w:t xml:space="preserve">Maintenir : fidélisation, diversité de l’offre</w:t>
            </w:r>
          </w:p>
        </w:tc>
        <w:tc>
          <w:tcPr/>
          <w:p>
            <w:pPr>
              <w:pStyle w:val="Compact"/>
            </w:pPr>
            <w:r>
              <w:t xml:space="preserve">Producteurs</w:t>
            </w:r>
          </w:p>
        </w:tc>
      </w:tr>
      <w:tr>
        <w:tc>
          <w:tcPr/>
          <w:p>
            <w:pPr>
              <w:pStyle w:val="Compact"/>
            </w:pPr>
            <w:r>
              <w:t xml:space="preserve">Explorateurs conventionnels (5 %)</w:t>
            </w:r>
          </w:p>
        </w:tc>
        <w:tc>
          <w:tcPr/>
          <w:p>
            <w:pPr>
              <w:pStyle w:val="Compact"/>
            </w:pPr>
            <w:r>
              <w:t xml:space="preserve">Essaient tout, ne retiennent rien</w:t>
            </w:r>
          </w:p>
        </w:tc>
        <w:tc>
          <w:tcPr/>
          <w:p>
            <w:pPr>
              <w:pStyle w:val="Compact"/>
            </w:pPr>
            <w:r>
              <w:t xml:space="preserve">Faire basculer vers la routine : régularité, engagement souple</w:t>
            </w:r>
          </w:p>
        </w:tc>
        <w:tc>
          <w:tcPr/>
          <w:p>
            <w:pPr>
              <w:pStyle w:val="Compact"/>
            </w:pPr>
            <w:r>
              <w:t xml:space="preserve">Producteurs, réseaux</w:t>
            </w:r>
          </w:p>
        </w:tc>
      </w:tr>
      <w:tr>
        <w:tc>
          <w:tcPr/>
          <w:p>
            <w:pPr>
              <w:pStyle w:val="Compact"/>
            </w:pPr>
            <w:r>
              <w:t xml:space="preserve">Adeptes de la proximité (2,5 %)</w:t>
            </w:r>
          </w:p>
        </w:tc>
        <w:tc>
          <w:tcPr/>
          <w:p>
            <w:pPr>
              <w:pStyle w:val="Compact"/>
            </w:pPr>
            <w:r>
              <w:t xml:space="preserve">Approvisionnement de proximité à petit budget</w:t>
            </w:r>
          </w:p>
        </w:tc>
        <w:tc>
          <w:tcPr/>
          <w:p>
            <w:pPr>
              <w:pStyle w:val="Compact"/>
            </w:pPr>
            <w:r>
              <w:t xml:space="preserve">Sécuriser l’offre locale accessible et abordable</w:t>
            </w:r>
          </w:p>
        </w:tc>
        <w:tc>
          <w:tcPr/>
          <w:p>
            <w:pPr>
              <w:pStyle w:val="Compact"/>
            </w:pPr>
            <w:r>
              <w:t xml:space="preserve">Collectivités</w:t>
            </w:r>
          </w:p>
        </w:tc>
      </w:tr>
    </w:tbl>
    <w:bookmarkEnd w:id="40"/>
    <w:bookmarkStart w:id="41" w:name="limites-et-voies-de-recherche"/>
    <w:p>
      <w:pPr>
        <w:jc w:val="left"/>
      </w:pPr>
      <w:r>
        <w:rPr>
          <w:rFonts w:ascii="Times New Roman" w:hAnsi="Times New Roman"/>
          <w:b/>
          <w:i w:val="0"/>
          <w:sz w:val="28"/>
        </w:rP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alimentaire, que la littérature documente par ailleurs. Les mesures sont</w:t>
      </w:r>
      <w:r>
        <w:t xml:space="preserve"> </w:t>
      </w:r>
      <w:r>
        <w:rPr>
          <w:b/>
          <w:bCs/>
        </w:rPr>
        <w:t xml:space="preserve">déclaratives</w:t>
      </w:r>
      <w:r>
        <w:t xml:space="preserve"> </w:t>
      </w:r>
      <w:r>
        <w:t xml:space="preserve">: les fréquences et surtout les parts de budget reposent sur l’estimation des répondants, sujette à des biais de mémoire et de désirabilité sociale — la sur-déclaration probable des comportements valorisés socialement renforce d’ailleurs le contraste que nous relevons avec le faible poids budgétaire effectif. La part directe des achats réalisés sur les marchés n’étant pas isolable du budget « marché », le poids budgétaire total de la vente directe est en outre légèrement sous-estimé. À l’inverse, la « seconde porte » — l’achat déclaré directement à un producteur sur le marché — repose sur une auto-déclaration dont la fiabilité est incertaine, une partie des vendeurs de marché étant en réalité des revendeurs : la pénétration inclusive de 65 % constitue à ce titre une borne haute, et c’est pourquoi nous distinguons systématiquement cette mesure de la pénétration régulière (17 %) et du poids budgétaire (1,5 %). La plus petite classe (adeptes de la proximité, n = 26) appelle par ailleurs la prudence dans l’interprétation de ses caractéristiques fines, la partition d’ensemble présentant une silhouette modérée (0,24). Enfin, notre dispositif mesure des</w:t>
      </w:r>
      <w:r>
        <w:t xml:space="preserve"> </w:t>
      </w:r>
      <w:r>
        <w:rPr>
          <w:b/>
          <w:bCs/>
        </w:rPr>
        <w:t xml:space="preserve">comportements</w:t>
      </w:r>
      <w:r>
        <w:t xml:space="preserve"> </w:t>
      </w:r>
      <w:r>
        <w:t xml:space="preserve">— fréquence, budget, récence — et non les</w:t>
      </w:r>
      <w:r>
        <w:t xml:space="preserve"> </w:t>
      </w:r>
      <w:r>
        <w:rPr>
          <w:b/>
          <w:bCs/>
        </w:rPr>
        <w:t xml:space="preserve">motivations ou les buts</w:t>
      </w:r>
      <w:r>
        <w:t xml:space="preserve"> </w:t>
      </w:r>
      <w:r>
        <w:t xml:space="preserve">qui président à la combinaison des canaux : c’est le revers assumé de notre parti pris de mesurer les pratiques plutôt que les attitudes. La lecture par la théorie des buts que nous esquissons en discussion reste donc, à ce stade, interprétative.</w:t>
      </w:r>
    </w:p>
    <w:p>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 la coupler à une mesure des buts d’achat permettrait de</w:t>
      </w:r>
      <w:r>
        <w:t xml:space="preserve"> </w:t>
      </w:r>
      <w:r>
        <w:rPr>
          <w:i/>
          <w:iCs/>
        </w:rPr>
        <w:t xml:space="preserve">tester</w:t>
      </w:r>
      <w:r>
        <w:t xml:space="preserve">, et non plus seulement de supposer, la logique fonctionnelle du portefeuille. Surtout,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41"/>
    <w:bookmarkStart w:id="42" w:name="références"/>
    <w:p>
      <w:pPr>
        <w:jc w:val="left"/>
      </w:pPr>
      <w:r>
        <w:rPr>
          <w:rFonts w:ascii="Times New Roman" w:hAnsi="Times New Roman"/>
          <w:b/>
          <w:i w:val="0"/>
          <w:sz w:val="28"/>
        </w:rPr>
        <w:t xml:space="preserve">Références</w:t>
      </w:r>
    </w:p>
    <w:p>
      <w:pPr>
        <w:pStyle w:val="FirstParagraph"/>
      </w:pPr>
      <w:r>
        <w:t xml:space="preserve">Agreste (2023), Près d’une exploitation sur quatre vend en circuit court,</w:t>
      </w:r>
      <w:r>
        <w:t xml:space="preserve"> </w:t>
      </w:r>
      <w:r>
        <w:rPr>
          <w:i/>
          <w:iCs/>
        </w:rPr>
        <w:t xml:space="preserve">Agreste Primeur</w:t>
      </w:r>
      <w:r>
        <w:t xml:space="preserve">, n°2023-5 (Recensement agricole 2020), Ministère de l’Agriculture.</w:t>
      </w:r>
    </w:p>
    <w:p>
      <w:pPr/>
      <w:r>
        <w:t xml:space="preserve">Bell D.R., Ho T.H. et Tang C.S. (1998), Determining where to shop: fixed and variable costs of shopping,</w:t>
      </w:r>
      <w:r>
        <w:t xml:space="preserve"> </w:t>
      </w:r>
      <w:r>
        <w:rPr>
          <w:i/>
          <w:iCs/>
        </w:rPr>
        <w:t xml:space="preserve">Journal of Marketing Research</w:t>
      </w:r>
      <w:r>
        <w:t xml:space="preserve">, 35(3): 352-369.</w:t>
      </w:r>
    </w:p>
    <w:p>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r>
        <w:t xml:space="preserve">Chiffoleau Y. (2019),</w:t>
      </w:r>
      <w:r>
        <w:t xml:space="preserve"> </w:t>
      </w:r>
      <w:r>
        <w:rPr>
          <w:i/>
          <w:iCs/>
        </w:rPr>
        <w:t xml:space="preserve">Les circuits courts alimentaires : entre marché et innovation sociale</w:t>
      </w:r>
      <w:r>
        <w:t xml:space="preserve">, Toulouse, Érès.</w:t>
      </w:r>
    </w:p>
    <w:p>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r>
        <w:t xml:space="preserve">Enthoven L. et Van den Broeck G. (2021), Local food systems: reviewing two decades of research,</w:t>
      </w:r>
      <w:r>
        <w:t xml:space="preserve"> </w:t>
      </w:r>
      <w:r>
        <w:rPr>
          <w:i/>
          <w:iCs/>
        </w:rPr>
        <w:t xml:space="preserve">Agricultural Systems</w:t>
      </w:r>
      <w:r>
        <w:t xml:space="preserve">, 193: 103226.</w:t>
      </w:r>
    </w:p>
    <w:p>
      <w:pPr/>
      <w:r>
        <w:t xml:space="preserve">Feldmann C. et Hamm U. (2015), Consumers’ perceptions and preferences for local food: a review,</w:t>
      </w:r>
      <w:r>
        <w:t xml:space="preserve"> </w:t>
      </w:r>
      <w:r>
        <w:rPr>
          <w:i/>
          <w:iCs/>
        </w:rPr>
        <w:t xml:space="preserve">Food Quality and Preference</w:t>
      </w:r>
      <w:r>
        <w:t xml:space="preserve">, 40: 152-164.</w:t>
      </w:r>
    </w:p>
    <w:p>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r>
        <w:t xml:space="preserve">Hai Tran V. et Sirieix L. (2020), Shopping and cross-shopping practices in Hanoi Vietnam: an emerging urban market context,</w:t>
      </w:r>
      <w:r>
        <w:t xml:space="preserve"> </w:t>
      </w:r>
      <w:r>
        <w:rPr>
          <w:i/>
          <w:iCs/>
        </w:rPr>
        <w:t xml:space="preserve">Journal of Retailing and Consumer Services</w:t>
      </w:r>
      <w:r>
        <w:t xml:space="preserve">, 56: 102178.</w:t>
      </w:r>
    </w:p>
    <w:p>
      <w:pPr/>
      <w:r>
        <w:t xml:space="preserve">Harris P., Dall’Olmo Riley F. et Hand C. (2018), Understanding multichannel shopper journey configuration: an application of goal theory,</w:t>
      </w:r>
      <w:r>
        <w:t xml:space="preserve"> </w:t>
      </w:r>
      <w:r>
        <w:rPr>
          <w:i/>
          <w:iCs/>
        </w:rPr>
        <w:t xml:space="preserve">Journal of Retailing and Consumer Services</w:t>
      </w:r>
      <w:r>
        <w:t xml:space="preserve">, 44: 108-117.</w:t>
      </w:r>
    </w:p>
    <w:p>
      <w:pPr/>
      <w:r>
        <w:t xml:space="preserve">Harris P., Dall’Olmo Riley F. et Hand C. (2021), Multichannel shopping: the effect of decision making style on shopper journey configuration and satisfaction,</w:t>
      </w:r>
      <w:r>
        <w:t xml:space="preserve"> </w:t>
      </w:r>
      <w:r>
        <w:rPr>
          <w:i/>
          <w:iCs/>
        </w:rPr>
        <w:t xml:space="preserve">Journal of Retailing and Consumer Services</w:t>
      </w:r>
      <w:r>
        <w:t xml:space="preserve">, 58: 102286.</w:t>
      </w:r>
    </w:p>
    <w:p>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r>
        <w:t xml:space="preserve">Hino H. (2014), Shopping at different food retail formats: understanding cross-shopping behavior through retail format selective use patterns,</w:t>
      </w:r>
      <w:r>
        <w:t xml:space="preserve"> </w:t>
      </w:r>
      <w:r>
        <w:rPr>
          <w:i/>
          <w:iCs/>
        </w:rPr>
        <w:t xml:space="preserve">European Journal of Marketing</w:t>
      </w:r>
      <w:r>
        <w:t xml:space="preserve">, 48(3-4): 674-698.</w:t>
      </w:r>
    </w:p>
    <w:p>
      <w:pPr/>
      <w:r>
        <w:t xml:space="preserve">Kahn B.E. et Schmittlein D.C. (1989), Shopping trip behavior: an empirical investigation,</w:t>
      </w:r>
      <w:r>
        <w:t xml:space="preserve"> </w:t>
      </w:r>
      <w:r>
        <w:rPr>
          <w:i/>
          <w:iCs/>
        </w:rPr>
        <w:t xml:space="preserve">Marketing Letters</w:t>
      </w:r>
      <w:r>
        <w:t xml:space="preserve">, 1(1): 55-69.</w:t>
      </w:r>
    </w:p>
    <w:p>
      <w:pPr/>
      <w:r>
        <w:t xml:space="preserve">Lamine C. et Perrot N. (2008),</w:t>
      </w:r>
      <w:r>
        <w:t xml:space="preserve"> </w:t>
      </w:r>
      <w:r>
        <w:rPr>
          <w:i/>
          <w:iCs/>
        </w:rPr>
        <w:t xml:space="preserve">Les AMAP : un nouveau pacte entre producteurs et consommateurs ?</w:t>
      </w:r>
      <w:r>
        <w:t xml:space="preserve">, Gap, Yves Michel.</w:t>
      </w:r>
    </w:p>
    <w:p>
      <w:pPr/>
      <w:r>
        <w:t xml:space="preserve">Maréchal G. (coord.) (2008),</w:t>
      </w:r>
      <w:r>
        <w:t xml:space="preserve"> </w:t>
      </w:r>
      <w:r>
        <w:rPr>
          <w:i/>
          <w:iCs/>
        </w:rPr>
        <w:t xml:space="preserve">Les circuits courts alimentaires : bien manger dans les territoires</w:t>
      </w:r>
      <w:r>
        <w:t xml:space="preserve">, Dijon, Educagri.</w:t>
      </w:r>
    </w:p>
    <w:p>
      <w:pPr/>
      <w:r>
        <w:t xml:space="preserve">Melis K., Campo K., Lamey L. et Breugelmans E. (2016), A bigger slice of the multichannel grocery pie: when does consumers’ online channel use expand retailers’ share of wallet?,</w:t>
      </w:r>
      <w:r>
        <w:t xml:space="preserve"> </w:t>
      </w:r>
      <w:r>
        <w:rPr>
          <w:i/>
          <w:iCs/>
        </w:rPr>
        <w:t xml:space="preserve">Journal of Retailing</w:t>
      </w:r>
      <w:r>
        <w:t xml:space="preserve">, 92(3): 268-286.</w:t>
      </w:r>
    </w:p>
    <w:p>
      <w:pPr/>
      <w:r>
        <w:t xml:space="preserve">Menon G., Raghubir P. et Schwarz N. (1995), Behavioral frequency judgments: an accessibility-diagnosticity framework,</w:t>
      </w:r>
      <w:r>
        <w:t xml:space="preserve"> </w:t>
      </w:r>
      <w:r>
        <w:rPr>
          <w:i/>
          <w:iCs/>
        </w:rPr>
        <w:t xml:space="preserve">Journal of Consumer Research</w:t>
      </w:r>
      <w:r>
        <w:t xml:space="preserve">, 22(2): 212-228.</w:t>
      </w:r>
    </w:p>
    <w:p>
      <w:pPr/>
      <w:r>
        <w:t xml:space="preserve">Ministère de l’Agriculture et de l’Alimentation (2009),</w:t>
      </w:r>
      <w:r>
        <w:t xml:space="preserve"> </w:t>
      </w:r>
      <w:r>
        <w:rPr>
          <w:i/>
          <w:iCs/>
        </w:rPr>
        <w:t xml:space="preserve">Plan d’action pour développer les circuits courts</w:t>
      </w:r>
      <w:r>
        <w:t xml:space="preserve">, avril.</w:t>
      </w:r>
    </w:p>
    <w:p>
      <w:pPr/>
      <w:r>
        <w:t xml:space="preserve">Mustapa M.A.A. et Kallas Z. (2025), Meta-analysis of consumer willingness to pay for short food supply chain products,</w:t>
      </w:r>
      <w:r>
        <w:t xml:space="preserve"> </w:t>
      </w:r>
      <w:r>
        <w:rPr>
          <w:i/>
          <w:iCs/>
        </w:rPr>
        <w:t xml:space="preserve">Global Challenges</w:t>
      </w:r>
      <w:r>
        <w:t xml:space="preserve">, 9(3).</w:t>
      </w:r>
    </w:p>
    <w:p>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r>
        <w:t xml:space="preserve">Pauwels K. et Neslin S.A. (2015), Building with bricks and mortar: the revenue impact of opening physical stores in a multichannel environment,</w:t>
      </w:r>
      <w:r>
        <w:t xml:space="preserve"> </w:t>
      </w:r>
      <w:r>
        <w:rPr>
          <w:i/>
          <w:iCs/>
        </w:rPr>
        <w:t xml:space="preserve">Journal of Retailing</w:t>
      </w:r>
      <w:r>
        <w:t xml:space="preserve">, 91(2): 182-197.</w:t>
      </w:r>
    </w:p>
    <w:p>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r>
        <w:t xml:space="preserve">Verhoef P.C., Kannan P.K. et Inman J.J. (2015), From multi-channel retailing to omni-channel retailing,</w:t>
      </w:r>
      <w:r>
        <w:t xml:space="preserve"> </w:t>
      </w:r>
      <w:r>
        <w:rPr>
          <w:i/>
          <w:iCs/>
        </w:rPr>
        <w:t xml:space="preserve">Journal of Retailing</w:t>
      </w:r>
      <w:r>
        <w:t xml:space="preserve">, 91(2): 174-181.</w:t>
      </w:r>
    </w:p>
    <w:p>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r>
        <w:t xml:space="preserve">Volle P. (coord.) (2012),</w:t>
      </w:r>
      <w:r>
        <w:t xml:space="preserve"> </w:t>
      </w:r>
      <w:r>
        <w:rPr>
          <w:i/>
          <w:iCs/>
        </w:rPr>
        <w:t xml:space="preserve">Stratégie clients : points de vue d’experts sur le management de la relation client</w:t>
      </w:r>
      <w:r>
        <w:t xml:space="preserve">, Paris, Pearson.</w:t>
      </w:r>
    </w:p>
    <w:p>
      <w:pPr/>
      <w:r>
        <w:t xml:space="preserve">Vroegrijk M., Gijsbrechts E. et Campo K. (2013), Close encounter with the hard discounter: a multiple-store shopping perspective on the impact of local hard-discounter entry,</w:t>
      </w:r>
      <w:r>
        <w:t xml:space="preserve"> </w:t>
      </w:r>
      <w:r>
        <w:rPr>
          <w:i/>
          <w:iCs/>
        </w:rPr>
        <w:t xml:space="preserve">Journal of Marketing Research</w:t>
      </w:r>
      <w:r>
        <w:t xml:space="preserve">, 50(5): 606-626.</w:t>
      </w:r>
    </w:p>
    <w:bookmarkEnd w:id="42"/>
    <w:bookmarkEnd w:id="43"/>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institutionnelles et professionnelles convergentes sur ce point (voir Agreste, 2023) ; voir Enthoven et Van den Broeck (2021) pour une synthèse récente de la recherche.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jc w:val="both"/>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23" Type="http://schemas.openxmlformats.org/officeDocument/2006/relationships/image" Target="media/rId23.png"/><Relationship Id="rId32" Type="http://schemas.openxmlformats.org/officeDocument/2006/relationships/image" Target="media/rId32.png"/><Relationship Id="rId27" Type="http://schemas.openxmlformats.org/officeDocument/2006/relationships/image" Target="media/rId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Beaucoup l’essaient, peu l’adoptent »</dc:title>
  <dc:creator/>
  <dc:language>fr</dc:language>
  <cp:keywords/>
  <dcterms:created xsi:type="dcterms:W3CDTF">2026-08-26T15:14:02Z</dcterms:created>
  <dcterms:modified xsi:type="dcterms:W3CDTF">2026-08-26T15:14:02Z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La vente directe dans les stratégies d’approvisionnement des ménages français</vt:lpwstr>
  </property>
</Properties>
</file>