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apport-dintégrité-finale-stade-4.5"/>
    <w:p>
      <w:pPr>
        <w:pStyle w:val="Heading1"/>
      </w:pPr>
      <w:r>
        <w:t xml:space="preserve">Rapport d’intégrité finale (Stade 4.5)</w:t>
      </w:r>
    </w:p>
    <w:p>
      <w:pPr>
        <w:pStyle w:val="FirstParagraph"/>
      </w:pPr>
      <w:r>
        <w:rPr>
          <w:b/>
          <w:bCs/>
        </w:rPr>
        <w:t xml:space="preserve">Manuscrit :</w:t>
      </w:r>
      <w:r>
        <w:t xml:space="preserve"> </w:t>
      </w:r>
      <w:r>
        <w:t xml:space="preserve">« Beaucoup l’essaient, peu l’adoptent » — La vente directe dans les stratégies d’approvisionnement des ménages français</w:t>
      </w:r>
      <w:r>
        <w:t xml:space="preserve"> </w:t>
      </w:r>
      <w:r>
        <w:rPr>
          <w:b/>
          <w:bCs/>
        </w:rPr>
        <w:t xml:space="preserve">Revue cible :</w:t>
      </w:r>
      <w:r>
        <w:t xml:space="preserve"> </w:t>
      </w:r>
      <w:r>
        <w:rPr>
          <w:i/>
          <w:iCs/>
        </w:rPr>
        <w:t xml:space="preserve">Décisions Marketing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dernier verrou avant finalisation — traçabilité numérique, intégrité bibliographique, gouvernance des données, et passage au crible des 7 modes de défaillance de la recherche assistée par IA.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8 juillet 2026</w:t>
      </w:r>
    </w:p>
    <w:p>
      <w:pPr>
        <w:pStyle w:val="BlockText"/>
      </w:pPr>
      <w:r>
        <w:t xml:space="preserve">Ce rapport est le</w:t>
      </w:r>
      <w:r>
        <w:t xml:space="preserve"> </w:t>
      </w:r>
      <w:r>
        <w:rPr>
          <w:b/>
          <w:bCs/>
        </w:rPr>
        <w:t xml:space="preserve">gate d’intégrité</w:t>
      </w:r>
      <w:r>
        <w:t xml:space="preserve"> </w:t>
      </w:r>
      <w:r>
        <w:t xml:space="preserve">du pipeline : il ne juge pas la qualité éditoriale (déjà traitée aux Stades 3/3′) mais l’</w:t>
      </w:r>
      <w:r>
        <w:rPr>
          <w:b/>
          <w:bCs/>
        </w:rPr>
        <w:t xml:space="preserve">honnêteté et la traçabilité</w:t>
      </w:r>
      <w:r>
        <w:t xml:space="preserve"> </w:t>
      </w:r>
      <w:r>
        <w:t xml:space="preserve">de chaque affirmation quantitative et de chaque source. Verdict binaire : PASS (finalisation autorisée) ou BLOCK.</w:t>
      </w:r>
    </w:p>
    <w:p>
      <w:r>
        <w:pict>
          <v:rect style="width:0;height:1.5pt" o:hralign="center" o:hrstd="t" o:hr="t"/>
        </w:pict>
      </w:r>
    </w:p>
    <w:bookmarkStart w:id="9" w:name="Xe92002da4c4eff240462517ac61b558fcf89c75"/>
    <w:p>
      <w:pPr>
        <w:pStyle w:val="Heading2"/>
      </w:pPr>
      <w:r>
        <w:t xml:space="preserve">1. Traçabilité numérique — recalcul intégral depuis les données brutes</w:t>
      </w:r>
    </w:p>
    <w:p>
      <w:pPr>
        <w:pStyle w:val="FirstParagraph"/>
      </w:pPr>
      <w:r>
        <w:t xml:space="preserve">Un script d’audit (</w:t>
      </w:r>
      <w:r>
        <w:rPr>
          <w:rStyle w:val="VerbatimChar"/>
        </w:rPr>
        <w:t xml:space="preserve">code/11_audit_integrite.py</w:t>
      </w:r>
      <w:r>
        <w:t xml:space="preserve">)</w:t>
      </w:r>
      <w:r>
        <w:t xml:space="preserve"> </w:t>
      </w:r>
      <w:r>
        <w:rPr>
          <w:b/>
          <w:bCs/>
        </w:rPr>
        <w:t xml:space="preserve">recalcule depuis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24407_Export.xlsx</w:t>
      </w:r>
      <w:r>
        <w:t xml:space="preserve"> </w:t>
      </w:r>
      <w:r>
        <w:t xml:space="preserve">chaque chiffre affiché dans le manuscrit et le confronte à la valeur écrite (tolérance 0,5 pt sur les %).</w:t>
      </w:r>
    </w:p>
    <w:p>
      <w:pPr>
        <w:pStyle w:val="BodyText"/>
      </w:pPr>
      <w:r>
        <w:rPr>
          <w:b/>
          <w:bCs/>
        </w:rPr>
        <w:t xml:space="preserve">Résultat : 124 / 124 contrôles PASS, 0 écart.</w:t>
      </w:r>
    </w:p>
    <w:p>
      <w:pPr>
        <w:pStyle w:val="BodyText"/>
      </w:pPr>
      <w:r>
        <w:t xml:space="preserve">Périmètre vérifié (échantillon exhaustif des chiffres du texte) :</w:t>
      </w:r>
      <w:r>
        <w:t xml:space="preserve"> </w:t>
      </w:r>
      <w:r>
        <w:t xml:space="preserve">- Échantillon et démographie (N = 1 025, 52,6 % femmes, 26,0 % 65+, budget médian 400 € / moyen 436 €).</w:t>
      </w:r>
      <w:r>
        <w:t xml:space="preserve"> </w:t>
      </w:r>
      <w:r>
        <w:t xml:space="preserve">- Pénétration et budget de la vente directe (65,0 % / n = 666 ; 49,7 % / n = 509 ; 17,3 % / n = 177 ; 1,5 % ; 8,5 % ; apport porte marché n = 157 ; 6,8 canaux).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Tableau 2</w:t>
      </w:r>
      <w:r>
        <w:t xml:space="preserve"> </w:t>
      </w:r>
      <w:r>
        <w:t xml:space="preserve">(pénétration / réguliers / budget des 7 canaux principaux) — 21 valeurs.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Typologie</w:t>
      </w:r>
      <w:r>
        <w:t xml:space="preserve"> </w:t>
      </w:r>
      <w:r>
        <w:t xml:space="preserve">: inertie ACM (62 % sur 2 axes), silhouettes (0,24 / 0,21 / 0,23),</w:t>
      </w:r>
      <w:r>
        <w:t xml:space="preserve"> </w:t>
      </w:r>
      <w:r>
        <w:rPr>
          <w:b/>
          <w:bCs/>
        </w:rPr>
        <w:t xml:space="preserve">Tableau 5</w:t>
      </w:r>
      <w:r>
        <w:t xml:space="preserve"> </w:t>
      </w:r>
      <w:r>
        <w:t xml:space="preserve">(effectifs 624/249/79/47/26, parts, canaux, budgets, % VD inclusive et régulière) — 35 valeurs.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Régressions</w:t>
      </w:r>
      <w:r>
        <w:t xml:space="preserve"> </w:t>
      </w:r>
      <w:r>
        <w:t xml:space="preserve">: pseudo-R² 0,029 et 0,016 ; OR diplôme bac+3 1,89 (p 0,003) sur l’essai, 1,22 (p 0,45) sur l’adoption ; OR budget 1,17 ; OR cadres 1,64 (p 0,07).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Colinéarité</w:t>
      </w:r>
      <w:r>
        <w:t xml:space="preserve"> </w:t>
      </w:r>
      <w:r>
        <w:t xml:space="preserve">: V de Cramér diplôme × CSP 0,29 ; ρ diplôme × budget 0,06.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AMAP</w:t>
      </w:r>
      <w:r>
        <w:t xml:space="preserve"> </w:t>
      </w:r>
      <w:r>
        <w:t xml:space="preserve">(Q46) : base 509 ; 41 actuels + 75 cessé = 116 ; abandon 65 % ; ne connaît pas 46 %.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Récence</w:t>
      </w:r>
      <w:r>
        <w:t xml:space="preserve"> </w:t>
      </w:r>
      <w:r>
        <w:t xml:space="preserve">(Tableau 4) : bases et taux « récent » / « n’achète plus » des 9 formes.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Motivations</w:t>
      </w:r>
      <w:r>
        <w:t xml:space="preserve"> </w:t>
      </w:r>
      <w:r>
        <w:t xml:space="preserve">(Q21) : locaux 51 %, circuit court 41 %, goût 39 %, soutien 34 %, prix 18 %.</w:t>
      </w:r>
    </w:p>
    <w:p>
      <w:pPr>
        <w:pStyle w:val="BodyText"/>
      </w:pPr>
      <w:r>
        <w:rPr>
          <w:b/>
          <w:bCs/>
        </w:rPr>
        <w:t xml:space="preserve">Conclusion 1 : aucune valeur inventée ou dérivée d’une mémoire du modèle ; tout provient des données de l’enquête.</w:t>
      </w:r>
    </w:p>
    <w:p>
      <w:r>
        <w:pict>
          <v:rect style="width:0;height:1.5pt" o:hralign="center" o:hrstd="t" o:hr="t"/>
        </w:pict>
      </w:r>
    </w:p>
    <w:bookmarkEnd w:id="9"/>
    <w:bookmarkStart w:id="10" w:name="X767b1445f8726144d6f895814a10a1032175410"/>
    <w:p>
      <w:pPr>
        <w:pStyle w:val="Heading2"/>
      </w:pPr>
      <w:r>
        <w:t xml:space="preserve">2. Intégrité bibliographique (citations ↔ références)</w:t>
      </w:r>
    </w:p>
    <w:p>
      <w:pPr>
        <w:pStyle w:val="FirstParagraph"/>
      </w:pPr>
      <w:r>
        <w:t xml:space="preserve">Contrôle bidirectionnel automatisé + revue manuelle.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références</w:t>
      </w:r>
      <w:r>
        <w:t xml:space="preserve"> </w:t>
      </w:r>
      <w:r>
        <w:t xml:space="preserve">(norme</w:t>
      </w:r>
      <w:r>
        <w:t xml:space="preserve"> </w:t>
      </w:r>
      <w:r>
        <w:rPr>
          <w:i/>
          <w:iCs/>
        </w:rPr>
        <w:t xml:space="preserve">DM</w:t>
      </w:r>
      <w:r>
        <w:t xml:space="preserve"> </w:t>
      </w:r>
      <w:r>
        <w:t xml:space="preserve">: ≤ 35 ✔).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Aucune référence orpheline</w:t>
      </w:r>
      <w:r>
        <w:t xml:space="preserve"> </w:t>
      </w:r>
      <w:r>
        <w:t xml:space="preserve">(toute entrée est citée dans le corps) — après correction de</w:t>
      </w:r>
      <w:r>
        <w:t xml:space="preserve"> </w:t>
      </w:r>
      <w:r>
        <w:rPr>
          <w:b/>
          <w:bCs/>
        </w:rPr>
        <w:t xml:space="preserve">Chiffoleau et Dourian (2020)</w:t>
      </w:r>
      <w:r>
        <w:t xml:space="preserve">, jusque-là listée mais non citée, désormais rattachée à l’argument « raccourcir la chaîne n’est pas en soi une réponse 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Aucune citation sans entrée</w:t>
      </w:r>
      <w:r>
        <w:t xml:space="preserve"> </w:t>
      </w:r>
      <w:r>
        <w:t xml:space="preserve">— après reformulation de la note 1, où « FranceAgriMer » figurait comme source nommée sans référence datée ; renvoyée à Agreste (2023) et Enthoven et Van den Broeck (2021), toutes deux référencées.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 des sources</w:t>
      </w:r>
      <w:r>
        <w:t xml:space="preserve"> </w:t>
      </w:r>
      <w:r>
        <w:t xml:space="preserve">: les 22 références ont été vérifiées (Stade 2.5, recoupement Web) ; aucune référence fantôme. Les corrections factuelles antérieures (Agreste 2023 en remplacement de Kneafsey ; Enthoven et Van den Broeck 2021,</w:t>
      </w:r>
      <w:r>
        <w:t xml:space="preserve"> </w:t>
      </w:r>
      <w:r>
        <w:rPr>
          <w:i/>
          <w:iCs/>
        </w:rPr>
        <w:t xml:space="preserve">Agricultural Systems</w:t>
      </w:r>
      <w:r>
        <w:t xml:space="preserve"> </w:t>
      </w:r>
      <w:r>
        <w:t xml:space="preserve">193:103226) sont maintenues.</w:t>
      </w:r>
    </w:p>
    <w:p>
      <w:pPr>
        <w:pStyle w:val="FirstParagraph"/>
      </w:pPr>
      <w:r>
        <w:rPr>
          <w:b/>
          <w:bCs/>
        </w:rPr>
        <w:t xml:space="preserve">Conclusion 2 : appareil bibliographique clos et cohérent.</w:t>
      </w:r>
    </w:p>
    <w:p>
      <w:r>
        <w:pict>
          <v:rect style="width:0;height:1.5pt" o:hralign="center" o:hrstd="t" o:hr="t"/>
        </w:pict>
      </w:r>
    </w:p>
    <w:bookmarkEnd w:id="10"/>
    <w:bookmarkStart w:id="11" w:name="X59fa5c5b8745a2ee57f6140cab391a5269dc191"/>
    <w:p>
      <w:pPr>
        <w:pStyle w:val="Heading2"/>
      </w:pPr>
      <w:r>
        <w:t xml:space="preserve">3. Les 7 modes de défaillance de la recherche assistée par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2867"/>
        <w:gridCol w:w="3550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Mode de défaillance</w:t>
            </w:r>
          </w:p>
        </w:tc>
        <w:tc>
          <w:tcPr/>
          <w:p>
            <w:pPr>
              <w:pStyle w:val="Compact"/>
            </w:pPr>
            <w:r>
              <w:t xml:space="preserve">Constat sur ce manuscrit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Fabrication / hallucination</w:t>
            </w:r>
            <w:r>
              <w:t xml:space="preserve"> </w:t>
            </w:r>
            <w:r>
              <w:t xml:space="preserve">(données ou citations inventées)</w:t>
            </w:r>
          </w:p>
        </w:tc>
        <w:tc>
          <w:tcPr/>
          <w:p>
            <w:pPr>
              <w:pStyle w:val="Compact"/>
            </w:pPr>
            <w:r>
              <w:t xml:space="preserve">124/124 chiffres tracés aux données ; 0 référence fantôme ; aucune donnée simulée.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Sur-généralisation</w:t>
            </w:r>
            <w:r>
              <w:t xml:space="preserve"> </w:t>
            </w:r>
            <w:r>
              <w:t xml:space="preserve">au-delà des données</w:t>
            </w:r>
          </w:p>
        </w:tc>
        <w:tc>
          <w:tcPr/>
          <w:p>
            <w:pPr>
              <w:pStyle w:val="Compact"/>
            </w:pPr>
            <w:r>
              <w:t xml:space="preserve">Bornes explicites : transversal (pas de causalité), déclaratif, terrain de septembre, C5 à n = 26, 65 % présenté comme borne haute, silhouette modérée assumée.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Dérive de citation</w:t>
            </w:r>
            <w:r>
              <w:t xml:space="preserve"> </w:t>
            </w:r>
            <w:r>
              <w:t xml:space="preserve">(source ne soutenant pas la thèse)</w:t>
            </w:r>
          </w:p>
        </w:tc>
        <w:tc>
          <w:tcPr/>
          <w:p>
            <w:pPr>
              <w:pStyle w:val="Compact"/>
            </w:pPr>
            <w:r>
              <w:t xml:space="preserve">Vérification par échantillon : Herzig et Zander (2025) → faible pouvoir explicatif du sociodémographique ✓ ; Feldmann et Hamm (2015) → freins d’inconvénience/disponibilité ✓ ; Mustapa et Kallas (2025) → méta-analyse WTP ✓ ; Verhoef (2015)/Neslin (2006) → omnicanal ✓.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p-hacking / rapport sélectif</w:t>
            </w:r>
          </w:p>
        </w:tc>
        <w:tc>
          <w:tcPr/>
          <w:p>
            <w:pPr>
              <w:pStyle w:val="Compact"/>
            </w:pPr>
            <w:r>
              <w:t xml:space="preserve">Le pseudo-R² quasi nul est rapporté, non caché ; les effets non significatifs (sexe, âge, agglomération) sont donnés ; le résultat nul du diplôme sur l’adoption est</w:t>
            </w:r>
            <w:r>
              <w:t xml:space="preserve"> </w:t>
            </w:r>
            <w:r>
              <w:rPr>
                <w:b/>
                <w:bCs/>
              </w:rPr>
              <w:t xml:space="preserve">surfacé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Biais de confirmation</w:t>
            </w:r>
            <w:r>
              <w:t xml:space="preserve"> </w:t>
            </w:r>
            <w:r>
              <w:t xml:space="preserve">(ignorer le contradictoire)</w:t>
            </w:r>
          </w:p>
        </w:tc>
        <w:tc>
          <w:tcPr/>
          <w:p>
            <w:pPr>
              <w:pStyle w:val="Compact"/>
            </w:pPr>
            <w:r>
              <w:t xml:space="preserve">Le manuscrit intègre activement le contradictoire : diplôme ne prédit pas l’adoption ; abandon vrai modéré (≠ récit catastrophiste) ; distinction intermittence/abandon ; les 3 attaques de l’avocat du diable ont été traitées, non écartées.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Échec de reproductibilité</w:t>
            </w:r>
          </w:p>
        </w:tc>
        <w:tc>
          <w:tcPr/>
          <w:p>
            <w:pPr>
              <w:pStyle w:val="Compact"/>
            </w:pPr>
            <w:r>
              <w:t xml:space="preserve">Pipeline complet et déterministe (</w:t>
            </w:r>
            <w:r>
              <w:rPr>
                <w:rStyle w:val="VerbatimChar"/>
              </w:rPr>
              <w:t xml:space="preserve">code/02</w:t>
            </w:r>
            <w:r>
              <w:t xml:space="preserve">→</w:t>
            </w:r>
            <w:r>
              <w:rPr>
                <w:rStyle w:val="VerbatimChar"/>
              </w:rPr>
              <w:t xml:space="preserve">code/11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  <w:r>
              <w:t xml:space="preserve">) ; script d’audit rejoue tous les chiffres ; données brutes locales et</w:t>
            </w:r>
            <w:r>
              <w:t xml:space="preserve"> </w:t>
            </w:r>
            <w:r>
              <w:rPr>
                <w:b/>
                <w:bCs/>
              </w:rPr>
              <w:t xml:space="preserve">gitignorées</w:t>
            </w:r>
            <w:r>
              <w:t xml:space="preserve">, seuls les agrégats publiés (RGPD).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Représentation trompeuse de l’incertitude</w:t>
            </w:r>
          </w:p>
        </w:tc>
        <w:tc>
          <w:tcPr/>
          <w:p>
            <w:pPr>
              <w:pStyle w:val="Compact"/>
            </w:pPr>
            <w:r>
              <w:t xml:space="preserve">IC de Wilson sur les taux clés ; réserves de faible effectif explicites (C5, AMAP n = 116) ; projections étiquetées « borne haute / illustratif » ; bases de comparaison différentes signalées (893 vs 509).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3 : les 7 modes sont franchis sans blocage.</w:t>
      </w:r>
      <w:r>
        <w:t xml:space="preserve"> </w:t>
      </w:r>
      <w:r>
        <w:t xml:space="preserve">Le manuscrit se distingue par une gestion active de ses propres faiblesses (modes 4 et 5), plutôt que par leur dissimulation.</w:t>
      </w:r>
    </w:p>
    <w:p>
      <w:r>
        <w:pict>
          <v:rect style="width:0;height:1.5pt" o:hralign="center" o:hrstd="t" o:hr="t"/>
        </w:pict>
      </w:r>
    </w:p>
    <w:bookmarkEnd w:id="11"/>
    <w:bookmarkStart w:id="12" w:name="gouvernance-des-données-rgpd"/>
    <w:p>
      <w:pPr>
        <w:pStyle w:val="Heading2"/>
      </w:pPr>
      <w:r>
        <w:t xml:space="preserve">4. Gouvernance des données (RGPD)</w:t>
      </w:r>
    </w:p>
    <w:p>
      <w:pPr>
        <w:pStyle w:val="Compact"/>
        <w:numPr>
          <w:ilvl w:val="0"/>
          <w:numId w:val="1002"/>
        </w:numPr>
      </w:pPr>
      <w:r>
        <w:t xml:space="preserve">Les données individuelles (</w:t>
      </w:r>
      <w:r>
        <w:rPr>
          <w:rStyle w:val="VerbatimChar"/>
        </w:rPr>
        <w:t xml:space="preserve">24407_Export.xlsx</w:t>
      </w:r>
      <w:r>
        <w:t xml:space="preserve">, codebook) restent</w:t>
      </w:r>
      <w:r>
        <w:t xml:space="preserve"> </w:t>
      </w:r>
      <w:r>
        <w:rPr>
          <w:b/>
          <w:bCs/>
        </w:rPr>
        <w:t xml:space="preserve">locales et gitignorées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ls-files data/</w:t>
      </w:r>
      <w:r>
        <w:t xml:space="preserve"> </w:t>
      </w:r>
      <w:r>
        <w:t xml:space="preserve">ne renvoie</w:t>
      </w:r>
      <w:r>
        <w:t xml:space="preserve"> </w:t>
      </w:r>
      <w:r>
        <w:rPr>
          <w:b/>
          <w:bCs/>
        </w:rPr>
        <w:t xml:space="preserve">aucun</w:t>
      </w:r>
      <w:r>
        <w:t xml:space="preserve"> </w:t>
      </w:r>
      <w:r>
        <w:t xml:space="preserve">fichier de données (hors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Les livrables ne publient que des</w:t>
      </w:r>
      <w:r>
        <w:t xml:space="preserve"> </w:t>
      </w:r>
      <w:r>
        <w:rPr>
          <w:b/>
          <w:bCs/>
        </w:rPr>
        <w:t xml:space="preserve">agrégats</w:t>
      </w:r>
      <w:r>
        <w:t xml:space="preserve"> </w:t>
      </w:r>
      <w:r>
        <w:t xml:space="preserve">(parts, taux, effectifs de classe) ; aucune ligne individuelle n’est écrite dans les articles, figures ou scripts de sortie.</w:t>
      </w:r>
    </w:p>
    <w:p>
      <w:pPr>
        <w:pStyle w:val="Compact"/>
        <w:numPr>
          <w:ilvl w:val="0"/>
          <w:numId w:val="1002"/>
        </w:numPr>
      </w:pPr>
      <w:r>
        <w:t xml:space="preserve">Le script d’audit lui-même n’imprime que des agrégats.</w:t>
      </w:r>
    </w:p>
    <w:p>
      <w:pPr>
        <w:pStyle w:val="FirstParagraph"/>
      </w:pPr>
      <w:r>
        <w:rPr>
          <w:b/>
          <w:bCs/>
        </w:rPr>
        <w:t xml:space="preserve">Conclusion 4 : gouvernance conforme.</w:t>
      </w:r>
    </w:p>
    <w:p>
      <w:r>
        <w:pict>
          <v:rect style="width:0;height:1.5pt" o:hralign="center" o:hrstd="t" o:hr="t"/>
        </w:pict>
      </w:r>
    </w:p>
    <w:bookmarkEnd w:id="12"/>
    <w:bookmarkStart w:id="13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INTÉGRITÉ FINALE : PASS.</w:t>
      </w:r>
      <w:r>
        <w:t xml:space="preserve"> </w:t>
      </w:r>
      <w:r>
        <w:t xml:space="preserve">Le manuscrit est autorisé à passer en finalisation (Stade 5).</w:t>
      </w:r>
    </w:p>
    <w:p>
      <w:pPr>
        <w:pStyle w:val="BodyText"/>
      </w:pPr>
      <w:r>
        <w:t xml:space="preserve">Aucun blocage. Les deux seuls écarts détectés (une référence orpheline, une source nommée non référencée) étaient d’ordre bibliographique et ont été corrigés séance tenante ; ils ne touchaient aucun résultat. La traçabilité numérique est totale (124/124), l’incertitude est représentée honnêtement, et le manuscrit surfacte ses résultats défavorables au lieu de les taire.</w:t>
      </w:r>
    </w:p>
    <w:p>
      <w:pPr>
        <w:pStyle w:val="BodyText"/>
      </w:pPr>
      <w:r>
        <w:rPr>
          <w:b/>
          <w:bCs/>
        </w:rPr>
        <w:t xml:space="preserve">Manuscrit :</w:t>
      </w:r>
      <w:r>
        <w:t xml:space="preserve"> </w:t>
      </w:r>
      <w:r>
        <w:t xml:space="preserve">7 932 mots (&lt; 8 000 ✔) · 6 figures · 6 tableaux · 22 références.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Rapport d’intégrité produit par le pipeline ARS — Stade 4.5. Contrôles reproductibles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code/11_audit_integrite.py</w:t>
      </w:r>
      <w:r>
        <w:rPr>
          <w:i/>
          <w:iCs/>
        </w:rPr>
        <w:t xml:space="preserve">. Étape suivante : Stade 5 (finalisation du paquet de soumission).</w:t>
      </w:r>
    </w:p>
    <w:bookmarkEnd w:id="13"/>
    <w:bookmarkEnd w:id="14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2026-07-08T18:35:26Z</dcterms:created>
  <dcterms:modified xsi:type="dcterms:W3CDTF">2026-07-08T18:35:26Z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