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30.png" ContentType="image/png"/>
  <Override PartName="/word/media/rId34.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beaucoup-lessaient-peu-linstallent"/>
    <w:p>
      <w:pPr>
        <w:pStyle w:val="Heading1"/>
      </w:pPr>
      <w:r>
        <w:t xml:space="preserve">« Beaucoup l’essaient, peu l’installent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omnivores engagés ». Le recours à la vente directe est enfin faiblement déterminé par le profil sociodémographique : il traverse les catégories sociales.</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 allocation réelle de budget, et non sur des attitudes déclarées,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Pourtant, à l’échelle du budget des ménages, la vente directe ne pèse presque rien — de l’ordre de quelques pour cent de la dépense alimentaire à domicile (Kneafsey et al., 2013).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w:t>
      </w:r>
      <w:r>
        <w:t xml:space="preserve"> </w:t>
      </w:r>
      <w:r>
        <w:rPr>
          <w:b/>
          <w:bCs/>
        </w:rPr>
        <w:t xml:space="preserve">déclaratif</w:t>
      </w:r>
      <w:r>
        <w:t xml:space="preserve"> </w:t>
      </w:r>
      <w:r>
        <w:t xml:space="preserve">(attitudes, intentions, consentement à payer) pour mesurer l’</w:t>
      </w:r>
      <w:r>
        <w:rPr>
          <w:b/>
          <w:bCs/>
        </w:rPr>
        <w:t xml:space="preserve">allocation réelle de budget</w:t>
      </w:r>
      <w:r>
        <w:t xml:space="preserve"> </w:t>
      </w:r>
      <w:r>
        <w:t xml:space="preserve">entre canaux,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7"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À l’échelle européenne, l’état des lieux socio-économique de Kneafsey et al. (2013)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l’application explicite du cadre omnicanal à l’alimentation directe et locale reste inédite : c’est le premier déplacement de l’article.</w:t>
      </w:r>
    </w:p>
    <w:bookmarkEnd w:id="14"/>
    <w:bookmarkStart w:id="15" w:name="X0fc29c39cd4034e9e2e723009385c757b96ef1d"/>
    <w:p>
      <w:pPr>
        <w:pStyle w:val="Heading3"/>
      </w:pPr>
      <w:r>
        <w:t xml:space="preserve">De l’intention déclarée à l’allocation réelle</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effectifs. La méta-analyse de Mustapa et Kallas (2025) estime ainsi à +34,5 % la prime moyenne que les consommateurs se déclarent prêts à payer pour un produit de circuit court — un chiffre à confronter à la part de budget réellement consacrée. Le deuxième déplacement de l’article consiste précisément à quitter le registre déclaratif pour mesurer l’</w:t>
      </w:r>
      <w:r>
        <w:rPr>
          <w:b/>
          <w:bCs/>
        </w:rPr>
        <w:t xml:space="preserve">allocation budgétaire réelle</w:t>
      </w:r>
      <w:r>
        <w:t xml:space="preserve"> </w:t>
      </w:r>
      <w:r>
        <w:t xml:space="preserve">entre canaux : combien, concrètement, le ménage consacre-t-il à la vente directe, et non combien il dit vouloir y consacrer.</w:t>
      </w:r>
    </w:p>
    <w:bookmarkEnd w:id="15"/>
    <w:bookmarkStart w:id="16"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réelle de budget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sa pratique serait faiblement déterminée par le profil sociodémographique : elle traverserait les catégories. Enfin, conformément à l’écart attitude-comportement, l’adhésion déclarée serait nettement plus forte que le poids budgétaire effectif — beaucoup l’essaieraient, peu l’installeraient.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Du déclaratif à l’allocation budgétaire réelle</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Kneafsey et al. (2013) ; Chiffoleau (2019) ; Praly et al. (2014)</w:t>
            </w:r>
          </w:p>
        </w:tc>
        <w:tc>
          <w:tcPr/>
          <w:p>
            <w:pPr>
              <w:pStyle w:val="Compact"/>
            </w:pPr>
            <w:r>
              <w:t xml:space="preserve">Mesure représentative nationale, côté ménage</w:t>
            </w:r>
          </w:p>
        </w:tc>
      </w:tr>
    </w:tbl>
    <w:bookmarkEnd w:id="16"/>
    <w:bookmarkEnd w:id="17"/>
    <w:bookmarkStart w:id="18"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quelques dimensions synthétiques. Une</w:t>
      </w:r>
      <w:r>
        <w:t xml:space="preserve"> </w:t>
      </w:r>
      <w:r>
        <w:rPr>
          <w:b/>
          <w:bCs/>
        </w:rPr>
        <w:t xml:space="preserve">classification ascendante hiérarchique</w:t>
      </w:r>
      <w:r>
        <w:t xml:space="preserve"> </w:t>
      </w:r>
      <w:r>
        <w:t xml:space="preserve">(méthode de Ward) regroupe ensuite les ménages proches sur ces dimensions. Le nombre de classes (cinq) a été retenu sur la base d’un indicateur de qualité de partition et de l’interprétabilité des profils. La typologie décrit donc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8"/>
    <w:bookmarkStart w:id="25"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0" name="Picture"/>
            <a:graphic>
              <a:graphicData uri="http://schemas.openxmlformats.org/drawingml/2006/picture">
                <pic:pic>
                  <pic:nvPicPr>
                    <pic:cNvPr descr="/home/user/formation-Claude/figures/png/fig1_part_budget_canal_nb.png" id="21" name="Picture"/>
                    <pic:cNvPicPr>
                      <a:picLocks noChangeArrowheads="1" noChangeAspect="1"/>
                    </pic:cNvPicPr>
                  </pic:nvPicPr>
                  <pic:blipFill>
                    <a:blip r:embed="rId19"/>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pratiquent une forme de vente directe. L’achat direct aux agriculteurs (hors marchés) concerne 49,7 % des ménages, mais seulement 17,3 % de façon régulière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3" name="Picture"/>
            <a:graphic>
              <a:graphicData uri="http://schemas.openxmlformats.org/drawingml/2006/picture">
                <pic:pic>
                  <pic:nvPicPr>
                    <pic:cNvPr descr="/home/user/formation-Claude/figures/png/fig2_frequence_canal7_nb.png" id="24" name="Picture"/>
                    <pic:cNvPicPr>
                      <a:picLocks noChangeArrowheads="1" noChangeAspect="1"/>
                    </pic:cNvPicPr>
                  </pic:nvPicPr>
                  <pic:blipFill>
                    <a:blip r:embed="rId22"/>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installé dans le budget d’une minorité active.</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intention et comportement : alors que Mustapa et Kallas (2025) chiffrent à +34,5 % le surprix que les consommateurs se disent prêts à payer, la part réellement allouée reste marginale. La vente directe est, en somme, largement essayée mais rarement intensive.</w:t>
      </w:r>
    </w:p>
    <w:bookmarkEnd w:id="25"/>
    <w:bookmarkStart w:id="29" w:name="Xe5b250b76c2b938649582c3ae50d3dc9ec82d74"/>
    <w:p>
      <w:pPr>
        <w:pStyle w:val="Heading2"/>
      </w:pPr>
      <w:r>
        <w:t xml:space="preserve">De l’essai à l’ancrage : un engagement peu retenu</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w:t>
      </w:r>
      <w:r>
        <w:t xml:space="preserve"> </w:t>
      </w:r>
      <w:r>
        <w:rPr>
          <w:b/>
          <w:bCs/>
        </w:rPr>
        <w:t xml:space="preserve">au cours du mois écoulé</w:t>
      </w:r>
      <w:r>
        <w:t xml:space="preserve"> </w:t>
      </w:r>
      <w:r>
        <w:t xml:space="preserve">— distinguant l’acheteur actif de celui qui « achète encore, mais pas ce mois-ci », et de celui qui « en achetait, mais plus maintenant ». L’écart entre la fréquentation déclarée et cet achat récent est révélateur (Tableau 3, Figure 3).</w:t>
      </w:r>
    </w:p>
    <w:p>
      <w:pPr>
        <w:pStyle w:val="BodyText"/>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récemment. La fréquentation déclarée surestime donc sensiblement la pratique en cours.</w:t>
      </w:r>
    </w:p>
    <w:p>
      <w:pPr>
        <w:pStyle w:val="BodyText"/>
      </w:pPr>
      <w:r>
        <w:t xml:space="preserve">Surtout, la récence décroît fortement avec le degré d’engagement qu’exige la forme. Les formes conviviales et sans engagement — le marché — restent les plus ancrées : 62 % de ceux qui y ont déjà acheté au producteur l’ont fait le mois écoulé. À l’opposé, les formes les plus engageantes sont massivement</w:t>
      </w:r>
      <w:r>
        <w:t xml:space="preserve"> </w:t>
      </w:r>
      <w:r>
        <w:rPr>
          <w:b/>
          <w:bCs/>
        </w:rPr>
        <w:t xml:space="preserve">abandonnées</w:t>
      </w:r>
      <w:r>
        <w:t xml:space="preserve"> </w:t>
      </w:r>
      <w:r>
        <w:t xml:space="preserve">: parmi ceux qui les ont déjà essayées, 46 % ont cessé pour les paniers en ligne, 30 % pour les foires et salons, 27 % pour les halles. Le cas des AMAP est extrême : sur les ménages qui en ont un jour été clients,</w:t>
      </w:r>
      <w:r>
        <w:t xml:space="preserve"> </w:t>
      </w:r>
      <w:r>
        <w:rPr>
          <w:b/>
          <w:bCs/>
        </w:rPr>
        <w:t xml:space="preserve">près des deux tiers (65 %) ne le sont plus</w:t>
      </w:r>
      <w:r>
        <w:t xml:space="preserve">.</w:t>
      </w:r>
    </w:p>
    <w:p>
      <w:pPr>
        <w:pStyle w:val="BodyText"/>
      </w:pPr>
      <w:r>
        <w:rPr>
          <w:b/>
          <w:bCs/>
        </w:rPr>
        <w:t xml:space="preserve">Tableau 3 : De l’essai à l’ancrage — récence d’achat par forme de vente directe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Ont déjà acheté (n)</w:t>
            </w:r>
          </w:p>
        </w:tc>
        <w:tc>
          <w:tcPr/>
          <w:p>
            <w:pPr>
              <w:pStyle w:val="Compact"/>
              <w:jc w:val="center"/>
            </w:pPr>
            <w:r>
              <w:t xml:space="preserve">Achat le mois écoulé (% des essayeurs)</w:t>
            </w:r>
          </w:p>
        </w:tc>
        <w:tc>
          <w:tcPr/>
          <w:p>
            <w:pPr>
              <w:pStyle w:val="Compact"/>
              <w:jc w:val="center"/>
            </w:pPr>
            <w:r>
              <w:t xml:space="preserve">Achat le mois écoulé (% des interrogés)</w:t>
            </w:r>
          </w:p>
        </w:tc>
        <w:tc>
          <w:tcPr/>
          <w:p>
            <w:pPr>
              <w:pStyle w:val="Compact"/>
              <w:jc w:val="center"/>
            </w:pPr>
            <w:r>
              <w:t xml:space="preserve">En achetaient, plus maintenant (% des essayeurs)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770</w:t>
            </w:r>
          </w:p>
        </w:tc>
        <w:tc>
          <w:tcPr/>
          <w:p>
            <w:pPr>
              <w:pStyle w:val="Compact"/>
              <w:jc w:val="center"/>
            </w:pPr>
            <w:r>
              <w:t xml:space="preserve">62 %</w:t>
            </w:r>
          </w:p>
        </w:tc>
        <w:tc>
          <w:tcPr/>
          <w:p>
            <w:pPr>
              <w:pStyle w:val="Compact"/>
              <w:jc w:val="center"/>
            </w:pPr>
            <w:r>
              <w:t xml:space="preserve">59 %</w:t>
            </w:r>
          </w:p>
        </w:tc>
        <w:tc>
          <w:tcPr/>
          <w:p>
            <w:pPr>
              <w:pStyle w:val="Compact"/>
              <w:jc w:val="center"/>
            </w:pPr>
            <w:r>
              <w:t xml:space="preserve">6 %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433</w:t>
            </w:r>
          </w:p>
        </w:tc>
        <w:tc>
          <w:tcPr/>
          <w:p>
            <w:pPr>
              <w:pStyle w:val="Compact"/>
              <w:jc w:val="center"/>
            </w:pPr>
            <w:r>
              <w:t xml:space="preserve">40 %</w:t>
            </w:r>
          </w:p>
        </w:tc>
        <w:tc>
          <w:tcPr/>
          <w:p>
            <w:pPr>
              <w:pStyle w:val="Compact"/>
              <w:jc w:val="center"/>
            </w:pPr>
            <w:r>
              <w:t xml:space="preserve">34 %</w:t>
            </w:r>
          </w:p>
        </w:tc>
        <w:tc>
          <w:tcPr/>
          <w:p>
            <w:pPr>
              <w:pStyle w:val="Compact"/>
              <w:jc w:val="center"/>
            </w:pPr>
            <w:r>
              <w:t xml:space="preserve">19 %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351</w:t>
            </w:r>
          </w:p>
        </w:tc>
        <w:tc>
          <w:tcPr/>
          <w:p>
            <w:pPr>
              <w:pStyle w:val="Compact"/>
              <w:jc w:val="center"/>
            </w:pPr>
            <w:r>
              <w:t xml:space="preserve">29 %</w:t>
            </w:r>
          </w:p>
        </w:tc>
        <w:tc>
          <w:tcPr/>
          <w:p>
            <w:pPr>
              <w:pStyle w:val="Compact"/>
              <w:jc w:val="center"/>
            </w:pPr>
            <w:r>
              <w:t xml:space="preserve">20 %</w:t>
            </w:r>
          </w:p>
        </w:tc>
        <w:tc>
          <w:tcPr/>
          <w:p>
            <w:pPr>
              <w:pStyle w:val="Compact"/>
              <w:jc w:val="center"/>
            </w:pPr>
            <w:r>
              <w:t xml:space="preserve">22 %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359</w:t>
            </w:r>
          </w:p>
        </w:tc>
        <w:tc>
          <w:tcPr/>
          <w:p>
            <w:pPr>
              <w:pStyle w:val="Compact"/>
              <w:jc w:val="center"/>
            </w:pPr>
            <w:r>
              <w:t xml:space="preserve">23 %</w:t>
            </w:r>
          </w:p>
        </w:tc>
        <w:tc>
          <w:tcPr/>
          <w:p>
            <w:pPr>
              <w:pStyle w:val="Compact"/>
              <w:jc w:val="center"/>
            </w:pPr>
            <w:r>
              <w:t xml:space="preserve">16 %</w:t>
            </w:r>
          </w:p>
        </w:tc>
        <w:tc>
          <w:tcPr/>
          <w:p>
            <w:pPr>
              <w:pStyle w:val="Compact"/>
              <w:jc w:val="center"/>
            </w:pPr>
            <w:r>
              <w:t xml:space="preserve">27 %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155</w:t>
            </w:r>
          </w:p>
        </w:tc>
        <w:tc>
          <w:tcPr/>
          <w:p>
            <w:pPr>
              <w:pStyle w:val="Compact"/>
              <w:jc w:val="center"/>
            </w:pPr>
            <w:r>
              <w:t xml:space="preserve">18 %</w:t>
            </w:r>
          </w:p>
        </w:tc>
        <w:tc>
          <w:tcPr/>
          <w:p>
            <w:pPr>
              <w:pStyle w:val="Compact"/>
              <w:jc w:val="center"/>
            </w:pPr>
            <w:r>
              <w:t xml:space="preserve">6 %</w:t>
            </w:r>
          </w:p>
        </w:tc>
        <w:tc>
          <w:tcPr/>
          <w:p>
            <w:pPr>
              <w:pStyle w:val="Compact"/>
              <w:jc w:val="center"/>
            </w:pPr>
            <w:r>
              <w:t xml:space="preserve">46 %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297</w:t>
            </w:r>
          </w:p>
        </w:tc>
        <w:tc>
          <w:tcPr/>
          <w:p>
            <w:pPr>
              <w:pStyle w:val="Compact"/>
              <w:jc w:val="center"/>
            </w:pPr>
            <w:r>
              <w:t xml:space="preserve">11 %</w:t>
            </w:r>
          </w:p>
        </w:tc>
        <w:tc>
          <w:tcPr/>
          <w:p>
            <w:pPr>
              <w:pStyle w:val="Compact"/>
              <w:jc w:val="center"/>
            </w:pPr>
            <w:r>
              <w:t xml:space="preserve">7 %</w:t>
            </w:r>
          </w:p>
        </w:tc>
        <w:tc>
          <w:tcPr/>
          <w:p>
            <w:pPr>
              <w:pStyle w:val="Compact"/>
              <w:jc w:val="center"/>
            </w:pPr>
            <w:r>
              <w:t xml:space="preserve">30 %</w:t>
            </w:r>
          </w:p>
        </w:tc>
      </w:tr>
      <w:tr>
        <w:tc>
          <w:tcPr/>
          <w:p>
            <w:pPr>
              <w:pStyle w:val="Compact"/>
            </w:pPr>
            <w:r>
              <w:t xml:space="preserve">AMAP*</w:t>
            </w:r>
          </w:p>
        </w:tc>
        <w:tc>
          <w:tcPr/>
          <w:p>
            <w:pPr>
              <w:pStyle w:val="Compact"/>
              <w:jc w:val="center"/>
            </w:pPr>
            <w:r>
              <w:t xml:space="preserve">509</w:t>
            </w:r>
          </w:p>
        </w:tc>
        <w:tc>
          <w:tcPr/>
          <w:p>
            <w:pPr>
              <w:pStyle w:val="Compact"/>
              <w:jc w:val="center"/>
            </w:pPr>
            <w:r>
              <w:t xml:space="preserve">116</w:t>
            </w:r>
          </w:p>
        </w:tc>
        <w:tc>
          <w:tcPr/>
          <w:p>
            <w:pPr>
              <w:pStyle w:val="Compact"/>
              <w:jc w:val="center"/>
            </w:pPr>
            <w:r>
              <w:t xml:space="preserve">35 %</w:t>
            </w:r>
          </w:p>
        </w:tc>
        <w:tc>
          <w:tcPr/>
          <w:p>
            <w:pPr>
              <w:pStyle w:val="Compact"/>
              <w:jc w:val="center"/>
            </w:pPr>
            <w:r>
              <w:t xml:space="preserve">8 %</w:t>
            </w:r>
          </w:p>
        </w:tc>
        <w:tc>
          <w:tcPr/>
          <w:p>
            <w:pPr>
              <w:pStyle w:val="Compact"/>
              <w:jc w:val="center"/>
            </w:pPr>
            <w:r>
              <w:t xml:space="preserve">65 %</w:t>
            </w:r>
          </w:p>
        </w:tc>
      </w:tr>
    </w:tbl>
    <w:p>
      <w:pPr>
        <w:pStyle w:val="BodyText"/>
      </w:pPr>
      <w:r>
        <w:rPr>
          <w:i/>
          <w:iCs/>
        </w:rPr>
        <w:t xml:space="preserve">Base « interrogés » : chalands de marché (810) pour le marché ; acheteurs en vente directe aux agriculteurs (509) pour les autres formes. *AMAP : codage sans référence au mois écoulé (adhérent actuel vs ancien) ; « % des essayeurs » = adhérents actuels parmi les adhérents actuels et anciens ; « en achetaient, plus maintenant » = anciens adhérents.</w:t>
      </w:r>
    </w:p>
    <w:p>
      <w:pPr>
        <w:pStyle w:val="CaptionedFigure"/>
      </w:pPr>
      <w:r>
        <w:drawing>
          <wp:inline>
            <wp:extent cx="5969000" cy="2573970"/>
            <wp:effectExtent b="0" l="0" r="0" t="0"/>
            <wp:docPr descr="Figure 3" title="" id="27" name="Picture"/>
            <a:graphic>
              <a:graphicData uri="http://schemas.openxmlformats.org/drawingml/2006/picture">
                <pic:pic>
                  <pic:nvPicPr>
                    <pic:cNvPr descr="/home/user/formation-Claude/figures/png/fig6_essai_ancrage_nb.png" id="28" name="Picture"/>
                    <pic:cNvPicPr>
                      <a:picLocks noChangeArrowheads="1" noChangeAspect="1"/>
                    </pic:cNvPicPr>
                  </pic:nvPicPr>
                  <pic:blipFill>
                    <a:blip r:embed="rId26"/>
                    <a:stretch>
                      <a:fillRect/>
                    </a:stretch>
                  </pic:blipFill>
                  <pic:spPr bwMode="auto">
                    <a:xfrm>
                      <a:off x="0" y="0"/>
                      <a:ext cx="5969000" cy="257397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De l’essai à l’ancrage — récence d’achat par forme de vente directe</w:t>
      </w:r>
    </w:p>
    <w:p>
      <w:pPr>
        <w:pStyle w:val="BodyText"/>
      </w:pPr>
      <w:r>
        <w:t xml:space="preserve">Ce gradient confirme, par un tout autre chemin que le budget, le même diagnostic : la vente directe est</w:t>
      </w:r>
      <w:r>
        <w:t xml:space="preserve"> </w:t>
      </w:r>
      <w:r>
        <w:rPr>
          <w:b/>
          <w:bCs/>
        </w:rPr>
        <w:t xml:space="preserve">largement essayée, mais son usage peine à s’installer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29"/>
    <w:bookmarkStart w:id="33" w:name="cinq-stratégies-dapprovisionnement"/>
    <w:p>
      <w:pPr>
        <w:pStyle w:val="Heading2"/>
      </w:pPr>
      <w:r>
        <w:t xml:space="preserve">Cinq stratégies d’approvisionnement</w:t>
      </w:r>
    </w:p>
    <w:p>
      <w:pPr>
        <w:pStyle w:val="FirstParagraph"/>
      </w:pPr>
      <w:r>
        <w:t xml:space="preserve">La typologie fait émerger cinq stratégies distinctes (Figure 4, Tableau 4),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1" name="Picture"/>
            <a:graphic>
              <a:graphicData uri="http://schemas.openxmlformats.org/drawingml/2006/picture">
                <pic:pic>
                  <pic:nvPicPr>
                    <pic:cNvPr descr="/home/user/formation-Claude/figures/png/fig3_plan_factoriel_nb.png" id="32" name="Picture"/>
                    <pic:cNvPicPr>
                      <a:picLocks noChangeArrowheads="1" noChangeAspect="1"/>
                    </pic:cNvPicPr>
                  </pic:nvPicPr>
                  <pic:blipFill>
                    <a:blip r:embed="rId30"/>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Plan factoriel (ACM) et classes de stratégie</w:t>
      </w:r>
    </w:p>
    <w:p>
      <w:pPr>
        <w:pStyle w:val="BodyText"/>
      </w:pPr>
      <w:r>
        <w:rPr>
          <w:b/>
          <w:bCs/>
        </w:rPr>
        <w:t xml:space="preserve">Tableau 4 : Les cinq stratégies d’approvisionnement</w:t>
      </w:r>
    </w:p>
    <w:tbl>
      <w:tblPr>
        <w:tblStyle w:val="Table"/>
        <w:tblW w:type="pct" w:w="5000"/>
        <w:tblLayout w:type="fixed"/>
        <w:tblLook w:firstRow="1" w:lastRow="0" w:firstColumn="0" w:lastColumn="0" w:noHBand="0" w:noVBand="0" w:val="0020"/>
      </w:tblPr>
      <w:tblGrid>
        <w:gridCol w:w="1193"/>
        <w:gridCol w:w="650"/>
        <w:gridCol w:w="1518"/>
        <w:gridCol w:w="1627"/>
        <w:gridCol w:w="1735"/>
        <w:gridCol w:w="1193"/>
      </w:tblGrid>
      <w:tr>
        <w:trPr>
          <w:tblHeader w:val="on"/>
        </w:trPr>
        <w:tc>
          <w:tcPr/>
          <w:p>
            <w:pPr>
              <w:pStyle w:val="Compact"/>
            </w:pPr>
            <w:r>
              <w:t xml:space="preserve">Stratégie</w:t>
            </w:r>
          </w:p>
        </w:tc>
        <w:tc>
          <w:tcPr/>
          <w:p>
            <w:pPr>
              <w:pStyle w:val="Compact"/>
            </w:pPr>
            <w:r>
              <w:t xml:space="preserve">Part</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Généralistes</w:t>
            </w:r>
          </w:p>
        </w:tc>
        <w:tc>
          <w:tcPr/>
          <w:p>
            <w:pPr>
              <w:pStyle w:val="Compact"/>
            </w:pPr>
            <w:r>
              <w:t xml:space="preserve">61 %</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pPr>
            <w:r>
              <w:t xml:space="preserve">24 %</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Omnivores engagés</w:t>
            </w:r>
          </w:p>
        </w:tc>
        <w:tc>
          <w:tcPr/>
          <w:p>
            <w:pPr>
              <w:pStyle w:val="Compact"/>
            </w:pPr>
            <w:r>
              <w:t xml:space="preserve">8 %</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Multi-canal conventionnels</w:t>
            </w:r>
          </w:p>
        </w:tc>
        <w:tc>
          <w:tcPr/>
          <w:p>
            <w:pPr>
              <w:pStyle w:val="Compact"/>
            </w:pPr>
            <w:r>
              <w:t xml:space="preserve">5 %</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panier régulier conventionnel</w:t>
            </w:r>
          </w:p>
        </w:tc>
      </w:tr>
      <w:tr>
        <w:tc>
          <w:tcPr/>
          <w:p>
            <w:pPr>
              <w:pStyle w:val="Compact"/>
            </w:pPr>
            <w:r>
              <w:t xml:space="preserve">Hors-hypermarché</w:t>
            </w:r>
          </w:p>
        </w:tc>
        <w:tc>
          <w:tcPr/>
          <w:p>
            <w:pPr>
              <w:pStyle w:val="Compact"/>
            </w:pPr>
            <w:r>
              <w:t xml:space="preserve">2,5 %</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t xml:space="preserve">Les</w:t>
      </w:r>
      <w:r>
        <w:t xml:space="preserve"> </w:t>
      </w:r>
      <w:r>
        <w:rPr>
          <w:b/>
          <w:bCs/>
        </w:rPr>
        <w:t xml:space="preserve">généralistes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omnivores engagés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multi-canal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hors-hypermarché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Deux enseignements transversaux ressortent de cette typologie. Le premier est que la distinction entre</w:t>
      </w:r>
      <w:r>
        <w:t xml:space="preserve"> </w:t>
      </w:r>
      <w:r>
        <w:rPr>
          <w:b/>
          <w:bCs/>
        </w:rPr>
        <w:t xml:space="preserve">essai</w:t>
      </w:r>
      <w:r>
        <w:t xml:space="preserve"> </w:t>
      </w:r>
      <w:r>
        <w:t xml:space="preserve">et</w:t>
      </w:r>
      <w:r>
        <w:t xml:space="preserve"> </w:t>
      </w:r>
      <w:r>
        <w:rPr>
          <w:b/>
          <w:bCs/>
        </w:rPr>
        <w:t xml:space="preserve">usage installé</w:t>
      </w:r>
      <w:r>
        <w:t xml:space="preserve"> </w:t>
      </w:r>
      <w:r>
        <w:t xml:space="preserve">— qu’illustre l’écart entre vente directe inclusive et régulière — structure l’ensemble : le taux inclusif de vente directe croît avec l’ampleur du répertoire de canaux (de 28 % chez les captifs à 100 % chez les multi-canal conventionnels), mais l’usage régulier ne culmine que chez les omnivores engagés (67 %), montrant que largeur du répertoire et intensité d’engagement ne se confondent pas. Le second est que ce n’est pas le profil social qui prédit le mieux la vente directe, mais la</w:t>
      </w:r>
      <w:r>
        <w:t xml:space="preserve"> </w:t>
      </w:r>
      <w:r>
        <w:rPr>
          <w:b/>
          <w:bCs/>
        </w:rPr>
        <w:t xml:space="preserve">configuration d’usage</w:t>
      </w:r>
      <w:r>
        <w:t xml:space="preserve"> </w:t>
      </w:r>
      <w:r>
        <w:t xml:space="preserve">— la stratégie d’approvisionnement — dans laquelle elle s’inscrit : les omnivores l’installent dans une routine multi-canal dense, les captifs s’en tiennent à distance, les multi-canal conventionnels l’essaient sans la pérenniser. Cette grille de segmentation par les pratiques est directement actionnable, car chaque configuration appelle un levier différent.</w:t>
      </w:r>
    </w:p>
    <w:bookmarkEnd w:id="33"/>
    <w:bookmarkStart w:id="40"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et par l’âge (p = 0,005). Les omnivores engagés et les multi-canal conventionnels sur-représentent les cadres et les professions intermédiaires et disposent des budgets les plus élevés ; les captifs de la grande distribution et les généralistes reflètent davantage la structure moyenne de la population ; le groupe hors-hypermarché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5) le confirme : le modèle explique très peu de sa variance (pseudo-R² de McFadden = 0,022). Deux effets seulement ressortent nettement : appartenir aux cadres et professions libérales multiplie par 2,16 les chances de pratiquer la vente directe (p = 0,003), et un budget alimentaire élevé l’accroît modérément (odds-ratio = 1,18 par écart-type, p = 0,028) ; les professions intermédiaires sont également au-dessus de la référence (odds-ratio = 1,60, p = 0,027). En revanche, le sexe, l’âge et la taille d’agglomération n’ont pas d’effet significatif.</w:t>
      </w:r>
    </w:p>
    <w:p>
      <w:pPr>
        <w:pStyle w:val="CaptionedFigure"/>
      </w:pPr>
      <w:r>
        <w:drawing>
          <wp:inline>
            <wp:extent cx="5969000" cy="4243199"/>
            <wp:effectExtent b="0" l="0" r="0" t="0"/>
            <wp:docPr descr="Figure 5" title="" id="35" name="Picture"/>
            <a:graphic>
              <a:graphicData uri="http://schemas.openxmlformats.org/drawingml/2006/picture">
                <pic:pic>
                  <pic:nvPicPr>
                    <pic:cNvPr descr="/home/user/formation-Claude/figures/png/fig4_regression_or_nb.png" id="36" name="Picture"/>
                    <pic:cNvPicPr>
                      <a:picLocks noChangeArrowheads="1" noChangeAspect="1"/>
                    </pic:cNvPicPr>
                  </pic:nvPicPr>
                  <pic:blipFill>
                    <a:blip r:embed="rId34"/>
                    <a:stretch>
                      <a:fillRect/>
                    </a:stretch>
                  </pic:blipFill>
                  <pic:spPr bwMode="auto">
                    <a:xfrm>
                      <a:off x="0" y="0"/>
                      <a:ext cx="5969000" cy="4243199"/>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Déterminants de l’usage de la vente directe (odds-ratios)</w:t>
      </w:r>
    </w:p>
    <w:p>
      <w:pPr>
        <w:pStyle w:val="BodyText"/>
      </w:pPr>
      <w:r>
        <w:t xml:space="preserve">La faiblesse de ce pouvoir explicatif est en soi un résultat : la vente directe n’est pas le marqueur d’un groupe social circonscrit. Si les cadres y recourent un peu plus, l’essentiel de la pratique se distribue transversalement — comme l’illustre l’existence du groupe hors-hypermarché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8" name="Picture"/>
            <a:graphic>
              <a:graphicData uri="http://schemas.openxmlformats.org/drawingml/2006/picture">
                <pic:pic>
                  <pic:nvPicPr>
                    <pic:cNvPr descr="/home/user/formation-Claude/figures/png/fig5_motivations_marche_nb.png" id="39" name="Picture"/>
                    <pic:cNvPicPr>
                      <a:picLocks noChangeArrowheads="1" noChangeAspect="1"/>
                    </pic:cNvPicPr>
                  </pic:nvPicPr>
                  <pic:blipFill>
                    <a:blip r:embed="rId37"/>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 Motivations d’achat sur les marchés</w:t>
      </w:r>
    </w:p>
    <w:bookmarkEnd w:id="40"/>
    <w:bookmarkStart w:id="41"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pratique de niche à diffuser, l’effort porte naturellement sur la sensibilisation et la conquête de nouveaux convaincus. Or nos données montrent que la conquête est, pour l’essentiel, déjà faite : deux ménages sur trois ont franchi le pas de l’achat direct. Le problème n’est pas d’ouvrir le canal à de nouveaux publics, mais de le</w:t>
      </w:r>
      <w:r>
        <w:t xml:space="preserve"> </w:t>
      </w:r>
      <w:r>
        <w:rPr>
          <w:b/>
          <w:bCs/>
        </w:rPr>
        <w:t xml:space="preserve">rendre régulier</w:t>
      </w:r>
      <w:r>
        <w:t xml:space="preserve"> </w:t>
      </w:r>
      <w:r>
        <w:t xml:space="preserve">chez ceux qui l’ont déjà essayé. Cette bascule de diagnostic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omnivores engagés — a vraiment installé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Le fort taux d’abandon des formes les plus engageantes — jusqu’à 65 % pour les AMAP — confirme que l’enjeu est bien la</w:t>
      </w:r>
      <w:r>
        <w:t xml:space="preserve"> </w:t>
      </w:r>
      <w:r>
        <w:rPr>
          <w:b/>
          <w:bCs/>
        </w:rPr>
        <w:t xml:space="preserve">rétention</w:t>
      </w:r>
      <w:r>
        <w:t xml:space="preserve">, non l’acquisition. Pour les producteurs et les réseaux de vente directe, cela oriente l’effort vers les</w:t>
      </w:r>
      <w:r>
        <w:t xml:space="preserve"> </w:t>
      </w:r>
      <w:r>
        <w:rPr>
          <w:b/>
          <w:bCs/>
        </w:rPr>
        <w:t xml:space="preserve">dispositifs de régularité</w:t>
      </w:r>
      <w:r>
        <w:t xml:space="preserve"> </w:t>
      </w:r>
      <w:r>
        <w:t xml:space="preserve">: abonnements et paniers récurrents à engagement souple, points de retrait situés sur les trajets domicile-travail plutôt qu’au seul lieu de production, élargissement des gammes pour couvrir une plus grande part du panier (et non les seuls fruits et légumes), horaires compatibles avec les actifs, et animation de la relation client (rappels, préparation anticipée des commandes, information sur la saisonnalité).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n’étant pas socialement clivante — le modèle sociodémographique n’explique que 2 % de la variance de la pratique —, il n’y a pas lieu de la réserver, dans les représentations comme dans le ciblage marketing, à un segment aisé et urbain. Les dispositifs peuvent viser tous les publics, y compris les budgets modestes : le profil hors-hypermarché, plus âgé et moins doté, montre qu’un approvisionnement de proximité à petit budget est non seulement possible mais déjà pratiqué. Ce constat plaide contre une segmentation par le revenu ou la CSP, et pour une segmentation par la</w:t>
      </w:r>
      <w:r>
        <w:t xml:space="preserve"> </w:t>
      </w:r>
      <w:r>
        <w:rPr>
          <w:b/>
          <w:bCs/>
        </w:rPr>
        <w:t xml:space="preserve">stratégie d’approvisionnement</w:t>
      </w:r>
      <w:r>
        <w:t xml:space="preserve"> </w:t>
      </w:r>
      <w:r>
        <w:t xml:space="preserve">: c’est la configuration d’usage (généraliste, captif, omnivore…), et non la position sociale, qui prédit le recours à la vente directe et indique le levier pertinent.</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installé,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les budgets modestes ne sont pas exclus.</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1"/>
    <w:bookmarkStart w:id="42"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Enfin, la plus petite classe (hors-hypermarché) appelle la prudence dans l’interprétation de ses caractéristiques fines,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installé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2"/>
    <w:bookmarkStart w:id="43" w:name="références"/>
    <w:p>
      <w:pPr>
        <w:pStyle w:val="Heading2"/>
      </w:pPr>
      <w:r>
        <w:t xml:space="preserve">Références</w:t>
      </w:r>
    </w:p>
    <w:p>
      <w:pPr>
        <w:pStyle w:val="FirstParagraph"/>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Kneafsey M., Venn L., Schmutz U. et al. (2013),</w:t>
      </w:r>
      <w:r>
        <w:t xml:space="preserve"> </w:t>
      </w:r>
      <w:r>
        <w:rPr>
          <w:i/>
          <w:iCs/>
        </w:rPr>
        <w:t xml:space="preserve">Short food supply chains and local food systems in the EU: a state of play of their socio-economic characteristics</w:t>
      </w:r>
      <w:r>
        <w:t xml:space="preserve">, Luxembourg, Commission européenne (JRC Scientific and Policy Reports).</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bookmarkEnd w:id="43"/>
    <w:bookmarkEnd w:id="44"/>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professionnelles et institutionnelles (FranceAgriMer, Agreste, Commission européenne) convergentes sur ce point ; voir Kneafsey et al. (2013) pour une synthèse socio-économique européenne.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2026-07-07T15:46:26Z</dcterms:created>
  <dcterms:modified xsi:type="dcterms:W3CDTF">2026-07-07T15:46:26Z</dcterms:modified>
</cp:coreProperties>
</file>

<file path=docProps/custom.xml><?xml version="1.0" encoding="utf-8"?>
<Properties xmlns="http://schemas.openxmlformats.org/officeDocument/2006/custom-properties" xmlns:vt="http://schemas.openxmlformats.org/officeDocument/2006/docPropsVTypes"/>
</file>