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left"/>
      </w:pPr>
      <w:r>
        <w:rPr>
          <w:rFonts w:ascii="Times New Roman" w:hAnsi="Times New Roman"/>
          <w:b/>
          <w:i w:val="0"/>
          <w:sz w:val="28"/>
        </w:rPr>
        <w:t xml:space="preserve">« Beaucoup l’essaient, peu l’adoptent »</w:t>
      </w:r>
    </w:p>
    <w:p>
      <w:pPr>
        <w:jc w:val="left"/>
      </w:pPr>
      <w:r>
        <w:rPr>
          <w:rFonts w:ascii="Times New Roman" w:hAnsi="Times New Roman"/>
          <w:b w:val="0"/>
          <w:i w:val="0"/>
          <w:sz w:val="28"/>
        </w:rPr>
        <w:t xml:space="preserve">La vente directe dans les stratégies d’approvisionnement des ménages français</w:t>
      </w:r>
    </w:p>
    <w:bookmarkStart w:id="49" w:name="beaucoup-lessaient-peu-ladoptent"/>
    <w:p>
      <w:pPr>
        <w:jc w:val="left"/>
      </w:pPr>
      <w:r>
        <w:rPr>
          <w:rFonts w:ascii="Times New Roman" w:hAnsi="Times New Roman"/>
          <w:b/>
          <w:i w:val="0"/>
          <w:sz w:val="28"/>
        </w:rPr>
        <w:t xml:space="preserve">« Beaucoup l’essaient, peu l’adoptent »</w:t>
      </w:r>
    </w:p>
    <w:bookmarkStart w:id="9" w:name="X567026fb20d909d7ed1876f1ed63bc3f882a5f2"/>
    <w:p>
      <w:pPr>
        <w:jc w:val="left"/>
      </w:pPr>
      <w:r>
        <w:rPr>
          <w:rFonts w:ascii="Times New Roman" w:hAnsi="Times New Roman"/>
          <w:b/>
          <w:i w:val="0"/>
          <w:sz w:val="28"/>
        </w:rP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jc w:val="left"/>
      </w:pPr>
      <w:r>
        <w:rPr>
          <w:rFonts w:ascii="Times New Roman" w:hAnsi="Times New Roman"/>
          <w:b/>
          <w:i w:val="0"/>
          <w:sz w:val="28"/>
        </w:rP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 — le seul gradient net étant le diplôme (plus que la catégorie socioprofessionnelle).</w:t>
      </w:r>
    </w:p>
    <w:p>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r>
        <w:rPr>
          <w:b/>
          <w:bCs/>
        </w:rPr>
        <w:t xml:space="preserve">Originalité.</w:t>
      </w:r>
      <w:r>
        <w:t xml:space="preserve"> </w:t>
      </w:r>
      <w:r>
        <w:t xml:space="preserve">L’article importe le cadre du comportement omnicanal dans l’étude des circuits courts et segmente les ménages sur leurs pratiques d’achat déclarées (allocation de budget, fréquence, récence), et non sur leurs seules attitudes, éclairant ainsi l’écart entre intention et comportement.</w:t>
      </w:r>
    </w:p>
    <w:p>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jc w:val="left"/>
      </w:pPr>
      <w:r>
        <w:rPr>
          <w:rFonts w:ascii="Times New Roman" w:hAnsi="Times New Roman"/>
          <w:b/>
          <w:i w:val="0"/>
          <w:sz w:val="28"/>
        </w:rP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jc w:val="left"/>
      </w:pPr>
      <w:r>
        <w:rPr>
          <w:rFonts w:ascii="Times New Roman" w:hAnsi="Times New Roman"/>
          <w:b/>
          <w:i w:val="0"/>
          <w:sz w:val="28"/>
        </w:rPr>
        <w:t xml:space="preserve">Introduction</w:t>
      </w:r>
    </w:p>
    <w:p>
      <w:pPr>
        <w:pStyle w:val="FirstParagraph"/>
      </w:pPr>
      <w:r>
        <w:t xml:space="preserve">Sur un marché de plein vent, la moitié des clients disent venir chercher des « produits locaux » et un tiers « soutenir les agriculteurs » — ce sont, dans notre enquête, les deux premières motivations citées (Figure 6).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8" w:name="Xd910615a5fba353b3d54f6b81e64fbd2298d275"/>
    <w:p>
      <w:pPr>
        <w:jc w:val="left"/>
      </w:pPr>
      <w:r>
        <w:rPr>
          <w:rFonts w:ascii="Times New Roman" w:hAnsi="Times New Roman"/>
          <w:b/>
          <w:i w:val="0"/>
          <w:sz w:val="28"/>
        </w:rPr>
        <w:t xml:space="preserve">L’approvisionnement alimentaire, un comportement omnicanal</w:t>
      </w:r>
    </w:p>
    <w:bookmarkStart w:id="14" w:name="du-canal-isolé-au-portefeuille-de-canaux"/>
    <w:p>
      <w:pPr>
        <w:jc w:val="left"/>
      </w:pPr>
      <w:r>
        <w:rPr>
          <w:rFonts w:ascii="Times New Roman" w:hAnsi="Times New Roman"/>
          <w:b w:val="0"/>
          <w:i/>
          <w:sz w:val="24"/>
        </w:rP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 — et raccourcir la chaîne n’est pas en soi une réponse suffisante (Chiffoleau et Dourian, 2020).</w:t>
      </w:r>
    </w:p>
    <w:p>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le cadre omnicanal reste rarement appliqué de façon explicite à l’alimentation directe et locale : c’est le premier déplacement de l’article.</w:t>
      </w:r>
    </w:p>
    <w:bookmarkEnd w:id="14"/>
    <w:bookmarkStart w:id="15" w:name="X2146e55a8402603f7cb0ad28b3eaf326ad04eda"/>
    <w:p>
      <w:pPr>
        <w:jc w:val="left"/>
      </w:pPr>
      <w:r>
        <w:rPr>
          <w:rFonts w:ascii="Times New Roman" w:hAnsi="Times New Roman"/>
          <w:b w:val="0"/>
          <w:i/>
          <w:sz w:val="24"/>
        </w:rPr>
        <w:t xml:space="preserve">Pourquoi les ménages combinent-ils les canaux ?</w:t>
      </w:r>
    </w:p>
    <w:p>
      <w:pPr>
        <w:pStyle w:val="FirstParagraph"/>
      </w:pPr>
      <w:r>
        <w:t xml:space="preserve">Établir que les canaux sont complémentaires ne dit pas encore</w:t>
      </w:r>
      <w:r>
        <w:t xml:space="preserve"> </w:t>
      </w:r>
      <w:r>
        <w:rPr>
          <w:i/>
          <w:iCs/>
        </w:rPr>
        <w:t xml:space="preserve">pourquoi</w:t>
      </w:r>
      <w:r>
        <w:t xml:space="preserve"> </w:t>
      </w:r>
      <w:r>
        <w:t xml:space="preserve">un ménage les combine. Une littérature sur les motivations du</w:t>
      </w:r>
      <w:r>
        <w:t xml:space="preserve"> </w:t>
      </w:r>
      <w:r>
        <w:rPr>
          <w:i/>
          <w:iCs/>
        </w:rPr>
        <w:t xml:space="preserve">cross-shopping</w:t>
      </w:r>
      <w:r>
        <w:t xml:space="preserve"> </w:t>
      </w:r>
      <w:r>
        <w:t xml:space="preserve">alimentaire l’éclaire. Hino (2014) montre que fréquenter plusieurs formats relève d’un</w:t>
      </w:r>
      <w:r>
        <w:t xml:space="preserve"> </w:t>
      </w:r>
      <w:r>
        <w:rPr>
          <w:b/>
          <w:bCs/>
        </w:rPr>
        <w:t xml:space="preserve">usage sélectif</w:t>
      </w:r>
      <w:r>
        <w:t xml:space="preserve"> </w:t>
      </w:r>
      <w:r>
        <w:t xml:space="preserve">— chaque format pour la fonction qu’il remplit le mieux (produits frais, dépannage, achats de gros) —, et non d’une fidélité générale à l’un d’eux ; Hai Tran et Sirieix (2020) documentent de même ces combinaisons de circuits du point de vue des pratiques d’achat. Vroegrijk et al. (2013) observent que ce sont les ménages déjà multi-enseignes qui adoptent un nouveau format en</w:t>
      </w:r>
      <w:r>
        <w:t xml:space="preserve"> </w:t>
      </w:r>
      <w:r>
        <w:rPr>
          <w:b/>
          <w:bCs/>
        </w:rPr>
        <w:t xml:space="preserve">complément</w:t>
      </w:r>
      <w:r>
        <w:t xml:space="preserve"> </w:t>
      </w:r>
      <w:r>
        <w:t xml:space="preserve">de leurs points de vente habituels, et Melis et al. (2016) que l’ajout d’un canal peut élargir la part de portefeuille captée par une enseigne plutôt que la redistribuer entre canaux existants. La théorie des buts (Harris et al., 2018, 2021) ajoute un second niveau d’explication : la configuration du parcours d’achat varie selon la</w:t>
      </w:r>
      <w:r>
        <w:t xml:space="preserve"> </w:t>
      </w:r>
      <w:r>
        <w:rPr>
          <w:b/>
          <w:bCs/>
        </w:rPr>
        <w:t xml:space="preserve">hiérarchie de buts</w:t>
      </w:r>
      <w:r>
        <w:t xml:space="preserve"> </w:t>
      </w:r>
      <w:r>
        <w:t xml:space="preserve">— abstraits (être un consommateur responsable) ou concrets (dépanner un repas) — active dans un contexte d’achat donné, et diffère d’une situation à l’autre pour un même ménage. Appliqué à la vente directe, ce cadre suggère qu’y recourir dépend moins d’un profil de consommateur stable que d’une</w:t>
      </w:r>
      <w:r>
        <w:t xml:space="preserve"> </w:t>
      </w:r>
      <w:r>
        <w:rPr>
          <w:b/>
          <w:bCs/>
        </w:rPr>
        <w:t xml:space="preserve">fonction ponctuelle</w:t>
      </w:r>
      <w:r>
        <w:t xml:space="preserve"> </w:t>
      </w:r>
      <w:r>
        <w:t xml:space="preserve">(fraîcheur, lien au producteur, occasion) qu’elle remplit mieux qu’un autre canal à un moment donné — lecture qui complète, sans s’y substituer, l’explication par le profil sociodémographique.</w:t>
      </w:r>
    </w:p>
    <w:bookmarkEnd w:id="15"/>
    <w:bookmarkStart w:id="16" w:name="Xa78a6e9b4ec9f4ce7a7a5897be46e9029041738"/>
    <w:p>
      <w:pPr>
        <w:jc w:val="left"/>
      </w:pPr>
      <w:r>
        <w:rPr>
          <w:rFonts w:ascii="Times New Roman" w:hAnsi="Times New Roman"/>
          <w:b w:val="0"/>
          <w:i/>
          <w:sz w:val="24"/>
        </w:rP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La méta-analyse de Mustapa et Kallas (2025) montre ainsi que les consommateurs se déclarent prêts à payer une prime substantielle pour un produit de circuit court — une disposition dont rien ne garantit qu’elle se traduise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6"/>
    <w:bookmarkStart w:id="17" w:name="Xb8fafdd004a54fdf2a5d287765afad3d0b8bc36"/>
    <w:p>
      <w:pPr>
        <w:jc w:val="left"/>
      </w:pPr>
      <w:r>
        <w:rPr>
          <w:rFonts w:ascii="Times New Roman" w:hAnsi="Times New Roman"/>
          <w:b w:val="0"/>
          <w:i/>
          <w:sz w:val="24"/>
        </w:rP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parce qu’elle remplit une fonction d’appoint mobilisable pour des buts ponctuels variés, sa pratique serait faiblement déterminée par le profil sociodémographique : elle traverserait les catégories plutôt qu’elle ne distinguerait un groupe social. Enfin, conformément à l’écart attitude-comportement, l’adhésion déclarée serait nettement plus forte que le poids budgétaire effectif — beaucoup l’essaieraient, peu l’adopteraient.</w:t>
      </w:r>
    </w:p>
    <w:p>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7"/>
    <w:bookmarkEnd w:id="18"/>
    <w:bookmarkStart w:id="19" w:name="X7145b3f0329b27779053ada1e4c2ef6847806d6"/>
    <w:p>
      <w:pPr>
        <w:jc w:val="left"/>
      </w:pPr>
      <w:r>
        <w:rPr>
          <w:rFonts w:ascii="Times New Roman" w:hAnsi="Times New Roman"/>
          <w:b/>
          <w:i w:val="0"/>
          <w:sz w:val="28"/>
        </w:rP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 terrain de</w:t>
      </w:r>
      <w:r>
        <w:t xml:space="preserve"> </w:t>
      </w:r>
      <w:r>
        <w:rPr>
          <w:b/>
          <w:bCs/>
        </w:rPr>
        <w:t xml:space="preserve">septembre</w:t>
      </w:r>
      <w:r>
        <w:t xml:space="preserve">.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 Les questions de récence portent explicitement sur le mois de septembre, mois de pleine saison pour les marchés et les produits locaux — ce qui, le cas échéant, tend à</w:t>
      </w:r>
      <w:r>
        <w:t xml:space="preserve"> </w:t>
      </w:r>
      <w:r>
        <w:rPr>
          <w:i/>
          <w:iCs/>
        </w:rPr>
        <w:t xml:space="preserve">sur</w:t>
      </w:r>
      <w:r>
        <w:t xml:space="preserve">-estimer l’activité récente des formes directes plutôt qu’à la minorer.</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cinq dimensions synthétiques (dont les deux premières concentrent 62 % de l’inertie). Une</w:t>
      </w:r>
      <w:r>
        <w:t xml:space="preserve"> </w:t>
      </w:r>
      <w:r>
        <w:rPr>
          <w:b/>
          <w:bCs/>
        </w:rPr>
        <w:t xml:space="preserve">classification ascendante hiérarchique</w:t>
      </w:r>
      <w:r>
        <w:t xml:space="preserve"> </w:t>
      </w:r>
      <w:r>
        <w:t xml:space="preserve">(méthode de Ward) regroupe ensuite les ménages proches sur ces dimensions. Le nombre de classes a été arrêté par examen conjoint de la qualité de partition et de l’interprétabilité : la solution à cinq classes maximise la silhouette moyenne (0,24, contre 0,21 à quatre classes et 0,23 à six) et la découpe à six ne fait que scinder le plus gros groupe sans gain. Cette silhouette</w:t>
      </w:r>
      <w:r>
        <w:t xml:space="preserve"> </w:t>
      </w:r>
      <w:r>
        <w:rPr>
          <w:b/>
          <w:bCs/>
        </w:rPr>
        <w:t xml:space="preserve">modérée</w:t>
      </w:r>
      <w:r>
        <w:t xml:space="preserve">, caractéristique d’une segmentation sur variables d’usage, invite à lire la typologie comme un ensemble de configurations dominantes plutôt que de frontières nettes. Les effectifs (voir Tableau 5) confirment une classe majoritaire et des classes de queue de distribution — la plus petite (n = 26) n’est interprétée qu’avec prudence. La typologie décrit ainsi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9"/>
    <w:bookmarkStart w:id="26" w:name="la-vente-directe-répandue-mais-marginale"/>
    <w:p>
      <w:pPr>
        <w:jc w:val="left"/>
      </w:pPr>
      <w:r>
        <w:rPr>
          <w:rFonts w:ascii="Times New Roman" w:hAnsi="Times New Roman"/>
          <w:b/>
          <w:i w:val="0"/>
          <w:sz w:val="28"/>
        </w:rP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1" name="Picture"/>
            <a:graphic>
              <a:graphicData uri="http://schemas.openxmlformats.org/drawingml/2006/picture">
                <pic:pic>
                  <pic:nvPicPr>
                    <pic:cNvPr descr="../../figures/png/fig1_part_budget_canal_nb.png" id="22" name="Picture"/>
                    <pic:cNvPicPr>
                      <a:picLocks noChangeArrowheads="1" noChangeAspect="1"/>
                    </pic:cNvPicPr>
                  </pic:nvPicPr>
                  <pic:blipFill>
                    <a:blip r:embed="rId20"/>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r>
        <w:rPr>
          <w:b/>
          <w:bCs/>
        </w:rPr>
        <w:t xml:space="preserve">Figure 1 : Part du budget alimentaire par canal (n = 1 025)</w:t>
      </w:r>
    </w:p>
    <w:p>
      <w:pPr/>
      <w:r>
        <w:t xml:space="preserve">En appliquant la définition à double porte,</w:t>
      </w:r>
      <w:r>
        <w:t xml:space="preserve"> </w:t>
      </w:r>
      <w:r>
        <w:rPr>
          <w:b/>
          <w:bCs/>
        </w:rPr>
        <w:t xml:space="preserve">65,0 % des ménages</w:t>
      </w:r>
      <w:r>
        <w:t xml:space="preserve"> </w:t>
      </w:r>
      <w:r>
        <w:t xml:space="preserve">(IC à 95 % : 62,0–67,8 ; n = 666 sur 1 025) pratiquent une forme de vente directe. L’achat direct aux agriculteurs (hors marchés) concerne 49,7 % des ménages (n = 509), mais seulement 17,3 % de façon régulière (n = 177 ;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4" name="Picture"/>
            <a:graphic>
              <a:graphicData uri="http://schemas.openxmlformats.org/drawingml/2006/picture">
                <pic:pic>
                  <pic:nvPicPr>
                    <pic:cNvPr descr="../../figures/png/fig2_frequence_canal7_nb.png" id="25" name="Picture"/>
                    <pic:cNvPicPr>
                      <a:picLocks noChangeArrowheads="1" noChangeAspect="1"/>
                    </pic:cNvPicPr>
                  </pic:nvPicPr>
                  <pic:blipFill>
                    <a:blip r:embed="rId23"/>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r>
        <w:rPr>
          <w:b/>
          <w:bCs/>
        </w:rPr>
        <w:t xml:space="preserve">Figure 2 : Fréquence d’achat direct aux agriculteurs</w:t>
      </w:r>
    </w:p>
    <w:p>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r>
        <w:t xml:space="preserve">Le contraste que nous relevons pourrait n’être qu’un effet des définitions retenues — 65 % étant la mesure la plus large et 1,5 % la plus conservatrice. Le Tableau 3 le met à l’épreuve en croisant les trois définitions possibles de la vente directe avec les deux dénominateurs budgétaires. Le paradoxe y résiste : même sous la définition la plus stricte (usage régulier, 17,3 % des ménages), la part de budget chez ces seuls réguliers (8,5 %) reste minoritaire ; et la diffusion large (65 %) coexiste avec un poids national de 1,5 % quelle que soit la porte d’entrée. L’écart entre adhésion et poids n’est donc pas un artefact du choix de dénominateur.</w:t>
      </w:r>
    </w:p>
    <w:p>
      <w:pPr/>
      <w:r>
        <w:rPr>
          <w:b/>
          <w:bCs/>
        </w:rPr>
        <w:t xml:space="preserve">Tableau 3 : Sensibilité — définition de la vente directe et dénominateur budgétaire</w:t>
      </w:r>
    </w:p>
    <w:tbl>
      <w:tblPr>
        <w:tblStyle w:val="Table"/>
        <w:tblW w:type="pct" w:w="5000"/>
        <w:tblLayout w:type="fixed"/>
        <w:tblLook w:firstRow="1" w:lastRow="0" w:firstColumn="0" w:lastColumn="0" w:noHBand="0" w:noVBand="0" w:val="0020"/>
      </w:tblPr>
      <w:tblGrid>
        <w:gridCol w:w="3960"/>
        <w:gridCol w:w="990"/>
        <w:gridCol w:w="990"/>
        <w:gridCol w:w="990"/>
        <w:gridCol w:w="990"/>
      </w:tblGrid>
      <w:tr>
        <w:trPr>
          <w:tblHeader w:val="on"/>
        </w:trPr>
        <w:tc>
          <w:tcPr/>
          <w:p>
            <w:pPr>
              <w:pStyle w:val="Compact"/>
            </w:pPr>
            <w:r>
              <w:t xml:space="preserve">Définition retenue</w:t>
            </w:r>
          </w:p>
        </w:tc>
        <w:tc>
          <w:tcPr/>
          <w:p>
            <w:pPr>
              <w:pStyle w:val="Compact"/>
              <w:jc w:val="center"/>
            </w:pPr>
            <w:r>
              <w:t xml:space="preserve">n</w:t>
            </w:r>
          </w:p>
        </w:tc>
        <w:tc>
          <w:tcPr/>
          <w:p>
            <w:pPr>
              <w:pStyle w:val="Compact"/>
              <w:jc w:val="center"/>
            </w:pPr>
            <w:r>
              <w:t xml:space="preserve">% ménages</w:t>
            </w:r>
          </w:p>
        </w:tc>
        <w:tc>
          <w:tcPr/>
          <w:p>
            <w:pPr>
              <w:pStyle w:val="Compact"/>
              <w:jc w:val="center"/>
            </w:pPr>
            <w:r>
              <w:t xml:space="preserve">Part du budget /population</w:t>
            </w:r>
          </w:p>
        </w:tc>
        <w:tc>
          <w:tcPr/>
          <w:p>
            <w:pPr>
              <w:pStyle w:val="Compact"/>
              <w:jc w:val="center"/>
            </w:pPr>
            <w:r>
              <w:t xml:space="preserve">Part du budget /acheteurs réguliers</w:t>
            </w:r>
          </w:p>
        </w:tc>
      </w:tr>
      <w:tr>
        <w:tc>
          <w:tcPr/>
          <w:p>
            <w:pPr>
              <w:pStyle w:val="Compact"/>
            </w:pPr>
            <w:r>
              <w:t xml:space="preserve">Inclusive — union des deux portes</w:t>
            </w:r>
          </w:p>
        </w:tc>
        <w:tc>
          <w:tcPr/>
          <w:p>
            <w:pPr>
              <w:pStyle w:val="Compact"/>
              <w:jc w:val="center"/>
            </w:pPr>
            <w:r>
              <w:t xml:space="preserve">666</w:t>
            </w:r>
          </w:p>
        </w:tc>
        <w:tc>
          <w:tcPr/>
          <w:p>
            <w:pPr>
              <w:pStyle w:val="Compact"/>
              <w:jc w:val="center"/>
            </w:pPr>
            <w:r>
              <w:t xml:space="preserve">65,0 %</w:t>
            </w:r>
          </w:p>
        </w:tc>
        <w:tc>
          <w:tcPr/>
          <w:p>
            <w:pPr>
              <w:pStyle w:val="Compact"/>
              <w:jc w:val="center"/>
            </w:pPr>
            <w:r>
              <w:t xml:space="preserve">—</w:t>
            </w:r>
          </w:p>
        </w:tc>
        <w:tc>
          <w:tcPr/>
          <w:p>
            <w:pPr>
              <w:pStyle w:val="Compact"/>
              <w:jc w:val="center"/>
            </w:pPr>
            <w:r>
              <w:t xml:space="preserve">—</w:t>
            </w:r>
          </w:p>
        </w:tc>
      </w:tr>
      <w:tr>
        <w:tc>
          <w:tcPr/>
          <w:p>
            <w:pPr>
              <w:pStyle w:val="Compact"/>
            </w:pPr>
            <w:r>
              <w:t xml:space="preserve">Pénétration (achat direct, toute fréquence)</w:t>
            </w:r>
          </w:p>
        </w:tc>
        <w:tc>
          <w:tcPr/>
          <w:p>
            <w:pPr>
              <w:pStyle w:val="Compact"/>
              <w:jc w:val="center"/>
            </w:pPr>
            <w:r>
              <w:t xml:space="preserve">509</w:t>
            </w:r>
          </w:p>
        </w:tc>
        <w:tc>
          <w:tcPr/>
          <w:p>
            <w:pPr>
              <w:pStyle w:val="Compact"/>
              <w:jc w:val="center"/>
            </w:pPr>
            <w:r>
              <w:t xml:space="preserve">49,7 %</w:t>
            </w:r>
          </w:p>
        </w:tc>
        <w:tc>
          <w:tcPr/>
          <w:p>
            <w:pPr>
              <w:pStyle w:val="Compact"/>
              <w:jc w:val="center"/>
            </w:pPr>
            <w:r>
              <w:t xml:space="preserve">1,5 %</w:t>
            </w:r>
          </w:p>
        </w:tc>
        <w:tc>
          <w:tcPr/>
          <w:p>
            <w:pPr>
              <w:pStyle w:val="Compact"/>
              <w:jc w:val="center"/>
            </w:pPr>
            <w:r>
              <w:t xml:space="preserve">—</w:t>
            </w:r>
          </w:p>
        </w:tc>
      </w:tr>
      <w:tr>
        <w:tc>
          <w:tcPr/>
          <w:p>
            <w:pPr>
              <w:pStyle w:val="Compact"/>
            </w:pPr>
            <w:r>
              <w:t xml:space="preserve">Régulière (au moins mensuelle)</w:t>
            </w:r>
          </w:p>
        </w:tc>
        <w:tc>
          <w:tcPr/>
          <w:p>
            <w:pPr>
              <w:pStyle w:val="Compact"/>
              <w:jc w:val="center"/>
            </w:pPr>
            <w:r>
              <w:t xml:space="preserve">177</w:t>
            </w:r>
          </w:p>
        </w:tc>
        <w:tc>
          <w:tcPr/>
          <w:p>
            <w:pPr>
              <w:pStyle w:val="Compact"/>
              <w:jc w:val="center"/>
            </w:pPr>
            <w:r>
              <w:t xml:space="preserve">17,3 %</w:t>
            </w:r>
          </w:p>
        </w:tc>
        <w:tc>
          <w:tcPr/>
          <w:p>
            <w:pPr>
              <w:pStyle w:val="Compact"/>
              <w:jc w:val="center"/>
            </w:pPr>
            <w:r>
              <w:t xml:space="preserve">1,5 %</w:t>
            </w:r>
          </w:p>
        </w:tc>
        <w:tc>
          <w:tcPr/>
          <w:p>
            <w:pPr>
              <w:pStyle w:val="Compact"/>
              <w:jc w:val="center"/>
            </w:pPr>
            <w:r>
              <w:t xml:space="preserve">8,5 %</w:t>
            </w:r>
          </w:p>
        </w:tc>
      </w:tr>
    </w:tbl>
    <w:p>
      <w:pPr/>
      <w:r>
        <w:rPr>
          <w:i/>
          <w:iCs/>
        </w:rPr>
        <w:t xml:space="preserve">Le poids budgétaire est mesuré sur la part propre de l’achat direct aux agriculteurs (canal identifiable). « /population » rapporte à l’ensemble des 1 025 ménages (plancher, part nulle imputée aux non-réguliers) ; « /acheteurs réguliers » à la seule sous-population qui y recourt au moins une fois par mois (intensité).</w:t>
      </w:r>
    </w:p>
    <w:p>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les dispositions déclarées et les comportements d’achat : l’adhésion de principe est massive, la part de budget marginale. La vente directe est, en somme, largement essayée mais rarement intensive.</w:t>
      </w:r>
    </w:p>
    <w:bookmarkEnd w:id="26"/>
    <w:bookmarkStart w:id="30" w:name="Xe4e0b2f4b1568e238a2a23f481cbadf536e92a8"/>
    <w:p>
      <w:pPr>
        <w:jc w:val="left"/>
      </w:pPr>
      <w:r>
        <w:rPr>
          <w:rFonts w:ascii="Times New Roman" w:hAnsi="Times New Roman"/>
          <w:b/>
          <w:i w:val="0"/>
          <w:sz w:val="28"/>
        </w:rP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un</w:t>
      </w:r>
      <w:r>
        <w:t xml:space="preserve"> </w:t>
      </w:r>
      <w:r>
        <w:rPr>
          <w:b/>
          <w:bCs/>
        </w:rPr>
        <w:t xml:space="preserve">achat récent</w:t>
      </w:r>
      <w:r>
        <w:t xml:space="preserve"> </w:t>
      </w:r>
      <w:r>
        <w:t xml:space="preserve">(le mois écoulé), un</w:t>
      </w:r>
      <w:r>
        <w:t xml:space="preserve"> </w:t>
      </w:r>
      <w:r>
        <w:rPr>
          <w:b/>
          <w:bCs/>
        </w:rPr>
        <w:t xml:space="preserve">achat plus ancien mais toujours pratiqué</w:t>
      </w:r>
      <w:r>
        <w:t xml:space="preserve">, un</w:t>
      </w:r>
      <w:r>
        <w:t xml:space="preserve"> </w:t>
      </w:r>
      <w:r>
        <w:rPr>
          <w:b/>
          <w:bCs/>
        </w:rPr>
        <w:t xml:space="preserve">achat abandonné</w:t>
      </w:r>
      <w:r>
        <w:t xml:space="preserve"> </w:t>
      </w:r>
      <w:r>
        <w:t xml:space="preserve">(« j’en achetais, mais ce n’est plus le cas ») et l’</w:t>
      </w:r>
      <w:r>
        <w:rPr>
          <w:b/>
          <w:bCs/>
        </w:rPr>
        <w:t xml:space="preserve">absence d’achat</w:t>
      </w:r>
      <w:r>
        <w:t xml:space="preserve"> </w:t>
      </w:r>
      <w:r>
        <w:t xml:space="preserve">par cette forme. Pour situer ces formes, nous les comparons à trois circuits conventionnels spécialisés — le boulanger, le boucher, le primeur — soumis aux mêmes questions (Tableau 4, Figure 3). Ces comparateurs portent sur une population distincte (les 893 clients d’artisans, contre 509 acheteurs directs) : la mise en regard éclaire l’ordre de grandeur des situations, sans prétendre à une équivalence stricte entre populations.</w:t>
      </w:r>
    </w:p>
    <w:p>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ce mois-là. Une part de ces 46 % relève d’une</w:t>
      </w:r>
      <w:r>
        <w:t xml:space="preserve"> </w:t>
      </w:r>
      <w:r>
        <w:rPr>
          <w:b/>
          <w:bCs/>
        </w:rPr>
        <w:t xml:space="preserve">intermittence</w:t>
      </w:r>
      <w:r>
        <w:t xml:space="preserve"> </w:t>
      </w:r>
      <w:r>
        <w:t xml:space="preserve">attendue — le terrain de septembre, mois de saison, joue plutôt en faveur des formes directes — et non d’un décrochage : l’</w:t>
      </w:r>
      <w:r>
        <w:rPr>
          <w:b/>
          <w:bCs/>
        </w:rPr>
        <w:t xml:space="preserve">abandon déclaré</w:t>
      </w:r>
      <w:r>
        <w:t xml:space="preserve"> </w:t>
      </w:r>
      <w:r>
        <w:t xml:space="preserve">(« j’en achetais, ce n’est plus le cas ») reste modéré, de 15 à 19 % selon les formes (Tableau 4). C’est donc surtout la régularité, non la fidélité définitive, que la fréquentation déclarée surestime : beaucoup achètent par intermittence plutôt qu’ils n’ont cessé.</w:t>
      </w:r>
    </w:p>
    <w:p>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abandon marqué là où l’engagement est le plus fort : parmi les 116 ménages qui ont un jour été clients d’une AMAP (41 le sont encore, 75 ne le sont plus), près des deux tiers (</w:t>
      </w:r>
      <w:r>
        <w:rPr>
          <w:b/>
          <w:bCs/>
        </w:rPr>
        <w:t xml:space="preserve">65 %</w:t>
      </w:r>
      <w:r>
        <w:t xml:space="preserve">, IC à 95 % : 56–73) ont cessé — chiffre frappant, mais assis sur un effectif modeste, à manier avec prudence.</w:t>
      </w:r>
    </w:p>
    <w:p>
      <w:pPr/>
      <w:r>
        <w:rPr>
          <w:b/>
          <w:bCs/>
        </w:rPr>
        <w:t xml:space="preserve">Tableau 4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8" name="Picture"/>
            <a:graphic>
              <a:graphicData uri="http://schemas.openxmlformats.org/drawingml/2006/picture">
                <pic:pic>
                  <pic:nvPicPr>
                    <pic:cNvPr descr="../../figures/png/fig6_essai_ancrage_nb.png" id="29" name="Picture"/>
                    <pic:cNvPicPr>
                      <a:picLocks noChangeArrowheads="1" noChangeAspect="1"/>
                    </pic:cNvPicPr>
                  </pic:nvPicPr>
                  <pic:blipFill>
                    <a:blip r:embed="rId27"/>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r>
        <w:rPr>
          <w:b/>
          <w:bCs/>
        </w:rPr>
        <w:t xml:space="preserve">Figure 3 : Récence d’achat par forme (vente directe et circuits conventionnels spécialisés)</w:t>
      </w:r>
    </w:p>
    <w:p>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30"/>
    <w:bookmarkStart w:id="34" w:name="cinq-stratégies-dapprovisionnement"/>
    <w:p>
      <w:pPr>
        <w:jc w:val="left"/>
      </w:pPr>
      <w:r>
        <w:rPr>
          <w:rFonts w:ascii="Times New Roman" w:hAnsi="Times New Roman"/>
          <w:b/>
          <w:i w:val="0"/>
          <w:sz w:val="28"/>
        </w:rPr>
        <w:t xml:space="preserve">Cinq stratégies d’approvisionnement</w:t>
      </w:r>
    </w:p>
    <w:p>
      <w:pPr>
        <w:pStyle w:val="FirstParagraph"/>
      </w:pPr>
      <w:r>
        <w:t xml:space="preserve">La typologie fait émerger cinq stratégies distinctes (Figure 4, Tableau 5),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4" title="" id="32" name="Picture"/>
            <a:graphic>
              <a:graphicData uri="http://schemas.openxmlformats.org/drawingml/2006/picture">
                <pic:pic>
                  <pic:nvPicPr>
                    <pic:cNvPr descr="../../figures/png/fig3_plan_factoriel_nb.png" id="33" name="Picture"/>
                    <pic:cNvPicPr>
                      <a:picLocks noChangeArrowheads="1" noChangeAspect="1"/>
                    </pic:cNvPicPr>
                  </pic:nvPicPr>
                  <pic:blipFill>
                    <a:blip r:embed="rId31"/>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4</w:t>
      </w:r>
    </w:p>
    <w:p>
      <w:pPr/>
      <w:r>
        <w:rPr>
          <w:b/>
          <w:bCs/>
        </w:rPr>
        <w:t xml:space="preserve">Figure 4 : Plan factoriel (ACM) et classes de stratégie</w:t>
      </w:r>
    </w:p>
    <w:p>
      <w:pPr/>
      <w:r>
        <w:rPr>
          <w:b/>
          <w:bCs/>
        </w:rPr>
        <w:t xml:space="preserve">Tableau 5 : Les cinq stratégies d’approvisionnement</w:t>
      </w:r>
    </w:p>
    <w:tbl>
      <w:tblPr>
        <w:tblStyle w:val="Table"/>
        <w:tblW w:type="pct" w:w="5000"/>
        <w:tblLayout w:type="fixed"/>
        <w:tblLook w:firstRow="1" w:lastRow="0" w:firstColumn="0" w:lastColumn="0" w:noHBand="0" w:noVBand="0" w:val="0020"/>
      </w:tblPr>
      <w:tblGrid>
        <w:gridCol w:w="1131"/>
        <w:gridCol w:w="514"/>
        <w:gridCol w:w="514"/>
        <w:gridCol w:w="1440"/>
        <w:gridCol w:w="1542"/>
        <w:gridCol w:w="1645"/>
        <w:gridCol w:w="1131"/>
      </w:tblGrid>
      <w:tr>
        <w:trPr>
          <w:tblHeader w:val="on"/>
        </w:trPr>
        <w:tc>
          <w:tcPr/>
          <w:p>
            <w:pPr>
              <w:pStyle w:val="Compact"/>
            </w:pPr>
            <w:r>
              <w:t xml:space="preserve">Stratégie</w:t>
            </w:r>
          </w:p>
        </w:tc>
        <w:tc>
          <w:tcPr/>
          <w:p>
            <w:pPr>
              <w:pStyle w:val="Compact"/>
              <w:jc w:val="center"/>
            </w:pPr>
            <w:r>
              <w:t xml:space="preserve">Part (n)</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jc w:val="center"/>
            </w:pPr>
            <w:r>
              <w:t xml:space="preserve">61 % (624)</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jc w:val="center"/>
            </w:pPr>
            <w:r>
              <w:t xml:space="preserve">24 % (249)</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jc w:val="center"/>
            </w:pPr>
            <w:r>
              <w:t xml:space="preserve">8 % (79)</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jc w:val="center"/>
            </w:pPr>
            <w:r>
              <w:t xml:space="preserve">5 % (47)</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jc w:val="center"/>
            </w:pPr>
            <w:r>
              <w:t xml:space="preserve">2,5 % (26)</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r>
        <w:rPr>
          <w:i/>
          <w:iCs/>
        </w:rPr>
        <w:t xml:space="preserve">« Canaux (fréq. / rég.) » : nombre moyen de canaux fréquentés / utilisés régulièrement (sur 13). Effectifs bruts entre parenthèses ; la classe « adeptes de la proximité » (n = 26) est de faible effectif, ses caractéristiques fines sont indicatives.</w:t>
      </w:r>
    </w:p>
    <w:p>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r>
        <w:t xml:space="preserve">Un enseignement transversal ressort :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toute la typologie. Le taux inclusif croît avec l’ampleur du répertoire de canaux (de 28 % chez les captifs à 100 % chez les explorateurs conventionnels), mais l’usage régulier ne culmine que chez les multi-canal intensifs (67 %) : largeur du répertoire et intensité d’engagement ne se confondent pas. Ce n’est donc pas le profil social qui prédit le mieux la vente directe, mais la</w:t>
      </w:r>
      <w:r>
        <w:t xml:space="preserve"> </w:t>
      </w:r>
      <w:r>
        <w:rPr>
          <w:b/>
          <w:bCs/>
        </w:rPr>
        <w:t xml:space="preserve">configuration d’usage</w:t>
      </w:r>
      <w:r>
        <w:t xml:space="preserve"> </w:t>
      </w:r>
      <w:r>
        <w:t xml:space="preserve">dans laquelle elle s’inscrit — point sur lequel nous revenons en discussion.</w:t>
      </w:r>
    </w:p>
    <w:bookmarkEnd w:id="34"/>
    <w:bookmarkStart w:id="41" w:name="X7f871b1800f415beac489a6ed1e968c0967dae2"/>
    <w:p>
      <w:pPr>
        <w:jc w:val="left"/>
      </w:pPr>
      <w:r>
        <w:rPr>
          <w:rFonts w:ascii="Times New Roman" w:hAnsi="Times New Roman"/>
          <w:b/>
          <w:i w:val="0"/>
          <w:sz w:val="28"/>
        </w:rP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r>
        <w:t xml:space="preserve">La régression logistique du recours à la vente directe (Figure 5 ; N = 1 025, 666 pratiquants)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les deux variables étant modérément liées (V de Cramér diplôme × CSP = 0,29), tandis que le diplôme n’est pas un simple relais du revenu (corrélation diplôme × budget = 0,06). C’est donc l’</w:t>
      </w:r>
      <w:r>
        <w:rPr>
          <w:b/>
          <w:bCs/>
        </w:rPr>
        <w:t xml:space="preserve">éducation</w:t>
      </w:r>
      <w:r>
        <w:t xml:space="preserve">, plus que la position socioprofessionnelle, qui constitue le principal gradient social. Le sexe, l’âge et la taille d’agglomération restent sans effet significatif.</w:t>
      </w:r>
    </w:p>
    <w:p>
      <w:pPr/>
      <w:r>
        <w:t xml:space="preserve">Ce gradient éducatif mérite toutefois une précision qui en dit long : il porte sur le fait d’</w:t>
      </w:r>
      <w:r>
        <w:rPr>
          <w:b/>
          <w:bCs/>
        </w:rPr>
        <w:t xml:space="preserve">avoir essayé</w:t>
      </w:r>
      <w:r>
        <w:t xml:space="preserve"> </w:t>
      </w:r>
      <w:r>
        <w:t xml:space="preserve">la vente directe (définition inclusive), non sur son adoption régulière. Refaite sur la définition stricte — l’achat direct au moins mensuel —, la même régression voit l’effet du diplôme s’évanouir (odds-ratio du bac+3 ramené à 1,22, p = 0,45 ; pseudo-R² = 0,016). Autrement dit, les plus diplômés franchissent un peu plus souvent le pas de l’essai, mais ne sont pas plus enclins que les autres à en faire une habitude. Le profil social prédit marginalement qui goûte à la vente directe ; il ne prédit quasiment pas qui l’adopte — ce qui renvoie, une fois de plus, à la configuration d’usage plutôt qu’à la position sociale.</w:t>
      </w:r>
    </w:p>
    <w:p>
      <w:pPr>
        <w:pStyle w:val="CaptionedFigure"/>
      </w:pPr>
      <w:r>
        <w:drawing>
          <wp:inline>
            <wp:extent cx="5969000" cy="4901190"/>
            <wp:effectExtent b="0" l="0" r="0" t="0"/>
            <wp:docPr descr="Figure 5" title="" id="36" name="Picture"/>
            <a:graphic>
              <a:graphicData uri="http://schemas.openxmlformats.org/drawingml/2006/picture">
                <pic:pic>
                  <pic:nvPicPr>
                    <pic:cNvPr descr="../../figures/png/fig4_regression_or_nb.png" id="37" name="Picture"/>
                    <pic:cNvPicPr>
                      <a:picLocks noChangeArrowheads="1" noChangeAspect="1"/>
                    </pic:cNvPicPr>
                  </pic:nvPicPr>
                  <pic:blipFill>
                    <a:blip r:embed="rId35"/>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5</w:t>
      </w:r>
    </w:p>
    <w:p>
      <w:pPr/>
      <w:r>
        <w:rPr>
          <w:b/>
          <w:bCs/>
        </w:rPr>
        <w:t xml:space="preserve">Figure 5 : Déterminants de l’usage de la vente directe (odds-ratios)</w:t>
      </w:r>
    </w:p>
    <w:p>
      <w:pPr/>
      <w:r>
        <w:t xml:space="preserve">La faiblesse de ce pouvoir explicatif est en soi un résultat : la vente directe n’est pas le marqueur d’un groupe social circonscrit — comme l’illustre le groupe adeptes de la proximité, plus âgé et à budget modeste. Ce constat converge avec Herzig et Zander (2025), pour qui les variables sociodémographiques expliquent finalement peu le comportement d’achat en circuit court.</w:t>
      </w:r>
    </w:p>
    <w:p>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6). La vente directe se joue sur le registre de la qualité et du sens, non sur celui de l’économie monétaire.</w:t>
      </w:r>
    </w:p>
    <w:p>
      <w:pPr>
        <w:pStyle w:val="CaptionedFigure"/>
      </w:pPr>
      <w:r>
        <w:drawing>
          <wp:inline>
            <wp:extent cx="5969000" cy="3501978"/>
            <wp:effectExtent b="0" l="0" r="0" t="0"/>
            <wp:docPr descr="Figure 6" title="" id="39" name="Picture"/>
            <a:graphic>
              <a:graphicData uri="http://schemas.openxmlformats.org/drawingml/2006/picture">
                <pic:pic>
                  <pic:nvPicPr>
                    <pic:cNvPr descr="../../figures/png/fig5_motivations_marche_nb.png" id="40" name="Picture"/>
                    <pic:cNvPicPr>
                      <a:picLocks noChangeArrowheads="1" noChangeAspect="1"/>
                    </pic:cNvPicPr>
                  </pic:nvPicPr>
                  <pic:blipFill>
                    <a:blip r:embed="rId38"/>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6</w:t>
      </w:r>
    </w:p>
    <w:p>
      <w:pPr/>
      <w:r>
        <w:rPr>
          <w:b/>
          <w:bCs/>
        </w:rPr>
        <w:t xml:space="preserve">Figure 6 : Motivations d’achat sur les marchés</w:t>
      </w:r>
    </w:p>
    <w:bookmarkEnd w:id="41"/>
    <w:bookmarkStart w:id="45" w:name="discussion-des-résultats"/>
    <w:p>
      <w:pPr>
        <w:jc w:val="left"/>
      </w:pPr>
      <w:r>
        <w:rPr>
          <w:rFonts w:ascii="Times New Roman" w:hAnsi="Times New Roman"/>
          <w:b/>
          <w:i w:val="0"/>
          <w:sz w:val="28"/>
        </w:rPr>
        <w:t xml:space="preserve">Discussion des résultats</w:t>
      </w:r>
    </w:p>
    <w:bookmarkStart w:id="42" w:name="la-vente-directe-comme-complément-diffus"/>
    <w:p>
      <w:pPr>
        <w:jc w:val="left"/>
      </w:pPr>
      <w:r>
        <w:rPr>
          <w:rFonts w:ascii="Times New Roman" w:hAnsi="Times New Roman"/>
          <w:b w:val="0"/>
          <w:i/>
          <w:sz w:val="24"/>
        </w:rPr>
        <w:t xml:space="preserve">La vente directe comme complément diffus</w:t>
      </w:r>
    </w:p>
    <w:p>
      <w:pPr>
        <w:pStyle w:val="FirstParagraph"/>
      </w:pPr>
      <w:r>
        <w:t xml:space="preserve">Le principal apport de cet article tient à la requalification de la place de la vente directe. Les travaux existants, centrés sur les adeptes ou sur les dispositifs, pouvaient laisser penser à une pratique circonscrite et engagée. Lue à l’échelle du portefeuille de canaux et sur données représentatives, elle se révèle au contraire largement diffusée mais peu intensive : essayée par deux ménages sur trois, mobilisée régulièrement par moins d’un sur cinq, marginale dans le budget. Ce constat rejoint l’idée d’une coexistence plutôt que d’une rupture entre circuits (Goodman et DuPuis, 2002 ; Sage, 2003), mais il la quantifie du point de vue du consommateur — et, plus précisément qu’une analogie, il prolonge ce que la distribution a établi sur la</w:t>
      </w:r>
      <w:r>
        <w:t xml:space="preserve"> </w:t>
      </w:r>
      <w:r>
        <w:rPr>
          <w:b/>
          <w:bCs/>
        </w:rPr>
        <w:t xml:space="preserve">complémentarité</w:t>
      </w:r>
      <w:r>
        <w:t xml:space="preserve"> </w:t>
      </w:r>
      <w:r>
        <w:t xml:space="preserve">des canaux. De même que l’ouverture de magasins physiques accroît le chiffre d’affaires total d’un distributeur — de l’ordre de 20 % —, la logique de complémentarité l’emportant sur la cannibalisation de ses autres canaux (Pauwels et Neslin, 2015), la vente directe fonctionne, à l’échelle du ménage, comme un canal</w:t>
      </w:r>
      <w:r>
        <w:t xml:space="preserve"> </w:t>
      </w:r>
      <w:r>
        <w:rPr>
          <w:b/>
          <w:bCs/>
        </w:rPr>
        <w:t xml:space="preserve">additionnel</w:t>
      </w:r>
      <w:r>
        <w:t xml:space="preserve"> </w:t>
      </w:r>
      <w:r>
        <w:t xml:space="preserve">dont la fonction (fraîcheur, lien au producteur) ne recoupe pas celle de l’hypermarché, et non comme un concurrent auquel il faudrait retirer du budget. La lecture par les buts (Harris et al., 2018, 2021) éclaire pourquoi cette complémentarité reste peu intensive : la vente directe répond à des buts</w:t>
      </w:r>
      <w:r>
        <w:t xml:space="preserve"> </w:t>
      </w:r>
      <w:r>
        <w:rPr>
          <w:b/>
          <w:bCs/>
        </w:rPr>
        <w:t xml:space="preserve">ponctuels</w:t>
      </w:r>
      <w:r>
        <w:t xml:space="preserve"> </w:t>
      </w:r>
      <w:r>
        <w:t xml:space="preserve">— une occasion, une envie de produits frais — plutôt qu’à un but stable et récurrent, ce qui explique qu’elle soit largement essayée sans devenir un canal d’approvisionnement régulier pour la majorité.</w:t>
      </w:r>
    </w:p>
    <w:bookmarkEnd w:id="42"/>
    <w:bookmarkStart w:id="43" w:name="X1ceaee95a05493161d744855b63c55b4af59aa9"/>
    <w:p>
      <w:pPr>
        <w:jc w:val="left"/>
      </w:pPr>
      <w:r>
        <w:rPr>
          <w:rFonts w:ascii="Times New Roman" w:hAnsi="Times New Roman"/>
          <w:b w:val="0"/>
          <w:i/>
          <w:sz w:val="24"/>
        </w:rPr>
        <w:t xml:space="preserve">Une transversalité sociale qui tient à la fonction</w:t>
      </w:r>
    </w:p>
    <w:p>
      <w:pPr>
        <w:pStyle w:val="FirstParagraph"/>
      </w:pPr>
      <w:r>
        <w:t xml:space="preserve">Le second apport concerne la faible détermination sociale de la pratique. Contre une lecture distinctive qui réserverait les circuits courts aux catégories aisées et urbaines, nos données montrent une diffusion transversale, dont témoigne le petit groupe de ménages hors-hypermarché à budget modeste. La sur-représentation des plus diplômés est réelle mais modérée — et, on l’a vu, elle ne vaut que pour l’essai, non pour l’adoption régulière. Lu à la lumière des motivations à combiner les canaux, ce résultat n’est pas une anomalie : si le recours à la vente directe dépend moins d’un profil que d’un but ponctuel activé dans certaines situations d’achat (Hino, 2014 ; Harris et al., 2018), alors sa faible détermination sociodémographique est la</w:t>
      </w:r>
      <w:r>
        <w:t xml:space="preserve"> </w:t>
      </w:r>
      <w:r>
        <w:rPr>
          <w:b/>
          <w:bCs/>
        </w:rPr>
        <w:t xml:space="preserve">conséquence logique de sa fonction</w:t>
      </w:r>
      <w:r>
        <w:t xml:space="preserve">, non une singularité à expliquer.</w:t>
      </w:r>
    </w:p>
    <w:bookmarkEnd w:id="43"/>
    <w:bookmarkStart w:id="44" w:name="X42bddffd3b8151c2ab10e23a331c071586deea7"/>
    <w:p>
      <w:pPr>
        <w:jc w:val="left"/>
      </w:pPr>
      <w:r>
        <w:rPr>
          <w:rFonts w:ascii="Times New Roman" w:hAnsi="Times New Roman"/>
          <w:b w:val="0"/>
          <w:i/>
          <w:sz w:val="24"/>
        </w:rPr>
        <w:t xml:space="preserve">Les stratégies d’approvisionnement comme grille de lecture</w:t>
      </w:r>
    </w:p>
    <w:p>
      <w:pPr>
        <w:pStyle w:val="FirstParagraph"/>
      </w:pPr>
      <w:r>
        <w:t xml:space="preserve">La typologie en cinq classes illustre l’intérêt d’une approche par les portefeuilles : elle déplace l’attention des individus vers les</w:t>
      </w:r>
      <w:r>
        <w:t xml:space="preserve"> </w:t>
      </w:r>
      <w:r>
        <w:rPr>
          <w:b/>
          <w:bCs/>
        </w:rPr>
        <w:t xml:space="preserve">configurations d’usage</w:t>
      </w:r>
      <w:r>
        <w:t xml:space="preserve">. Ce n’est pas tant le profil sociodémographique qui prédit la vente directe que la stratégie d’approvisionnement dans laquelle elle s’inscrit — les multi-canal intensifs l’intègrent à un répertoire dense, les captifs s’en tiennent à distance, les adeptes de la proximité en font un pivot par défaut. Cette lecture rejoint les travaux de Hino (2014) sur l’usage sélectif des formats : les ménages n’adoptent pas un canal en bloc, ils l’intègrent — ou non — à des routines d’achat déjà constituées, sous l’effet de contraintes matérielles et temporelles autant que de choix délibérés.</w:t>
      </w:r>
    </w:p>
    <w:bookmarkEnd w:id="44"/>
    <w:bookmarkEnd w:id="45"/>
    <w:bookmarkStart w:id="46" w:name="ce-que-les-acteurs-peuvent-en-faire"/>
    <w:p>
      <w:pPr>
        <w:jc w:val="left"/>
      </w:pPr>
      <w:r>
        <w:rPr>
          <w:rFonts w:ascii="Times New Roman" w:hAnsi="Times New Roman"/>
          <w:b/>
          <w:i w:val="0"/>
          <w:sz w:val="28"/>
        </w:rPr>
        <w:t xml:space="preserve">Ce que les acteurs peuvent en faire</w:t>
      </w:r>
    </w:p>
    <w:p>
      <w:pPr>
        <w:pStyle w:val="FirstParagraph"/>
      </w:pPr>
      <w:r>
        <w:t xml:space="preserve">Ces résultats déplacent le diagnostic habituel. Tant que la vente directe est pensée comme une niche à diffuser, l’effort porte sur la sensibilisation et la conquête de nouveaux convaincus ; or la conquête est, pour l’essentiel, déjà faite. L’enjeu n’est pas d’ouvrir le canal à de nouveaux publics, mais de le</w:t>
      </w:r>
      <w:r>
        <w:t xml:space="preserve"> </w:t>
      </w:r>
      <w:r>
        <w:rPr>
          <w:b/>
          <w:bCs/>
        </w:rPr>
        <w:t xml:space="preserve">rendre régulier</w:t>
      </w:r>
      <w:r>
        <w:t xml:space="preserve"> </w:t>
      </w:r>
      <w:r>
        <w:t xml:space="preserve">chez ceux qui l’ont déjà essayé. Cette bascule — de l’acquisition vers la fidélisation, du convaincre vers le faciliter — structure quatre recommandations (Encadré 3), adressées prioritairement aux producteurs et réseaux de vente directe et aux collectivités.</w:t>
      </w:r>
    </w:p>
    <w:p>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Un ordre de grandeur le montre : les 17 % de réguliers actuels portent une part nationale de 1,5 % à une intensité de 8,5 % de leur budget ; si les essayeurs irréguliers atteignaient cette même régularité, la part nationale de la vente directe passerait mécaniquement à environ</w:t>
      </w:r>
      <w:r>
        <w:t xml:space="preserve"> </w:t>
      </w:r>
      <w:r>
        <w:rPr>
          <w:b/>
          <w:bCs/>
        </w:rPr>
        <w:t xml:space="preserve">4 %</w:t>
      </w:r>
      <w:r>
        <w:t xml:space="preserve"> </w:t>
      </w:r>
      <w:r>
        <w:t xml:space="preserve">— un quasi-triplement, hors de portée du seul recrutement, la pénétration étant déjà proche de son plafond. Cette projection est une borne haute (elle suppose que les convertis achètent aussi intensément que les réguliers d’aujourd’hui) ; elle vaut comme ordre de grandeur, non comme prévision. Pour les producteurs et les réseaux, cela oriente l’effort vers les</w:t>
      </w:r>
      <w:r>
        <w:t xml:space="preserve"> </w:t>
      </w:r>
      <w:r>
        <w:rPr>
          <w:b/>
          <w:bCs/>
        </w:rPr>
        <w:t xml:space="preserve">dispositifs de régularité</w:t>
      </w:r>
      <w:r>
        <w:t xml:space="preserve"> </w:t>
      </w:r>
      <w:r>
        <w:t xml:space="preserve">: abonnements et paniers récurrents à engagement souple, points de retrait sur les trajets domicile-travail plutôt qu’au seul lieu de production, élargissement des gammes pour couvrir une plus grande part du panier, horaires compatibles avec les actifs, animation de la relation client. La lecture omnicanale invite à ne pas opposer physique et numérique : la précommande en ligne assortie d’un retrait physique combine la commodité attendue et le contact direct valorisé.</w:t>
      </w:r>
    </w:p>
    <w:p>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r>
        <w:rPr>
          <w:b/>
          <w:bCs/>
        </w:rPr>
        <w:t xml:space="preserve">Cibler large, pas une niche.</w:t>
      </w:r>
      <w:r>
        <w:t xml:space="preserve"> </w:t>
      </w:r>
      <w:r>
        <w:t xml:space="preserve">La vente directe restant faiblement déterminée socialement — le modèle n’explique que 3 % de la variance, avec pour seul gradient net un léger sur-recours des plus diplômés, et encore à l’essai seulement —, il n’y a pas lieu de la réserver, dans le ciblage marketing, à un segment aisé et urbain. Les dispositifs peuvent viser tous les publics, budgets modestes compris : le profil adeptes de la proximité montre qu’un approvisionnement de proximité à petit budget est déjà pratiqué. Cela plaide pour une segmentation par la</w:t>
      </w:r>
      <w:r>
        <w:t xml:space="preserve"> </w:t>
      </w:r>
      <w:r>
        <w:rPr>
          <w:b/>
          <w:bCs/>
        </w:rPr>
        <w:t xml:space="preserve">stratégie d’approvisionnement</w:t>
      </w:r>
      <w:r>
        <w:t xml:space="preserve"> </w:t>
      </w:r>
      <w:r>
        <w:t xml:space="preserve">plutôt que par le revenu ou la CSP. Que le seul gradient net passe par le</w:t>
      </w:r>
      <w:r>
        <w:t xml:space="preserve"> </w:t>
      </w:r>
      <w:r>
        <w:rPr>
          <w:b/>
          <w:bCs/>
        </w:rPr>
        <w:t xml:space="preserve">diplôme</w:t>
      </w:r>
      <w:r>
        <w:t xml:space="preserve"> </w:t>
      </w:r>
      <w:r>
        <w:t xml:space="preserve">oriente d’ailleurs vers un frein</w:t>
      </w:r>
      <w:r>
        <w:t xml:space="preserve"> </w:t>
      </w:r>
      <w:r>
        <w:rPr>
          <w:b/>
          <w:bCs/>
        </w:rPr>
        <w:t xml:space="preserve">informationnel</w:t>
      </w:r>
      <w:r>
        <w:t xml:space="preserve"> </w:t>
      </w:r>
      <w:r>
        <w:t xml:space="preserve">— savoir où trouver ces circuits, en comprendre le fonctionnement, comme le confirme le déficit de notoriété de l’AMAP — davantage que financier : le levier n’est pas de rendre la vente directe moins chère, mais plus</w:t>
      </w:r>
      <w:r>
        <w:t xml:space="preserve"> </w:t>
      </w:r>
      <w:r>
        <w:rPr>
          <w:b/>
          <w:bCs/>
        </w:rPr>
        <w:t xml:space="preserve">lisible et accessible</w:t>
      </w:r>
      <w:r>
        <w:t xml:space="preserve">.</w:t>
      </w:r>
    </w:p>
    <w:p>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pPr/>
      <w:r>
        <w:t xml:space="preserve">Ces leviers ne s’appliquent pas uniformément : la segmentation par les stratégies d’approvisionnement indique où porter l’effort et sur qui il est vain (Tableau 6). L’effort de conversion vise en priorité les configurations qui essaient sans pérenniser — multi-canal modérés et explorateurs conventionnels —, tandis que les captifs relèvent d’un travail d’accès et de notoriété, et que les intensifs, déjà acquis, ne sont un enjeu que de maintien.</w:t>
      </w:r>
    </w:p>
    <w:p>
      <w:pPr/>
      <w:r>
        <w:rPr>
          <w:b/>
          <w:bCs/>
        </w:rPr>
        <w:t xml:space="preserve">Tableau 6 : Levier prioritaire par stratégie d’approvisionnement et par acteur</w:t>
      </w:r>
    </w:p>
    <w:tbl>
      <w:tblPr>
        <w:tblStyle w:val="Table"/>
        <w:tblW w:type="pct" w:w="5000"/>
        <w:tblLayout w:type="fixed"/>
        <w:tblLook w:firstRow="1" w:lastRow="0" w:firstColumn="0" w:lastColumn="0" w:noHBand="0" w:noVBand="0" w:val="0020"/>
      </w:tblPr>
      <w:tblGrid>
        <w:gridCol w:w="1370"/>
        <w:gridCol w:w="3198"/>
        <w:gridCol w:w="1523"/>
        <w:gridCol w:w="1827"/>
      </w:tblGrid>
      <w:tr>
        <w:trPr>
          <w:tblHeader w:val="on"/>
        </w:trPr>
        <w:tc>
          <w:tcPr/>
          <w:p>
            <w:pPr>
              <w:pStyle w:val="Compact"/>
            </w:pPr>
            <w:r>
              <w:t xml:space="preserve">Stratégie (part)</w:t>
            </w:r>
          </w:p>
        </w:tc>
        <w:tc>
          <w:tcPr/>
          <w:p>
            <w:pPr>
              <w:pStyle w:val="Compact"/>
            </w:pPr>
            <w:r>
              <w:t xml:space="preserve">Situation vis-à-vis de la vente directe</w:t>
            </w:r>
          </w:p>
        </w:tc>
        <w:tc>
          <w:tcPr/>
          <w:p>
            <w:pPr>
              <w:pStyle w:val="Compact"/>
            </w:pPr>
            <w:r>
              <w:t xml:space="preserve">Levier prioritaire</w:t>
            </w:r>
          </w:p>
        </w:tc>
        <w:tc>
          <w:tcPr/>
          <w:p>
            <w:pPr>
              <w:pStyle w:val="Compact"/>
            </w:pPr>
            <w:r>
              <w:t xml:space="preserve">Acteur le mieux placé</w:t>
            </w:r>
          </w:p>
        </w:tc>
      </w:tr>
      <w:tr>
        <w:tc>
          <w:tcPr/>
          <w:p>
            <w:pPr>
              <w:pStyle w:val="Compact"/>
            </w:pPr>
            <w:r>
              <w:t xml:space="preserve">Multi-canal modérés (61 %)</w:t>
            </w:r>
          </w:p>
        </w:tc>
        <w:tc>
          <w:tcPr/>
          <w:p>
            <w:pPr>
              <w:pStyle w:val="Compact"/>
            </w:pPr>
            <w:r>
              <w:t xml:space="preserve">Essaient, faible régularité</w:t>
            </w:r>
          </w:p>
        </w:tc>
        <w:tc>
          <w:tcPr/>
          <w:p>
            <w:pPr>
              <w:pStyle w:val="Compact"/>
            </w:pPr>
            <w:r>
              <w:t xml:space="preserve">Convertir l’essai en habitude : abonnements souples, gammes élargies</w:t>
            </w:r>
          </w:p>
        </w:tc>
        <w:tc>
          <w:tcPr/>
          <w:p>
            <w:pPr>
              <w:pStyle w:val="Compact"/>
            </w:pPr>
            <w:r>
              <w:t xml:space="preserve">Producteurs, réseaux</w:t>
            </w:r>
          </w:p>
        </w:tc>
      </w:tr>
      <w:tr>
        <w:tc>
          <w:tcPr/>
          <w:p>
            <w:pPr>
              <w:pStyle w:val="Compact"/>
            </w:pPr>
            <w:r>
              <w:t xml:space="preserve">Captifs de la grande distribution (24 %)</w:t>
            </w:r>
          </w:p>
        </w:tc>
        <w:tc>
          <w:tcPr/>
          <w:p>
            <w:pPr>
              <w:pStyle w:val="Compact"/>
            </w:pPr>
            <w:r>
              <w:t xml:space="preserve">Peu ou pas d’achat direct</w:t>
            </w:r>
          </w:p>
        </w:tc>
        <w:tc>
          <w:tcPr/>
          <w:p>
            <w:pPr>
              <w:pStyle w:val="Compact"/>
            </w:pPr>
            <w:r>
              <w:t xml:space="preserve">Accès et notoriété : points de vente sur les trajets, information</w:t>
            </w:r>
          </w:p>
        </w:tc>
        <w:tc>
          <w:tcPr/>
          <w:p>
            <w:pPr>
              <w:pStyle w:val="Compact"/>
            </w:pPr>
            <w:r>
              <w:t xml:space="preserve">Collectivités, réseaux</w:t>
            </w:r>
          </w:p>
        </w:tc>
      </w:tr>
      <w:tr>
        <w:tc>
          <w:tcPr/>
          <w:p>
            <w:pPr>
              <w:pStyle w:val="Compact"/>
            </w:pPr>
            <w:r>
              <w:t xml:space="preserve">Multi-canal intensifs (8 %)</w:t>
            </w:r>
          </w:p>
        </w:tc>
        <w:tc>
          <w:tcPr/>
          <w:p>
            <w:pPr>
              <w:pStyle w:val="Compact"/>
            </w:pPr>
            <w:r>
              <w:t xml:space="preserve">Déjà adoptée et régulière</w:t>
            </w:r>
          </w:p>
        </w:tc>
        <w:tc>
          <w:tcPr/>
          <w:p>
            <w:pPr>
              <w:pStyle w:val="Compact"/>
            </w:pPr>
            <w:r>
              <w:t xml:space="preserve">Maintenir : fidélisation, diversité de l’offre</w:t>
            </w:r>
          </w:p>
        </w:tc>
        <w:tc>
          <w:tcPr/>
          <w:p>
            <w:pPr>
              <w:pStyle w:val="Compact"/>
            </w:pPr>
            <w:r>
              <w:t xml:space="preserve">Producteurs</w:t>
            </w:r>
          </w:p>
        </w:tc>
      </w:tr>
      <w:tr>
        <w:tc>
          <w:tcPr/>
          <w:p>
            <w:pPr>
              <w:pStyle w:val="Compact"/>
            </w:pPr>
            <w:r>
              <w:t xml:space="preserve">Explorateurs conventionnels (5 %)</w:t>
            </w:r>
          </w:p>
        </w:tc>
        <w:tc>
          <w:tcPr/>
          <w:p>
            <w:pPr>
              <w:pStyle w:val="Compact"/>
            </w:pPr>
            <w:r>
              <w:t xml:space="preserve">Essaient tout, ne retiennent rien</w:t>
            </w:r>
          </w:p>
        </w:tc>
        <w:tc>
          <w:tcPr/>
          <w:p>
            <w:pPr>
              <w:pStyle w:val="Compact"/>
            </w:pPr>
            <w:r>
              <w:t xml:space="preserve">Faire basculer vers la routine : régularité, engagement souple</w:t>
            </w:r>
          </w:p>
        </w:tc>
        <w:tc>
          <w:tcPr/>
          <w:p>
            <w:pPr>
              <w:pStyle w:val="Compact"/>
            </w:pPr>
            <w:r>
              <w:t xml:space="preserve">Producteurs, réseaux</w:t>
            </w:r>
          </w:p>
        </w:tc>
      </w:tr>
      <w:tr>
        <w:tc>
          <w:tcPr/>
          <w:p>
            <w:pPr>
              <w:pStyle w:val="Compact"/>
            </w:pPr>
            <w:r>
              <w:t xml:space="preserve">Adeptes de la proximité (2,5 %)</w:t>
            </w:r>
          </w:p>
        </w:tc>
        <w:tc>
          <w:tcPr/>
          <w:p>
            <w:pPr>
              <w:pStyle w:val="Compact"/>
            </w:pPr>
            <w:r>
              <w:t xml:space="preserve">Approvisionnement de proximité à petit budget</w:t>
            </w:r>
          </w:p>
        </w:tc>
        <w:tc>
          <w:tcPr/>
          <w:p>
            <w:pPr>
              <w:pStyle w:val="Compact"/>
            </w:pPr>
            <w:r>
              <w:t xml:space="preserve">Sécuriser l’offre locale accessible et abordable</w:t>
            </w:r>
          </w:p>
        </w:tc>
        <w:tc>
          <w:tcPr/>
          <w:p>
            <w:pPr>
              <w:pStyle w:val="Compact"/>
            </w:pPr>
            <w:r>
              <w:t xml:space="preserve">Collectivités</w:t>
            </w:r>
          </w:p>
        </w:tc>
      </w:tr>
    </w:tbl>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adopté,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 seul gradient net, et sur l’essai plus que sur l’adoption, est le diplôme, signe d’un frein informationnel (notoriété, lisibilité) plus que financier.</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46"/>
    <w:bookmarkStart w:id="47" w:name="limites-et-voies-de-recherche"/>
    <w:p>
      <w:pPr>
        <w:jc w:val="left"/>
      </w:pPr>
      <w:r>
        <w:rPr>
          <w:rFonts w:ascii="Times New Roman" w:hAnsi="Times New Roman"/>
          <w:b/>
          <w:i w:val="0"/>
          <w:sz w:val="28"/>
        </w:rP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À l’inverse, la « seconde porte » — l’achat déclaré directement à un producteur sur le marché — repose sur une auto-déclaration dont la fiabilité est incertaine, une partie des vendeurs de marché étant en réalité des revendeurs : la pénétration inclusive de 65 % constitue à ce titre une borne haute, et c’est pourquoi nous distinguons systématiquement cette mesure de la pénétration régulière (17 %) et du poids budgétaire (1,5 %). Enfin, la plus petite classe (adeptes de la proximité, n = 26) appelle la prudence dans l’interprétation de ses caractéristiques fines, la partition d’ensemble présentant une silhouette modérée (0,24) ; et les motivations n’ont été analysées que pour le canal des marchés.</w:t>
      </w:r>
    </w:p>
    <w:p>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7"/>
    <w:bookmarkStart w:id="48" w:name="références"/>
    <w:p>
      <w:pPr>
        <w:jc w:val="left"/>
      </w:pPr>
      <w:r>
        <w:rPr>
          <w:rFonts w:ascii="Times New Roman" w:hAnsi="Times New Roman"/>
          <w:b/>
          <w:i w:val="0"/>
          <w:sz w:val="28"/>
        </w:rP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r>
        <w:t xml:space="preserve">Chiffoleau Y. (2019),</w:t>
      </w:r>
      <w:r>
        <w:t xml:space="preserve"> </w:t>
      </w:r>
      <w:r>
        <w:rPr>
          <w:i/>
          <w:iCs/>
        </w:rPr>
        <w:t xml:space="preserve">Les circuits courts alimentaires : entre marché et innovation sociale</w:t>
      </w:r>
      <w:r>
        <w:t xml:space="preserve">, Toulouse, Érès.</w:t>
      </w:r>
    </w:p>
    <w:p>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r>
        <w:t xml:space="preserve">Enthoven L. et Van den Broeck G. (2021), Local food systems: reviewing two decades of research,</w:t>
      </w:r>
      <w:r>
        <w:t xml:space="preserve"> </w:t>
      </w:r>
      <w:r>
        <w:rPr>
          <w:i/>
          <w:iCs/>
        </w:rPr>
        <w:t xml:space="preserve">Agricultural Systems</w:t>
      </w:r>
      <w:r>
        <w:t xml:space="preserve">, 193: 103226.</w:t>
      </w:r>
    </w:p>
    <w:p>
      <w:pPr/>
      <w:r>
        <w:t xml:space="preserve">Feldmann C. et Hamm U. (2015), Consumers’ perceptions and preferences for local food: a review,</w:t>
      </w:r>
      <w:r>
        <w:t xml:space="preserve"> </w:t>
      </w:r>
      <w:r>
        <w:rPr>
          <w:i/>
          <w:iCs/>
        </w:rPr>
        <w:t xml:space="preserve">Food Quality and Preference</w:t>
      </w:r>
      <w:r>
        <w:t xml:space="preserve">, 40: 152-164.</w:t>
      </w:r>
    </w:p>
    <w:p>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r>
        <w:t xml:space="preserve">Hai Tran V. et Sirieix L. (2020), Shopping and cross-shopping practices in Hanoi Vietnam: an emerging urban market context,</w:t>
      </w:r>
      <w:r>
        <w:t xml:space="preserve"> </w:t>
      </w:r>
      <w:r>
        <w:rPr>
          <w:i/>
          <w:iCs/>
        </w:rPr>
        <w:t xml:space="preserve">Journal of Retailing and Consumer Services</w:t>
      </w:r>
      <w:r>
        <w:t xml:space="preserve">, 56: 102178.</w:t>
      </w:r>
    </w:p>
    <w:p>
      <w:pPr/>
      <w:r>
        <w:t xml:space="preserve">Harris P., Dall’Olmo Riley F. et Hand C. (2018), Understanding multichannel shopper journey configuration: an application of goal theory,</w:t>
      </w:r>
      <w:r>
        <w:t xml:space="preserve"> </w:t>
      </w:r>
      <w:r>
        <w:rPr>
          <w:i/>
          <w:iCs/>
        </w:rPr>
        <w:t xml:space="preserve">Journal of Retailing and Consumer Services</w:t>
      </w:r>
      <w:r>
        <w:t xml:space="preserve">, 44: 108-117.</w:t>
      </w:r>
    </w:p>
    <w:p>
      <w:pPr/>
      <w:r>
        <w:t xml:space="preserve">Harris P., Dall’Olmo Riley F. et Hand C. (2021), Multichannel shopping: the effect of decision making style on shopper journey configuration and satisfaction,</w:t>
      </w:r>
      <w:r>
        <w:t xml:space="preserve"> </w:t>
      </w:r>
      <w:r>
        <w:rPr>
          <w:i/>
          <w:iCs/>
        </w:rPr>
        <w:t xml:space="preserve">Journal of Retailing and Consumer Services</w:t>
      </w:r>
      <w:r>
        <w:t xml:space="preserve">, 58: 102286.</w:t>
      </w:r>
    </w:p>
    <w:p>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r>
        <w:t xml:space="preserve">Hino H. (2014), Shopping at different food retail formats: understanding cross-shopping behavior through retail format selective use patterns,</w:t>
      </w:r>
      <w:r>
        <w:t xml:space="preserve"> </w:t>
      </w:r>
      <w:r>
        <w:rPr>
          <w:i/>
          <w:iCs/>
        </w:rPr>
        <w:t xml:space="preserve">European Journal of Marketing</w:t>
      </w:r>
      <w:r>
        <w:t xml:space="preserve">, 48(3-4): 674-698.</w:t>
      </w:r>
    </w:p>
    <w:p>
      <w:pPr/>
      <w:r>
        <w:t xml:space="preserve">Lamine C. et Perrot N. (2008),</w:t>
      </w:r>
      <w:r>
        <w:t xml:space="preserve"> </w:t>
      </w:r>
      <w:r>
        <w:rPr>
          <w:i/>
          <w:iCs/>
        </w:rPr>
        <w:t xml:space="preserve">Les AMAP : un nouveau pacte entre producteurs et consommateurs ?</w:t>
      </w:r>
      <w:r>
        <w:t xml:space="preserve">, Gap, Yves Michel.</w:t>
      </w:r>
    </w:p>
    <w:p>
      <w:pPr/>
      <w:r>
        <w:t xml:space="preserve">Maréchal G. (coord.) (2008),</w:t>
      </w:r>
      <w:r>
        <w:t xml:space="preserve"> </w:t>
      </w:r>
      <w:r>
        <w:rPr>
          <w:i/>
          <w:iCs/>
        </w:rPr>
        <w:t xml:space="preserve">Les circuits courts alimentaires : bien manger dans les territoires</w:t>
      </w:r>
      <w:r>
        <w:t xml:space="preserve">, Dijon, Educagri.</w:t>
      </w:r>
    </w:p>
    <w:p>
      <w:pPr/>
      <w:r>
        <w:t xml:space="preserve">Melis K., Campo K., Lamey L. et Breugelmans E. (2016), A bigger slice of the multichannel grocery pie: when does consumers’ online channel use expand retailers’ share of wallet?,</w:t>
      </w:r>
      <w:r>
        <w:t xml:space="preserve"> </w:t>
      </w:r>
      <w:r>
        <w:rPr>
          <w:i/>
          <w:iCs/>
        </w:rPr>
        <w:t xml:space="preserve">Journal of Retailing</w:t>
      </w:r>
      <w:r>
        <w:t xml:space="preserve">, 92(3): 268-286.</w:t>
      </w:r>
    </w:p>
    <w:p>
      <w:pPr/>
      <w:r>
        <w:t xml:space="preserve">Ministère de l’Agriculture et de l’Alimentation (2009),</w:t>
      </w:r>
      <w:r>
        <w:t xml:space="preserve"> </w:t>
      </w:r>
      <w:r>
        <w:rPr>
          <w:i/>
          <w:iCs/>
        </w:rPr>
        <w:t xml:space="preserve">Plan d’action pour développer les circuits courts</w:t>
      </w:r>
      <w:r>
        <w:t xml:space="preserve">, avril.</w:t>
      </w:r>
    </w:p>
    <w:p>
      <w:pPr/>
      <w:r>
        <w:t xml:space="preserve">Mustapa M.A.A. et Kallas Z. (2025), Meta-analysis of consumer willingness to pay for short food supply chain products,</w:t>
      </w:r>
      <w:r>
        <w:t xml:space="preserve"> </w:t>
      </w:r>
      <w:r>
        <w:rPr>
          <w:i/>
          <w:iCs/>
        </w:rPr>
        <w:t xml:space="preserve">Global Challenges</w:t>
      </w:r>
      <w:r>
        <w:t xml:space="preserve">, 9(3).</w:t>
      </w:r>
    </w:p>
    <w:p>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r>
        <w:t xml:space="preserve">Pauwels K. et Neslin S.A. (2015), Building with bricks and mortar: the revenue impact of opening physical stores in a multichannel environment,</w:t>
      </w:r>
      <w:r>
        <w:t xml:space="preserve"> </w:t>
      </w:r>
      <w:r>
        <w:rPr>
          <w:i/>
          <w:iCs/>
        </w:rPr>
        <w:t xml:space="preserve">Journal of Retailing</w:t>
      </w:r>
      <w:r>
        <w:t xml:space="preserve">, 91(2): 182-197.</w:t>
      </w:r>
    </w:p>
    <w:p>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r>
        <w:t xml:space="preserve">Verhoef P.C., Kannan P.K. et Inman J.J. (2015), From multi-channel retailing to omni-channel retailing,</w:t>
      </w:r>
      <w:r>
        <w:t xml:space="preserve"> </w:t>
      </w:r>
      <w:r>
        <w:rPr>
          <w:i/>
          <w:iCs/>
        </w:rPr>
        <w:t xml:space="preserve">Journal of Retailing</w:t>
      </w:r>
      <w:r>
        <w:t xml:space="preserve">, 91(2): 174-181.</w:t>
      </w:r>
    </w:p>
    <w:p>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r>
        <w:t xml:space="preserve">Volle P. (coord.) (2012),</w:t>
      </w:r>
      <w:r>
        <w:t xml:space="preserve"> </w:t>
      </w:r>
      <w:r>
        <w:rPr>
          <w:i/>
          <w:iCs/>
        </w:rPr>
        <w:t xml:space="preserve">Stratégie clients : points de vue d’experts sur le management de la relation client</w:t>
      </w:r>
      <w:r>
        <w:t xml:space="preserve">, Paris, Pearson.</w:t>
      </w:r>
    </w:p>
    <w:p>
      <w:pPr/>
      <w:r>
        <w:t xml:space="preserve">Vroegrijk M., Gijsbrechts E. et Campo K. (2013), Close encounter with the hard discounter: a multiple-store shopping perspective on the impact of local hard-discounter entry,</w:t>
      </w:r>
      <w:r>
        <w:t xml:space="preserve"> </w:t>
      </w:r>
      <w:r>
        <w:rPr>
          <w:i/>
          <w:iCs/>
        </w:rPr>
        <w:t xml:space="preserve">Journal of Marketing Research</w:t>
      </w:r>
      <w:r>
        <w:t xml:space="preserve">, 50(5): 606-626.</w:t>
      </w:r>
    </w:p>
    <w:bookmarkEnd w:id="48"/>
    <w:bookmarkEnd w:id="49"/>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institutionnelles et professionnelles convergentes sur ce point (voir Agreste, 2023)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jc w:val="both"/>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31" Type="http://schemas.openxmlformats.org/officeDocument/2006/relationships/image" Target="media/rId31.png"/><Relationship Id="rId35" Type="http://schemas.openxmlformats.org/officeDocument/2006/relationships/image" Target="media/rId35.png"/><Relationship Id="rId38" Type="http://schemas.openxmlformats.org/officeDocument/2006/relationships/image" Target="media/rId38.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Beaucoup l’essaient, peu l’adoptent »</dc:title>
  <dc:creator/>
  <dc:language>fr</dc:language>
  <cp:keywords/>
  <dcterms:created xsi:type="dcterms:W3CDTF">2026-07-15T14:52:17Z</dcterms:created>
  <dcterms:modified xsi:type="dcterms:W3CDTF">2026-07-15T14:52:17Z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 vente directe dans les stratégies d’approvisionnement des ménages français</vt:lpwstr>
  </property>
</Properties>
</file>