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af2a5b6927159dbc9d9dad019d1c2c24e7160b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Page de titre — soumission</w:t>
      </w:r>
      <w:r>
        <w:rPr>
          <w:rFonts w:ascii="Times New Roman" w:hAnsi="Times New Roman"/>
          <w:b/>
          <w:i w:val="0"/>
          <w:sz w:val="28"/>
        </w:rPr>
        <w:t xml:space="preserve"> </w:t>
      </w:r>
      <w:r>
        <w:rPr>
          <w:rFonts w:ascii="Times New Roman" w:hAnsi="Times New Roman"/>
          <w:b/>
          <w:i w:val="0"/>
          <w:iCs/>
          <w:sz w:val="28"/>
        </w:rPr>
        <w:t xml:space="preserve">Décisions Marketing</w:t>
      </w:r>
    </w:p>
    <w:p>
      <w:pPr>
        <w:pStyle w:val="BlockText"/>
      </w:pPr>
      <w:r>
        <w:rPr>
          <w:b/>
          <w:bCs/>
        </w:rPr>
        <w:t xml:space="preserve">À soumettre séparément du manuscrit</w:t>
      </w:r>
      <w:r>
        <w:t xml:space="preserve"> </w:t>
      </w:r>
      <w:r>
        <w:t xml:space="preserve">(le corps de l’article est anonymisé pour l’évaluation en double aveugle).</w:t>
      </w:r>
    </w:p>
    <w:bookmarkStart w:id="9" w:name="titre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Titre</w:t>
      </w:r>
    </w:p>
    <w:p>
      <w:pPr>
        <w:pStyle w:val="FirstParagraph"/>
      </w:pPr>
      <w:r>
        <w:rPr>
          <w:b/>
          <w:bCs/>
        </w:rPr>
        <w:t xml:space="preserve">« Beaucoup l’essaient, peu l’adoptent »</w:t>
      </w:r>
      <w:r>
        <w:t xml:space="preserve"> </w:t>
      </w:r>
      <w:r>
        <w:rPr>
          <w:i/>
          <w:iCs/>
        </w:rPr>
        <w:t xml:space="preserve">La vente directe dans les stratégies d’approvisionnement des ménages français</w:t>
      </w:r>
    </w:p>
    <w:p>
      <w:pPr/>
      <w:r>
        <w:rPr>
          <w:b/>
          <w:bCs/>
        </w:rPr>
        <w:t xml:space="preserve">Titre en anglais :</w:t>
      </w:r>
      <w:r>
        <w:t xml:space="preserve"> </w:t>
      </w:r>
      <w:r>
        <w:rPr>
          <w:i/>
          <w:iCs/>
        </w:rPr>
        <w:t xml:space="preserve">“Many try it, few adopt it”</w:t>
      </w:r>
      <w:r>
        <w:rPr>
          <w:i/>
          <w:iCs/>
        </w:rPr>
        <w:t xml:space="preserve">: Direct-from-farmer purchasing in the provisioning strategies of French households</w:t>
      </w:r>
    </w:p>
    <w:bookmarkEnd w:id="9"/>
    <w:bookmarkStart w:id="10" w:name="auteures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Auteures</w:t>
      </w:r>
    </w:p>
    <w:p>
      <w:pPr>
        <w:pStyle w:val="FirstParagraph"/>
      </w:pPr>
      <w:r>
        <w:rPr>
          <w:b/>
          <w:bCs/>
        </w:rPr>
        <w:t xml:space="preserve">Catherine Hérault-Fournier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auteure correspondante</w:t>
      </w:r>
      <w:r>
        <w:t xml:space="preserve"> </w:t>
      </w:r>
      <w:r>
        <w:t xml:space="preserve">Laboratoire NUDD (Usages du numérique pour le développement durable), La Rochelle Université</w:t>
      </w:r>
      <w:r>
        <w:t xml:space="preserve"> </w:t>
      </w:r>
      <w:r>
        <w:t xml:space="preserve">Courriel : catherine.herault-fournier@univ-lr.fr</w:t>
      </w:r>
    </w:p>
    <w:p>
      <w:pPr/>
      <w:r>
        <w:rPr>
          <w:b/>
          <w:bCs/>
        </w:rPr>
        <w:t xml:space="preserve">Aurélia Michaud-Trévinal</w:t>
      </w:r>
      <w:r>
        <w:t xml:space="preserve"> </w:t>
      </w:r>
      <w:r>
        <w:t xml:space="preserve">Laboratoire NUDD (Usages du numérique pour le développement durable), La Rochelle Université</w:t>
      </w:r>
      <w:r>
        <w:t xml:space="preserve"> </w:t>
      </w:r>
      <w:r>
        <w:t xml:space="preserve">Courriel : amichaud@univ-lr.fr</w:t>
      </w:r>
    </w:p>
    <w:bookmarkEnd w:id="10"/>
    <w:bookmarkStart w:id="11" w:name="remerciements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Remerciements</w:t>
      </w:r>
    </w:p>
    <w:p>
      <w:pPr>
        <w:pStyle w:val="FirstParagraph"/>
      </w:pPr>
      <w:r>
        <w:t xml:space="preserve">Les auteures remercient l’ensemble des ménages ayant répondu au questionnaire, ainsi que le projet</w:t>
      </w:r>
      <w:r>
        <w:t xml:space="preserve"> </w:t>
      </w:r>
      <w:r>
        <w:rPr>
          <w:b/>
          <w:bCs/>
        </w:rPr>
        <w:t xml:space="preserve">PlaTerfood</w:t>
      </w:r>
      <w:r>
        <w:t xml:space="preserve"> </w:t>
      </w:r>
      <w:r>
        <w:t xml:space="preserve">pour le financement de l’enquête.</w:t>
      </w:r>
    </w:p>
    <w:bookmarkEnd w:id="11"/>
    <w:bookmarkStart w:id="12" w:name="déclarations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Déclarations</w:t>
      </w:r>
    </w:p>
    <w:p>
      <w:pPr>
        <w:pStyle w:val="Compact"/>
        <w:numPr>
          <w:ilvl w:val="0"/>
          <w:numId w:val="1001"/>
        </w:numPr>
      </w:pPr>
      <w:r>
        <w:t xml:space="preserve">Article original, non soumis simultanément à une autre revue.</w:t>
      </w:r>
    </w:p>
    <w:p>
      <w:pPr>
        <w:pStyle w:val="Compact"/>
        <w:numPr>
          <w:ilvl w:val="0"/>
          <w:numId w:val="1001"/>
        </w:numPr>
      </w:pPr>
      <w:r>
        <w:t xml:space="preserve">Données d’enquête (échantillon représentatif national, n = 1 025) anonymisées ; aucune donnée individuelle diffusée.</w:t>
      </w:r>
    </w:p>
    <w:p>
      <w:pPr>
        <w:pStyle w:val="Compact"/>
        <w:numPr>
          <w:ilvl w:val="0"/>
          <w:numId w:val="1001"/>
        </w:numPr>
      </w:pPr>
      <w:r>
        <w:t xml:space="preserve">Aucun conflit d’intérêts déclaré.</w:t>
      </w:r>
    </w:p>
    <w:bookmarkEnd w:id="12"/>
    <w:bookmarkStart w:id="13" w:name="référence-de-citation-une-fois-publié"/>
    <w:p>
      <w:pPr>
        <w:jc w:val="left"/>
      </w:pPr>
      <w:r>
        <w:rPr>
          <w:rFonts w:ascii="Times New Roman" w:hAnsi="Times New Roman"/>
          <w:b/>
          <w:i w:val="0"/>
          <w:sz w:val="28"/>
        </w:rPr>
        <w:t xml:space="preserve">Référence de citation (une fois publié)</w:t>
      </w:r>
    </w:p>
    <w:p>
      <w:pPr>
        <w:pStyle w:val="FirstParagraph"/>
      </w:pPr>
      <w:r>
        <w:t xml:space="preserve">Hérault-Fournier C. et Michaud-Trévinal A. (année), Beaucoup l’essaient, peu l’adoptent : la vente directe dans les stratégies d’approvisionnement des ménages français,</w:t>
      </w:r>
      <w:r>
        <w:t xml:space="preserve"> </w:t>
      </w:r>
      <w:r>
        <w:rPr>
          <w:i/>
          <w:iCs/>
        </w:rPr>
        <w:t xml:space="preserve">Décisions Marketing</w:t>
      </w:r>
      <w:r>
        <w:t xml:space="preserve">, n°…, p. …</w:t>
      </w:r>
    </w:p>
    <w:bookmarkEnd w:id="13"/>
    <w:bookmarkEnd w:id="14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  <w:jc w:val="both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2026-09-01T14:48:07Z</dcterms:created>
  <dcterms:modified xsi:type="dcterms:W3CDTF">2026-09-01T14:48:07Z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