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left"/>
      </w:pPr>
      <w:r>
        <w:rPr>
          <w:rFonts w:ascii="Times New Roman" w:hAnsi="Times New Roman"/>
          <w:b/>
          <w:i w:val="0"/>
          <w:sz w:val="28"/>
        </w:rPr>
        <w:t xml:space="preserve">« Beaucoup l’essaient, peu l’adoptent »</w:t>
      </w:r>
    </w:p>
    <w:p>
      <w:pPr>
        <w:jc w:val="left"/>
      </w:pPr>
      <w:r>
        <w:rPr>
          <w:rFonts w:ascii="Times New Roman" w:hAnsi="Times New Roman"/>
          <w:b w:val="0"/>
          <w:i w:val="0"/>
          <w:sz w:val="28"/>
        </w:rPr>
        <w:t xml:space="preserve">La vente directe dans les stratégies d’approvisionnement des ménages français</w:t>
      </w:r>
    </w:p>
    <w:bookmarkStart w:id="43" w:name="beaucoup-lessaient-peu-ladoptent"/>
    <w:p>
      <w:pPr>
        <w:jc w:val="left"/>
      </w:pPr>
      <w:r>
        <w:rPr>
          <w:rFonts w:ascii="Times New Roman" w:hAnsi="Times New Roman"/>
          <w:b/>
          <w:i w:val="0"/>
          <w:sz w:val="28"/>
        </w:rPr>
        <w:t xml:space="preserve">« Beaucoup l’essaient, peu l’adoptent »</w:t>
      </w:r>
    </w:p>
    <w:bookmarkStart w:id="9" w:name="X567026fb20d909d7ed1876f1ed63bc3f882a5f2"/>
    <w:p>
      <w:pPr>
        <w:jc w:val="left"/>
      </w:pPr>
      <w:r>
        <w:rPr>
          <w:rFonts w:ascii="Times New Roman" w:hAnsi="Times New Roman"/>
          <w:b/>
          <w:i w:val="0"/>
          <w:sz w:val="28"/>
        </w:rP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jc w:val="left"/>
      </w:pPr>
      <w:r>
        <w:rPr>
          <w:rFonts w:ascii="Times New Roman" w:hAnsi="Times New Roman"/>
          <w:b/>
          <w:i w:val="0"/>
          <w:sz w:val="28"/>
        </w:rP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r>
        <w:rPr>
          <w:b/>
          <w:bCs/>
        </w:rPr>
        <w:t xml:space="preserve">Originalité.</w:t>
      </w:r>
      <w:r>
        <w:t xml:space="preserve"> </w:t>
      </w:r>
      <w:r>
        <w:t xml:space="preserve">L’article lit la vente directe à travers le</w:t>
      </w:r>
      <w:r>
        <w:t xml:space="preserve"> </w:t>
      </w:r>
      <w:r>
        <w:rPr>
          <w:b/>
          <w:bCs/>
        </w:rPr>
        <w:t xml:space="preserve">portefeuille de canaux</w:t>
      </w:r>
      <w:r>
        <w:t xml:space="preserve"> </w:t>
      </w:r>
      <w:r>
        <w:t xml:space="preserve">du consommateur — le cross-shopping alimentaire — et segmente les ménages sur leurs pratiques d’achat déclarées (allocation de budget, fréquence, récence), et non sur leurs seules attitudes, éclairant ainsi l’écart entre intention et comportement.</w:t>
      </w:r>
    </w:p>
    <w:p>
      <w:pPr/>
      <w:r>
        <w:rPr>
          <w:b/>
          <w:bCs/>
        </w:rPr>
        <w:t xml:space="preserve">Mots-clés :</w:t>
      </w:r>
      <w:r>
        <w:t xml:space="preserve"> </w:t>
      </w:r>
      <w:r>
        <w:t xml:space="preserve">vente directe, circuits courts, approvisionnement alimentaire, portefeuille de canaux, cross-shopping, segmentation, écart intention-comportement.</w:t>
      </w:r>
    </w:p>
    <w:bookmarkEnd w:id="10"/>
    <w:bookmarkStart w:id="11" w:name="abstract"/>
    <w:p>
      <w:pPr>
        <w:jc w:val="left"/>
      </w:pPr>
      <w:r>
        <w:rPr>
          <w:rFonts w:ascii="Times New Roman" w:hAnsi="Times New Roman"/>
          <w:b/>
          <w:i w:val="0"/>
          <w:sz w:val="28"/>
        </w:rP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 channel-portfolio (cross-shopping) reading of short food supply chains and a segmentation based on actual budget allocation rather than stated attitudes.</w:t>
      </w:r>
    </w:p>
    <w:p>
      <w:pPr/>
      <w:r>
        <w:rPr>
          <w:b/>
          <w:bCs/>
        </w:rPr>
        <w:t xml:space="preserve">Keywords:</w:t>
      </w:r>
      <w:r>
        <w:t xml:space="preserve"> </w:t>
      </w:r>
      <w:r>
        <w:t xml:space="preserve">direct selling, short food supply chains, food provisioning, channel portfolio, cross-shopping, segmentation, intention-behaviour gap.</w:t>
      </w:r>
    </w:p>
    <w:p>
      <w:r>
        <w:pict>
          <v:rect style="width:0;height:1.5pt" o:hralign="center" o:hrstd="t" o:hr="t"/>
        </w:pict>
      </w:r>
    </w:p>
    <w:bookmarkEnd w:id="11"/>
    <w:bookmarkStart w:id="13" w:name="introduction"/>
    <w:p>
      <w:pPr>
        <w:jc w:val="left"/>
      </w:pPr>
      <w:r>
        <w:rPr>
          <w:rFonts w:ascii="Times New Roman" w:hAnsi="Times New Roman"/>
          <w:b/>
          <w:i w:val="0"/>
          <w:sz w:val="28"/>
        </w:rPr>
        <w:t xml:space="preserve">Introduction</w:t>
      </w:r>
    </w:p>
    <w:p>
      <w:pPr>
        <w:pStyle w:val="FirstParagraph"/>
      </w:pPr>
      <w:r>
        <w:t xml:space="preserve">Sur un marché de plein vent, beaucoup de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r>
        <w:t xml:space="preserve">L’article apporte trois déplacements. Sur le plan</w:t>
      </w:r>
      <w:r>
        <w:t xml:space="preserve"> </w:t>
      </w:r>
      <w:r>
        <w:rPr>
          <w:b/>
          <w:bCs/>
        </w:rPr>
        <w:t xml:space="preserve">théorique</w:t>
      </w:r>
      <w:r>
        <w:t xml:space="preserve">, il déplace le regard vers le</w:t>
      </w:r>
      <w:r>
        <w:t xml:space="preserve"> </w:t>
      </w:r>
      <w:r>
        <w:rPr>
          <w:b/>
          <w:bCs/>
        </w:rPr>
        <w:t xml:space="preserve">portefeuille de canaux</w:t>
      </w:r>
      <w:r>
        <w:t xml:space="preserve"> </w:t>
      </w:r>
      <w:r>
        <w:t xml:space="preserve">du ménage — le</w:t>
      </w:r>
      <w:r>
        <w:t xml:space="preserve"> </w:t>
      </w:r>
      <w:r>
        <w:rPr>
          <w:i/>
          <w:iCs/>
        </w:rPr>
        <w:t xml:space="preserve">cross-shopping</w:t>
      </w:r>
      <w:r>
        <w:t xml:space="preserve"> </w:t>
      </w:r>
      <w:r>
        <w:t xml:space="preserve">alimentaire, notion développée en distribution mais rarement appliquée à l’alimentation locale — pour lire la vente directe comme une fonction d’un répertoire de circuits que le consommateur combine lui-même.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8" w:name="X505919110046ab8c669ffdc905c1a7cd534b715"/>
    <w:p>
      <w:pPr>
        <w:jc w:val="left"/>
      </w:pPr>
      <w:r>
        <w:rPr>
          <w:rFonts w:ascii="Times New Roman" w:hAnsi="Times New Roman"/>
          <w:b/>
          <w:i w:val="0"/>
          <w:sz w:val="28"/>
        </w:rPr>
        <w:t xml:space="preserve">L’approvisionnement alimentaire, un portefeuille de canaux</w:t>
      </w:r>
    </w:p>
    <w:bookmarkStart w:id="14" w:name="du-canal-isolé-au-portefeuille-de-canaux"/>
    <w:p>
      <w:pPr>
        <w:jc w:val="left"/>
      </w:pPr>
      <w:r>
        <w:rPr>
          <w:rFonts w:ascii="Times New Roman" w:hAnsi="Times New Roman"/>
          <w:b w:val="0"/>
          <w:i/>
          <w:sz w:val="24"/>
        </w:rP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r>
        <w:t xml:space="preserve">La littérature en distribution a montré de longue date que les consommateurs ne sont pas fidèles à un format unique : ils</w:t>
      </w:r>
      <w:r>
        <w:t xml:space="preserve"> </w:t>
      </w:r>
      <w:r>
        <w:rPr>
          <w:b/>
          <w:bCs/>
        </w:rPr>
        <w:t xml:space="preserve">fréquentent plusieurs enseignes et formats</w:t>
      </w:r>
      <w:r>
        <w:t xml:space="preserve"> </w:t>
      </w:r>
      <w:r>
        <w:t xml:space="preserve">pour des fonctions distinctes — un comportement de</w:t>
      </w:r>
      <w:r>
        <w:t xml:space="preserve"> </w:t>
      </w:r>
      <w:r>
        <w:rPr>
          <w:i/>
          <w:iCs/>
        </w:rPr>
        <w:t xml:space="preserve">cross-shopping</w:t>
      </w:r>
      <w:r>
        <w:t xml:space="preserve"> </w:t>
      </w:r>
      <w:r>
        <w:t xml:space="preserve">(Neslin et al., 2006). Une précision conceptuelle s’impose ici. Les cadres du</w:t>
      </w:r>
      <w:r>
        <w:t xml:space="preserve"> </w:t>
      </w:r>
      <w:r>
        <w:rPr>
          <w:i/>
          <w:iCs/>
        </w:rPr>
        <w:t xml:space="preserve">multicanal</w:t>
      </w:r>
      <w:r>
        <w:t xml:space="preserve"> </w:t>
      </w:r>
      <w:r>
        <w:t xml:space="preserve">et de l’</w:t>
      </w:r>
      <w:r>
        <w:rPr>
          <w:i/>
          <w:iCs/>
        </w:rPr>
        <w:t xml:space="preserve">omnicanal</w:t>
      </w:r>
      <w:r>
        <w:t xml:space="preserve"> </w:t>
      </w:r>
      <w:r>
        <w:t xml:space="preserve">(Verhoef et al., 2015) décrivent la façon dont</w:t>
      </w:r>
      <w:r>
        <w:t xml:space="preserve"> </w:t>
      </w:r>
      <w:r>
        <w:rPr>
          <w:b/>
          <w:bCs/>
        </w:rPr>
        <w:t xml:space="preserve">un même distributeur</w:t>
      </w:r>
      <w:r>
        <w:t xml:space="preserve"> </w:t>
      </w:r>
      <w:r>
        <w:t xml:space="preserve">coordonne, voire</w:t>
      </w:r>
      <w:r>
        <w:t xml:space="preserve"> </w:t>
      </w:r>
      <w:r>
        <w:rPr>
          <w:b/>
          <w:bCs/>
        </w:rPr>
        <w:t xml:space="preserve">intègre</w:t>
      </w:r>
      <w:r>
        <w:t xml:space="preserve">, ses propres canaux (magasin, drive, site web) en un parcours unifié. Or, du point de vue qui nous occupe, le ménage combine des</w:t>
      </w:r>
      <w:r>
        <w:t xml:space="preserve"> </w:t>
      </w:r>
      <w:r>
        <w:rPr>
          <w:b/>
          <w:bCs/>
        </w:rPr>
        <w:t xml:space="preserve">enseignes indépendantes et non intégrées</w:t>
      </w:r>
      <w:r>
        <w:t xml:space="preserve"> </w:t>
      </w:r>
      <w:r>
        <w:t xml:space="preserve">— l’hypermarché, le marché, la ferme, l’artisan : il n’existe pas de distributeur intégrateur. Le concept pertinent n’est donc pas l’omnicanal au sens strict, mais le</w:t>
      </w:r>
      <w:r>
        <w:t xml:space="preserve"> </w:t>
      </w:r>
      <w:r>
        <w:rPr>
          <w:b/>
          <w:bCs/>
        </w:rPr>
        <w:t xml:space="preserve">portefeuille de canaux du consommateur</w:t>
      </w:r>
      <w:r>
        <w:t xml:space="preserve"> </w:t>
      </w:r>
      <w:r>
        <w:t xml:space="preserve">et le cross-shopping (Filser et Plichon, 2004 ; Volle, 2012 ; Hino, 2014) : le ménage assemble lui-même un répertoire de circuits, mobilisés pour des fonctions différentes — l’hypermarché pour le gros des courses et les prix, l’artisan pour la qualité de certains produits, le marché pour le frais et le plaisir.</w:t>
      </w:r>
    </w:p>
    <w:p>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cette lecture par le portefeuille de canaux du consommateur reste rarement appliquée de façon explicite à l’alimentation directe et locale : c’est le premier déplacement de l’article.</w:t>
      </w:r>
    </w:p>
    <w:bookmarkEnd w:id="14"/>
    <w:bookmarkStart w:id="15" w:name="X2146e55a8402603f7cb0ad28b3eaf326ad04eda"/>
    <w:p>
      <w:pPr>
        <w:jc w:val="left"/>
      </w:pPr>
      <w:r>
        <w:rPr>
          <w:rFonts w:ascii="Times New Roman" w:hAnsi="Times New Roman"/>
          <w:b w:val="0"/>
          <w:i/>
          <w:sz w:val="24"/>
        </w:rPr>
        <w:t xml:space="preserve">Pourquoi les ménages combinent-ils les canaux ?</w:t>
      </w:r>
    </w:p>
    <w:p>
      <w:pPr>
        <w:pStyle w:val="FirstParagraph"/>
      </w:pPr>
      <w:r>
        <w:t xml:space="preserve">Établir que les canaux sont complémentaires ne dit pas encore</w:t>
      </w:r>
      <w:r>
        <w:t xml:space="preserve"> </w:t>
      </w:r>
      <w:r>
        <w:rPr>
          <w:i/>
          <w:iCs/>
        </w:rPr>
        <w:t xml:space="preserve">pourquoi</w:t>
      </w:r>
      <w:r>
        <w:t xml:space="preserve"> </w:t>
      </w:r>
      <w:r>
        <w:t xml:space="preserve">un ménage les combine. Une littérature sur les motivations du</w:t>
      </w:r>
      <w:r>
        <w:t xml:space="preserve"> </w:t>
      </w:r>
      <w:r>
        <w:rPr>
          <w:i/>
          <w:iCs/>
        </w:rPr>
        <w:t xml:space="preserve">cross-shopping</w:t>
      </w:r>
      <w:r>
        <w:t xml:space="preserve"> </w:t>
      </w:r>
      <w:r>
        <w:t xml:space="preserve">alimentaire l’éclaire. Hino (2014) montre que fréquenter plusieurs formats relève d’un</w:t>
      </w:r>
      <w:r>
        <w:t xml:space="preserve"> </w:t>
      </w:r>
      <w:r>
        <w:rPr>
          <w:b/>
          <w:bCs/>
        </w:rPr>
        <w:t xml:space="preserve">usage sélectif</w:t>
      </w:r>
      <w:r>
        <w:t xml:space="preserve"> </w:t>
      </w:r>
      <w:r>
        <w:t xml:space="preserve">— chaque format pour la fonction qu’il remplit le mieux (produits frais, dépannage, achats de gros) —, et non d’une fidélité générale à l’un d’eux ; Hai Tran et Sirieix (2020) documentent de même ces combinaisons de circuits du point de vue des pratiques d’achat. Vroegrijk et al. (2013) observent que ce sont les ménages déjà multi-enseignes qui adoptent un nouveau format en</w:t>
      </w:r>
      <w:r>
        <w:t xml:space="preserve"> </w:t>
      </w:r>
      <w:r>
        <w:rPr>
          <w:b/>
          <w:bCs/>
        </w:rPr>
        <w:t xml:space="preserve">complément</w:t>
      </w:r>
      <w:r>
        <w:t xml:space="preserve"> </w:t>
      </w:r>
      <w:r>
        <w:t xml:space="preserve">de leurs points de vente habituels, et Melis et al. (2016) que l’ajout d’un canal peut élargir la part de portefeuille captée par une enseigne plutôt que la redistribuer entre canaux existants. La théorie des buts (Harris et al., 2018, 2021) ajoute un second niveau d’explication : la configuration du parcours d’achat varie selon la</w:t>
      </w:r>
      <w:r>
        <w:t xml:space="preserve"> </w:t>
      </w:r>
      <w:r>
        <w:rPr>
          <w:b/>
          <w:bCs/>
        </w:rPr>
        <w:t xml:space="preserve">hiérarchie de buts</w:t>
      </w:r>
      <w:r>
        <w:t xml:space="preserve"> </w:t>
      </w:r>
      <w:r>
        <w:t xml:space="preserve">— abstraits (être un consommateur responsable) ou concrets (dépanner un repas) — active dans un contexte d’achat donné, et diffère d’une situation à l’autre pour un même ménage. Appliqué à la vente directe, ce cadre suggère qu’y recourir dépend moins d’un profil de consommateur stable que d’une</w:t>
      </w:r>
      <w:r>
        <w:t xml:space="preserve"> </w:t>
      </w:r>
      <w:r>
        <w:rPr>
          <w:b/>
          <w:bCs/>
        </w:rPr>
        <w:t xml:space="preserve">fonction ponctuelle</w:t>
      </w:r>
      <w:r>
        <w:t xml:space="preserve"> </w:t>
      </w:r>
      <w:r>
        <w:t xml:space="preserve">(fraîcheur, lien au producteur, occasion) qu’elle remplit mieux qu’un autre canal à un moment donné — lecture qui complète, sans s’y substituer, l’explication par le profil sociodémographique.</w:t>
      </w:r>
    </w:p>
    <w:bookmarkEnd w:id="15"/>
    <w:bookmarkStart w:id="16" w:name="Xa78a6e9b4ec9f4ce7a7a5897be46e9029041738"/>
    <w:p>
      <w:pPr>
        <w:jc w:val="left"/>
      </w:pPr>
      <w:r>
        <w:rPr>
          <w:rFonts w:ascii="Times New Roman" w:hAnsi="Times New Roman"/>
          <w:b w:val="0"/>
          <w:i/>
          <w:sz w:val="24"/>
        </w:rP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6"/>
    <w:bookmarkStart w:id="17" w:name="Xb8fafdd004a54fdf2a5d287765afad3d0b8bc36"/>
    <w:p>
      <w:pPr>
        <w:jc w:val="left"/>
      </w:pPr>
      <w:r>
        <w:rPr>
          <w:rFonts w:ascii="Times New Roman" w:hAnsi="Times New Roman"/>
          <w:b w:val="0"/>
          <w:i/>
          <w:sz w:val="24"/>
        </w:rP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parce qu’elle remplit une fonction d’appoint mobilisable pour des buts ponctuels variés, sa pratique serait faiblement déterminée par le profil sociodémographique : elle traverserait les catégories plutôt qu’elle ne distinguerait un groupe social. Enfin, conformément à l’écart attitude-comportement, l’adhésion déclarée serait nettement plus forte que le poids budgétaire effectif — beaucoup l’essaieraient, peu l’adopteraient.</w:t>
      </w:r>
    </w:p>
    <w:p>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Portefeuille de canaux / cross-shopping</w:t>
            </w:r>
          </w:p>
        </w:tc>
        <w:tc>
          <w:tcPr/>
          <w:p>
            <w:pPr>
              <w:pStyle w:val="Compact"/>
            </w:pPr>
            <w:r>
              <w:t xml:space="preserve">Neslin et al. (2006) ; Verhoef et al. (2015) ; Hino (2014) ; Vroegrijk et al. (2013)</w:t>
            </w:r>
          </w:p>
        </w:tc>
        <w:tc>
          <w:tcPr/>
          <w:p>
            <w:pPr>
              <w:pStyle w:val="Compact"/>
            </w:pPr>
            <w:r>
              <w:t xml:space="preserve">Lecture par le portefeuille du ménage, appliquée à l’alimentation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7"/>
    <w:bookmarkEnd w:id="18"/>
    <w:bookmarkStart w:id="19" w:name="X7145b3f0329b27779053ada1e4c2ef6847806d6"/>
    <w:p>
      <w:pPr>
        <w:jc w:val="left"/>
      </w:pPr>
      <w:r>
        <w:rPr>
          <w:rFonts w:ascii="Times New Roman" w:hAnsi="Times New Roman"/>
          <w:b/>
          <w:i w:val="0"/>
          <w:sz w:val="28"/>
        </w:rP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9"/>
    <w:bookmarkStart w:id="26" w:name="la-vente-directe-répandue-mais-marginale"/>
    <w:p>
      <w:pPr>
        <w:jc w:val="left"/>
      </w:pPr>
      <w:r>
        <w:rPr>
          <w:rFonts w:ascii="Times New Roman" w:hAnsi="Times New Roman"/>
          <w:b/>
          <w:i w:val="0"/>
          <w:sz w:val="28"/>
        </w:rP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l’approche en portefeuille de canaux,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1" name="Picture"/>
            <a:graphic>
              <a:graphicData uri="http://schemas.openxmlformats.org/drawingml/2006/picture">
                <pic:pic>
                  <pic:nvPicPr>
                    <pic:cNvPr descr="../../figures/png/fig1_part_budget_canal_nb.png" id="22" name="Picture"/>
                    <pic:cNvPicPr>
                      <a:picLocks noChangeArrowheads="1" noChangeAspect="1"/>
                    </pic:cNvPicPr>
                  </pic:nvPicPr>
                  <pic:blipFill>
                    <a:blip r:embed="rId20"/>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r>
        <w:rPr>
          <w:b/>
          <w:bCs/>
        </w:rPr>
        <w:t xml:space="preserve">Figure 1 : Part du budget alimentaire par canal (n = 1 025)</w:t>
      </w:r>
    </w:p>
    <w:p>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4" name="Picture"/>
            <a:graphic>
              <a:graphicData uri="http://schemas.openxmlformats.org/drawingml/2006/picture">
                <pic:pic>
                  <pic:nvPicPr>
                    <pic:cNvPr descr="../../figures/png/fig2_frequence_canal7_nb.png" id="25" name="Picture"/>
                    <pic:cNvPicPr>
                      <a:picLocks noChangeArrowheads="1" noChangeAspect="1"/>
                    </pic:cNvPicPr>
                  </pic:nvPicPr>
                  <pic:blipFill>
                    <a:blip r:embed="rId23"/>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r>
        <w:rPr>
          <w:b/>
          <w:bCs/>
        </w:rPr>
        <w:t xml:space="preserve">Figure 2 : Fréquence d’achat direct aux agriculteurs</w:t>
      </w:r>
    </w:p>
    <w:p>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6"/>
    <w:bookmarkStart w:id="30" w:name="Xe4e0b2f4b1568e238a2a23f481cbadf536e92a8"/>
    <w:p>
      <w:pPr>
        <w:jc w:val="left"/>
      </w:pPr>
      <w:r>
        <w:rPr>
          <w:rFonts w:ascii="Times New Roman" w:hAnsi="Times New Roman"/>
          <w:b/>
          <w:i w:val="0"/>
          <w:sz w:val="28"/>
        </w:rP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4, Figure 3). Ces comparateurs portent sur une population distincte (les 893 clients d’artisans, contre 509 acheteurs directs) : la mise en regard éclaire l’ordre de grandeur des situations, sans prétendre à une équivalence stricte entre populations.</w:t>
      </w:r>
    </w:p>
    <w:p>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 le terrain de septembre, mois de saison, joue plutôt en faveur des formes directes — et non d’un décrochage : l’</w:t>
      </w:r>
      <w:r>
        <w:rPr>
          <w:b/>
          <w:bCs/>
        </w:rPr>
        <w:t xml:space="preserve">abandon déclaré</w:t>
      </w:r>
      <w:r>
        <w:t xml:space="preserve"> </w:t>
      </w:r>
      <w:r>
        <w:t xml:space="preserve">(« j’en achetais, ce n’est plus le cas ») reste modéré, de 15 à 19 % selon les formes (Tableau 4). C’est donc surtout la régularité, non la fidélité définitive, que la fréquentation déclarée surestime : beaucoup achètent par intermittence plutôt qu’ils n’ont cessé.</w:t>
      </w:r>
    </w:p>
    <w:p>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8" name="Picture"/>
            <a:graphic>
              <a:graphicData uri="http://schemas.openxmlformats.org/drawingml/2006/picture">
                <pic:pic>
                  <pic:nvPicPr>
                    <pic:cNvPr descr="../../figures/png/fig6_essai_ancrage_nb.png" id="29" name="Picture"/>
                    <pic:cNvPicPr>
                      <a:picLocks noChangeArrowheads="1" noChangeAspect="1"/>
                    </pic:cNvPicPr>
                  </pic:nvPicPr>
                  <pic:blipFill>
                    <a:blip r:embed="rId27"/>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r>
        <w:rPr>
          <w:b/>
          <w:bCs/>
        </w:rPr>
        <w:t xml:space="preserve">Figure 3 : Récence d’achat par forme (vente directe et circuits conventionnels spécialisés)</w:t>
      </w:r>
    </w:p>
    <w:p>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30"/>
    <w:bookmarkStart w:id="31" w:name="cinq-stratégies-dapprovisionnement"/>
    <w:p>
      <w:pPr>
        <w:jc w:val="left"/>
      </w:pPr>
      <w:r>
        <w:rPr>
          <w:rFonts w:ascii="Times New Roman" w:hAnsi="Times New Roman"/>
          <w:b/>
          <w:i w:val="0"/>
          <w:sz w:val="28"/>
        </w:rPr>
        <w:t xml:space="preserve">Cinq stratégies d’approvisionnement</w:t>
      </w:r>
    </w:p>
    <w:p>
      <w:pPr>
        <w:pStyle w:val="FirstParagraph"/>
      </w:pPr>
      <w:r>
        <w:t xml:space="preserve">La typologie fait émerger cinq stratégies distinctes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r>
        <w:t xml:space="preserve">Un enseignement transversal ressort :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toute la typologie. Le taux inclusif croît avec l’ampleur du répertoire de canaux (de 28 % chez les captifs à 100 % chez les explorateurs conventionnels), mais l’usage régulier ne culmine que chez les multi-canal intensifs (67 %) : largeur du répertoire et intensité d’engagement ne se confondent pas. Ce n’est donc pas le profil social qui prédit le mieux la vente directe, mais la</w:t>
      </w:r>
      <w:r>
        <w:t xml:space="preserve"> </w:t>
      </w:r>
      <w:r>
        <w:rPr>
          <w:b/>
          <w:bCs/>
        </w:rPr>
        <w:t xml:space="preserve">configuration d’usage</w:t>
      </w:r>
      <w:r>
        <w:t xml:space="preserve"> </w:t>
      </w:r>
      <w:r>
        <w:t xml:space="preserve">dans laquelle elle s’inscrit — point sur lequel nous revenons en discussion.</w:t>
      </w:r>
    </w:p>
    <w:bookmarkEnd w:id="31"/>
    <w:bookmarkStart w:id="35" w:name="X7f871b1800f415beac489a6ed1e968c0967dae2"/>
    <w:p>
      <w:pPr>
        <w:jc w:val="left"/>
      </w:pPr>
      <w:r>
        <w:rPr>
          <w:rFonts w:ascii="Times New Roman" w:hAnsi="Times New Roman"/>
          <w:b/>
          <w:i w:val="0"/>
          <w:sz w:val="28"/>
        </w:rP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r>
        <w:t xml:space="preserve">La régression logistique du recours à la vente directe (Figure 4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4" title="" id="33" name="Picture"/>
            <a:graphic>
              <a:graphicData uri="http://schemas.openxmlformats.org/drawingml/2006/picture">
                <pic:pic>
                  <pic:nvPicPr>
                    <pic:cNvPr descr="../../figures/png/fig4_regression_or_nb.png" id="34" name="Picture"/>
                    <pic:cNvPicPr>
                      <a:picLocks noChangeArrowheads="1" noChangeAspect="1"/>
                    </pic:cNvPicPr>
                  </pic:nvPicPr>
                  <pic:blipFill>
                    <a:blip r:embed="rId32"/>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4</w:t>
      </w:r>
    </w:p>
    <w:p>
      <w:pPr/>
      <w:r>
        <w:rPr>
          <w:b/>
          <w:bCs/>
        </w:rPr>
        <w:t xml:space="preserve">Figure 4 : Déterminants de l’usage de la vente directe (odds-ratios)</w:t>
      </w:r>
    </w:p>
    <w:p>
      <w:pPr/>
      <w:r>
        <w:t xml:space="preserve">La faiblesse de ce pouvoir explicatif est en soi un résultat : la vente directe n’est pas le marqueur d’un groupe social circonscrit — comme l’illustre le groupe adeptes de la proximité, plus âgé et à budget modeste. Ce constat converge avec Herzig et Zander (2025), pour qui les variables sociodémographiques expliquent finalement peu le comportement d’achat en circuit court.</w:t>
      </w:r>
    </w:p>
    <w:bookmarkEnd w:id="35"/>
    <w:bookmarkStart w:id="39" w:name="discussion-des-résultats"/>
    <w:p>
      <w:pPr>
        <w:jc w:val="left"/>
      </w:pPr>
      <w:r>
        <w:rPr>
          <w:rFonts w:ascii="Times New Roman" w:hAnsi="Times New Roman"/>
          <w:b/>
          <w:i w:val="0"/>
          <w:sz w:val="28"/>
        </w:rPr>
        <w:t xml:space="preserve">Discussion des résultats</w:t>
      </w:r>
    </w:p>
    <w:bookmarkStart w:id="36" w:name="la-vente-directe-comme-complément-diffus"/>
    <w:p>
      <w:pPr>
        <w:jc w:val="left"/>
      </w:pPr>
      <w:r>
        <w:rPr>
          <w:rFonts w:ascii="Times New Roman" w:hAnsi="Times New Roman"/>
          <w:b w:val="0"/>
          <w:i/>
          <w:sz w:val="24"/>
        </w:rPr>
        <w:t xml:space="preserve">La vente directe comme complément diffus</w:t>
      </w:r>
    </w:p>
    <w:p>
      <w:pPr>
        <w:pStyle w:val="FirstParagraph"/>
      </w:pPr>
      <w:r>
        <w:t xml:space="preserve">Le principal apport de cet article tient à la requalification de la place de la vente directe. Les travaux existants, centrés sur les adeptes ou sur les dispositifs, pouvaient laisser penser à une pratique circonscrite et engagée. Lue à l’échelle du portefeuille de canaux et sur données représentatives, elle se révèle au contraire largement diffusée mais peu intensive : essayée par deux ménages sur trois, mobilisée régulièrement par moins d’un sur cinq, marginale dans le budget. Ce constat rejoint l’idée d’une coexistence plutôt que d’une rupture entre circuits (Goodman et DuPuis, 2002 ; Sage, 2003), mais il la quantifie du point de vue du consommateur — et, plus précisément qu’une analogie, il prolonge ce que la distribution a établi sur la</w:t>
      </w:r>
      <w:r>
        <w:t xml:space="preserve"> </w:t>
      </w:r>
      <w:r>
        <w:rPr>
          <w:b/>
          <w:bCs/>
        </w:rPr>
        <w:t xml:space="preserve">complémentarité</w:t>
      </w:r>
      <w:r>
        <w:t xml:space="preserve"> </w:t>
      </w:r>
      <w:r>
        <w:t xml:space="preserve">des canaux. De même que l’ouverture de magasins physiques accroît le chiffre d’affaires total d’un distributeur — de l’ordre de 20 % —, la logique de complémentarité l’emportant sur la cannibalisation de ses autres canaux (Pauwels et Neslin, 2015), la vente directe fonctionne, à l’échelle du ménage, comme un canal</w:t>
      </w:r>
      <w:r>
        <w:t xml:space="preserve"> </w:t>
      </w:r>
      <w:r>
        <w:rPr>
          <w:b/>
          <w:bCs/>
        </w:rPr>
        <w:t xml:space="preserve">additionnel</w:t>
      </w:r>
      <w:r>
        <w:t xml:space="preserve"> </w:t>
      </w:r>
      <w:r>
        <w:t xml:space="preserve">dont la fonction (fraîcheur, lien au producteur) ne recoupe pas celle de l’hypermarché, et non comme un concurrent auquel il faudrait retirer du budget. La théorie des buts (Harris et al., 2018, 2021) offre une interprétation plausible — que nos données, purement comportementales, ne testent pas directement — de cette faible intensité : la vente directe répondrait à des buts</w:t>
      </w:r>
      <w:r>
        <w:t xml:space="preserve"> </w:t>
      </w:r>
      <w:r>
        <w:rPr>
          <w:b/>
          <w:bCs/>
        </w:rPr>
        <w:t xml:space="preserve">ponctuels</w:t>
      </w:r>
      <w:r>
        <w:t xml:space="preserve"> </w:t>
      </w:r>
      <w:r>
        <w:t xml:space="preserve">— une occasion, une envie de produits frais — plutôt qu’à un but stable et récurrent, ce qui expliquerait qu’elle soit largement essayée sans devenir un canal d’approvisionnement régulier pour la majorité.</w:t>
      </w:r>
    </w:p>
    <w:bookmarkEnd w:id="36"/>
    <w:bookmarkStart w:id="37" w:name="X1ceaee95a05493161d744855b63c55b4af59aa9"/>
    <w:p>
      <w:pPr>
        <w:jc w:val="left"/>
      </w:pPr>
      <w:r>
        <w:rPr>
          <w:rFonts w:ascii="Times New Roman" w:hAnsi="Times New Roman"/>
          <w:b w:val="0"/>
          <w:i/>
          <w:sz w:val="24"/>
        </w:rPr>
        <w:t xml:space="preserve">Une transversalité sociale qui tient à la fonction</w:t>
      </w:r>
    </w:p>
    <w:p>
      <w:pPr>
        <w:pStyle w:val="FirstParagraph"/>
      </w:pPr>
      <w:r>
        <w:t xml:space="preserve">Le second apport concerne la faible détermination sociale de la pratique. Contre une lecture distinctive qui réserverait les circuits courts aux catégories aisées et urbaines, nos données montrent une diffusion transversale, dont témoigne le petit groupe de ménages hors-hypermarché à budget modeste. La sur-représentation des plus diplômés est réelle mais modérée — et, on l’a vu, elle ne vaut que pour l’essai, non pour l’adoption régulière. Lu à la lumière des motivations à combiner les canaux, ce résultat n’est pas une anomalie : si le recours à la vente directe dépend moins d’un profil que d’un but ponctuel activé dans certaines situations d’achat (Hino, 2014 ; Harris et al., 2018) — hypothèse interprétative que nous ne mesurons pas —, alors sa faible détermination sociodémographique peut se lire comme la</w:t>
      </w:r>
      <w:r>
        <w:t xml:space="preserve"> </w:t>
      </w:r>
      <w:r>
        <w:rPr>
          <w:b/>
          <w:bCs/>
        </w:rPr>
        <w:t xml:space="preserve">conséquence de sa fonction</w:t>
      </w:r>
      <w:r>
        <w:t xml:space="preserve">, non comme une singularité à expliquer.</w:t>
      </w:r>
    </w:p>
    <w:bookmarkEnd w:id="37"/>
    <w:bookmarkStart w:id="38" w:name="X42bddffd3b8151c2ab10e23a331c071586deea7"/>
    <w:p>
      <w:pPr>
        <w:jc w:val="left"/>
      </w:pPr>
      <w:r>
        <w:rPr>
          <w:rFonts w:ascii="Times New Roman" w:hAnsi="Times New Roman"/>
          <w:b w:val="0"/>
          <w:i/>
          <w:sz w:val="24"/>
        </w:rPr>
        <w:t xml:space="preserve">Les stratégies d’approvisionnement comme grille de lecture</w:t>
      </w:r>
    </w:p>
    <w:p>
      <w:pPr>
        <w:pStyle w:val="FirstParagraph"/>
      </w:pPr>
      <w:r>
        <w:t xml:space="preserve">La typologie en cinq classes illustre l’intérêt d’une approche par les portefeuilles : elle déplace l’attention des individus vers les</w:t>
      </w:r>
      <w:r>
        <w:t xml:space="preserve"> </w:t>
      </w:r>
      <w:r>
        <w:rPr>
          <w:b/>
          <w:bCs/>
        </w:rPr>
        <w:t xml:space="preserve">configurations d’usage</w:t>
      </w:r>
      <w:r>
        <w:t xml:space="preserve">. Ce n’est pas tant le profil sociodémographique qui prédit la vente directe que la stratégie d’approvisionnement dans laquelle elle s’inscrit — les multi-canal intensifs l’intègrent à un répertoire dense, les captifs s’en tiennent à distance, les adeptes de la proximité en font un pivot par défaut. Cette lecture rejoint les travaux de Hino (2014) sur l’usage sélectif des formats : les ménages n’adoptent pas un canal en bloc, ils l’intègrent — ou non — à des routines d’achat déjà constituées, sous l’effet de contraintes matérielles et temporelles autant que de choix délibérés.</w:t>
      </w:r>
    </w:p>
    <w:bookmarkEnd w:id="38"/>
    <w:bookmarkEnd w:id="39"/>
    <w:bookmarkStart w:id="40" w:name="ce-que-les-acteurs-peuvent-en-faire"/>
    <w:p>
      <w:pPr>
        <w:jc w:val="left"/>
      </w:pPr>
      <w:r>
        <w:rPr>
          <w:rFonts w:ascii="Times New Roman" w:hAnsi="Times New Roman"/>
          <w:b/>
          <w:i w:val="0"/>
          <w:sz w:val="28"/>
        </w:rPr>
        <w:t xml:space="preserve">Ce que les acteurs peuvent en faire</w:t>
      </w:r>
    </w:p>
    <w:p>
      <w:pPr>
        <w:pStyle w:val="FirstParagraph"/>
      </w:pPr>
      <w:r>
        <w:t xml:space="preserve">Ces résultats déplacent le diagnostic habituel. Tant que la vente directe est pensée comme une niche à diffuser, l’effort porte sur la sensibilisation et la conquête de nouveaux convaincus ; or la conquête est, pour l’essentiel, déjà faite. L’enjeu n’est pas d’ouvrir le canal à de nouveaux publics, mais de le</w:t>
      </w:r>
      <w:r>
        <w:t xml:space="preserve"> </w:t>
      </w:r>
      <w:r>
        <w:rPr>
          <w:b/>
          <w:bCs/>
        </w:rPr>
        <w:t xml:space="preserve">rendre régulier</w:t>
      </w:r>
      <w:r>
        <w:t xml:space="preserve"> </w:t>
      </w:r>
      <w:r>
        <w:t xml:space="preserve">chez ceux qui l’ont déjà essayé. Cette bascule — de l’acquisition vers la fidélisation, du convaincre vers le faciliter — structure quatre recommandations, adressées prioritairement aux producteurs et réseaux de vente directe et aux collectivités.</w:t>
      </w:r>
    </w:p>
    <w:p>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à valeur d’ordre de grandeur. Pour les producteurs et les réseaux, cela oriente l’effort vers les</w:t>
      </w:r>
      <w:r>
        <w:t xml:space="preserve"> </w:t>
      </w:r>
      <w:r>
        <w:rPr>
          <w:b/>
          <w:bCs/>
        </w:rPr>
        <w:t xml:space="preserve">dispositifs de régularité</w:t>
      </w:r>
      <w:r>
        <w:t xml:space="preserve"> </w:t>
      </w:r>
      <w:r>
        <w:t xml:space="preserve">: abonnements et paniers récurrents à engagement souple, points de retrait sur les trajets domicile-travail plutôt qu’au seul lieu de production, élargissement des gammes pour couvrir une plus grande part du panier, horaires compatibles avec les actifs, animation de la relation client. À l’échelle d’un réseau de vente, une logique</w:t>
      </w:r>
      <w:r>
        <w:t xml:space="preserve"> </w:t>
      </w:r>
      <w:r>
        <w:rPr>
          <w:b/>
          <w:bCs/>
        </w:rPr>
        <w:t xml:space="preserve">omnicanale</w:t>
      </w:r>
      <w:r>
        <w:t xml:space="preserve"> </w:t>
      </w:r>
      <w:r>
        <w:t xml:space="preserve">— au sens propre, cette fois : celui d’une même enseigne intégrant ses canaux — peut y aider, sans opposer physique et numérique : la précommande en ligne assortie d’un retrait physique combine la commodité attendue et le contact direct valorisé.</w:t>
      </w:r>
    </w:p>
    <w:p>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r>
        <w:rPr>
          <w:b/>
          <w:bCs/>
        </w:rPr>
        <w:t xml:space="preserve">Cibler large, pas une niche.</w:t>
      </w:r>
      <w:r>
        <w:t xml:space="preserve"> </w:t>
      </w:r>
      <w:r>
        <w:t xml:space="preserve">La vente directe restant faiblement déterminée socialement — le modèle n’explique que 3 % de la variance, avec pour seul gradient net un léger sur-recours des plus diplômés, et encore à l’essai seulement —, il n’y a pas lieu de la réserver, dans le ciblage marketing, à un segment aisé et urbain. Les dispositifs peuvent viser tous les publics, budgets modestes compris : le profil adeptes de la proximité montre qu’un approvisionnement de proximité à petit budget est déjà pratiqué. Cela plaide pour une segmentation par la</w:t>
      </w:r>
      <w:r>
        <w:t xml:space="preserve"> </w:t>
      </w:r>
      <w:r>
        <w:rPr>
          <w:b/>
          <w:bCs/>
        </w:rPr>
        <w:t xml:space="preserve">stratégie d’approvisionnement</w:t>
      </w:r>
      <w:r>
        <w:t xml:space="preserve"> </w:t>
      </w:r>
      <w:r>
        <w:t xml:space="preserve">plutôt que par le revenu ou la CSP. Que le seul gradient net passe par le</w:t>
      </w:r>
      <w:r>
        <w:t xml:space="preserve"> </w:t>
      </w:r>
      <w:r>
        <w:rPr>
          <w:b/>
          <w:bCs/>
        </w:rPr>
        <w:t xml:space="preserve">diplôme</w:t>
      </w:r>
      <w:r>
        <w:t xml:space="preserve"> </w:t>
      </w:r>
      <w:r>
        <w:t xml:space="preserve">oriente d’ailleurs vers un frein</w:t>
      </w:r>
      <w:r>
        <w:t xml:space="preserve"> </w:t>
      </w:r>
      <w:r>
        <w:rPr>
          <w:b/>
          <w:bCs/>
        </w:rPr>
        <w:t xml:space="preserve">informationnel</w:t>
      </w:r>
      <w:r>
        <w:t xml:space="preserve"> </w:t>
      </w:r>
      <w:r>
        <w:t xml:space="preserve">— savoir où trouver ces circuits, en comprendre le fonctionnement, comme le confirme le déficit de notoriété de l’AMAP — davantage que financier : le levier n’est pas de rendre la vente directe moins chère, mais plus</w:t>
      </w:r>
      <w:r>
        <w:t xml:space="preserve"> </w:t>
      </w:r>
      <w:r>
        <w:rPr>
          <w:b/>
          <w:bCs/>
        </w:rPr>
        <w:t xml:space="preserve">lisible et accessible</w:t>
      </w:r>
      <w:r>
        <w:t xml:space="preserve">.</w:t>
      </w:r>
    </w:p>
    <w:p>
      <w:pPr/>
      <w:r>
        <w:rPr>
          <w:b/>
          <w:bCs/>
        </w:rPr>
        <w:t xml:space="preserve">Communiquer « local et qualité », pas « pas cher ».</w:t>
      </w:r>
      <w:r>
        <w:t xml:space="preserve"> </w:t>
      </w:r>
      <w:r>
        <w:t xml:space="preserve">Le prix n’est ni le principal moteur ni le principal frein de l’achat local, dont les obstacles tiennent davantage à la commodité et à la disponibilité (Feldmann et Hamm, 2015).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logique de portefeuille se vérifie ici : les canaux se répartissent des fonctions plutôt qu’ils ne se cannibalisent.</w:t>
      </w:r>
    </w:p>
    <w:p>
      <w:pPr/>
      <w:r>
        <w:t xml:space="preserve">Ces leviers ne s’appliquent pas uniformément (Tableau 6) : l’effort de conversion vise en priorité les configurations qui essaient sans pérenniser — multi-canal modérés et explorateurs conventionnels —, les captifs relèvent d’un travail d’accès et de notoriété, et les intensifs, déjà acquis, du seul maintien.</w:t>
      </w:r>
    </w:p>
    <w:p>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bookmarkEnd w:id="40"/>
    <w:bookmarkStart w:id="41" w:name="limites-et-voies-de-recherche"/>
    <w:p>
      <w:pPr>
        <w:jc w:val="left"/>
      </w:pPr>
      <w:r>
        <w:rPr>
          <w:rFonts w:ascii="Times New Roman" w:hAnsi="Times New Roman"/>
          <w:b/>
          <w:i w:val="0"/>
          <w:sz w:val="28"/>
        </w:rP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La plus petite classe (adeptes de la proximité, n = 26) appelle par ailleurs la prudence dans l’interprétation de ses caractéristiques fines, la partition d’ensemble présentant une silhouette modérée (0,24). Enfin, notre dispositif mesure des</w:t>
      </w:r>
      <w:r>
        <w:t xml:space="preserve"> </w:t>
      </w:r>
      <w:r>
        <w:rPr>
          <w:b/>
          <w:bCs/>
        </w:rPr>
        <w:t xml:space="preserve">comportements</w:t>
      </w:r>
      <w:r>
        <w:t xml:space="preserve"> </w:t>
      </w:r>
      <w:r>
        <w:t xml:space="preserve">— fréquence, budget, récence — et non les</w:t>
      </w:r>
      <w:r>
        <w:t xml:space="preserve"> </w:t>
      </w:r>
      <w:r>
        <w:rPr>
          <w:b/>
          <w:bCs/>
        </w:rPr>
        <w:t xml:space="preserve">motivations ou les buts</w:t>
      </w:r>
      <w:r>
        <w:t xml:space="preserve"> </w:t>
      </w:r>
      <w:r>
        <w:t xml:space="preserve">qui président à la combinaison des canaux : c’est le revers assumé de notre parti pris de mesurer les pratiques plutôt que les attitudes. La lecture par la théorie des buts que nous esquissons en discussion reste donc, à ce stade, interprétative.</w:t>
      </w:r>
    </w:p>
    <w:p>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 la coupler à une mesure des buts d’achat permettrait de</w:t>
      </w:r>
      <w:r>
        <w:t xml:space="preserve"> </w:t>
      </w:r>
      <w:r>
        <w:rPr>
          <w:i/>
          <w:iCs/>
        </w:rPr>
        <w:t xml:space="preserve">tester</w:t>
      </w:r>
      <w:r>
        <w:t xml:space="preserve">, et non plus seulement de supposer, la logique fonctionnelle du portefeuille.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1"/>
    <w:bookmarkStart w:id="42" w:name="références"/>
    <w:p>
      <w:pPr>
        <w:jc w:val="left"/>
      </w:pPr>
      <w:r>
        <w:rPr>
          <w:rFonts w:ascii="Times New Roman" w:hAnsi="Times New Roman"/>
          <w:b/>
          <w:i w:val="0"/>
          <w:sz w:val="28"/>
        </w:rP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r>
        <w:t xml:space="preserve">Chiffoleau Y. (2019),</w:t>
      </w:r>
      <w:r>
        <w:t xml:space="preserve"> </w:t>
      </w:r>
      <w:r>
        <w:rPr>
          <w:i/>
          <w:iCs/>
        </w:rPr>
        <w:t xml:space="preserve">Les circuits courts alimentaires : entre marché et innovation sociale</w:t>
      </w:r>
      <w:r>
        <w:t xml:space="preserve">, Toulouse, Érès.</w:t>
      </w:r>
    </w:p>
    <w:p>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r>
        <w:t xml:space="preserve">Enthoven L. et Van den Broeck G. (2021), Local food systems: reviewing two decades of research,</w:t>
      </w:r>
      <w:r>
        <w:t xml:space="preserve"> </w:t>
      </w:r>
      <w:r>
        <w:rPr>
          <w:i/>
          <w:iCs/>
        </w:rPr>
        <w:t xml:space="preserve">Agricultural Systems</w:t>
      </w:r>
      <w:r>
        <w:t xml:space="preserve">, 193: 103226.</w:t>
      </w:r>
    </w:p>
    <w:p>
      <w:pPr/>
      <w:r>
        <w:t xml:space="preserve">Feldmann C. et Hamm U. (2015), Consumers’ perceptions and preferences for local food: a review,</w:t>
      </w:r>
      <w:r>
        <w:t xml:space="preserve"> </w:t>
      </w:r>
      <w:r>
        <w:rPr>
          <w:i/>
          <w:iCs/>
        </w:rPr>
        <w:t xml:space="preserve">Food Quality and Preference</w:t>
      </w:r>
      <w:r>
        <w:t xml:space="preserve">, 40: 152-164.</w:t>
      </w:r>
    </w:p>
    <w:p>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r>
        <w:t xml:space="preserve">Hai Tran V. et Sirieix L. (2020), Shopping and cross-shopping practices in Hanoi Vietnam: an emerging urban market context,</w:t>
      </w:r>
      <w:r>
        <w:t xml:space="preserve"> </w:t>
      </w:r>
      <w:r>
        <w:rPr>
          <w:i/>
          <w:iCs/>
        </w:rPr>
        <w:t xml:space="preserve">Journal of Retailing and Consumer Services</w:t>
      </w:r>
      <w:r>
        <w:t xml:space="preserve">, 56: 102178.</w:t>
      </w:r>
    </w:p>
    <w:p>
      <w:pPr/>
      <w:r>
        <w:t xml:space="preserve">Harris P., Dall’Olmo Riley F. et Hand C. (2018), Understanding multichannel shopper journey configuration: an application of goal theory,</w:t>
      </w:r>
      <w:r>
        <w:t xml:space="preserve"> </w:t>
      </w:r>
      <w:r>
        <w:rPr>
          <w:i/>
          <w:iCs/>
        </w:rPr>
        <w:t xml:space="preserve">Journal of Retailing and Consumer Services</w:t>
      </w:r>
      <w:r>
        <w:t xml:space="preserve">, 44: 108-117.</w:t>
      </w:r>
    </w:p>
    <w:p>
      <w:pPr/>
      <w:r>
        <w:t xml:space="preserve">Harris P., Dall’Olmo Riley F. et Hand C. (2021), Multichannel shopping: the effect of decision making style on shopper journey configuration and satisfaction,</w:t>
      </w:r>
      <w:r>
        <w:t xml:space="preserve"> </w:t>
      </w:r>
      <w:r>
        <w:rPr>
          <w:i/>
          <w:iCs/>
        </w:rPr>
        <w:t xml:space="preserve">Journal of Retailing and Consumer Services</w:t>
      </w:r>
      <w:r>
        <w:t xml:space="preserve">, 58: 102286.</w:t>
      </w:r>
    </w:p>
    <w:p>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r>
        <w:t xml:space="preserve">Hino H. (2014), Shopping at different food retail formats: understanding cross-shopping behavior through retail format selective use patterns,</w:t>
      </w:r>
      <w:r>
        <w:t xml:space="preserve"> </w:t>
      </w:r>
      <w:r>
        <w:rPr>
          <w:i/>
          <w:iCs/>
        </w:rPr>
        <w:t xml:space="preserve">European Journal of Marketing</w:t>
      </w:r>
      <w:r>
        <w:t xml:space="preserve">, 48(3-4): 674-698.</w:t>
      </w:r>
    </w:p>
    <w:p>
      <w:pPr/>
      <w:r>
        <w:t xml:space="preserve">Lamine C. et Perrot N. (2008),</w:t>
      </w:r>
      <w:r>
        <w:t xml:space="preserve"> </w:t>
      </w:r>
      <w:r>
        <w:rPr>
          <w:i/>
          <w:iCs/>
        </w:rPr>
        <w:t xml:space="preserve">Les AMAP : un nouveau pacte entre producteurs et consommateurs ?</w:t>
      </w:r>
      <w:r>
        <w:t xml:space="preserve">, Gap, Yves Michel.</w:t>
      </w:r>
    </w:p>
    <w:p>
      <w:pPr/>
      <w:r>
        <w:t xml:space="preserve">Maréchal G. (coord.) (2008),</w:t>
      </w:r>
      <w:r>
        <w:t xml:space="preserve"> </w:t>
      </w:r>
      <w:r>
        <w:rPr>
          <w:i/>
          <w:iCs/>
        </w:rPr>
        <w:t xml:space="preserve">Les circuits courts alimentaires : bien manger dans les territoires</w:t>
      </w:r>
      <w:r>
        <w:t xml:space="preserve">, Dijon, Educagri.</w:t>
      </w:r>
    </w:p>
    <w:p>
      <w:pPr/>
      <w:r>
        <w:t xml:space="preserve">Melis K., Campo K., Lamey L. et Breugelmans E. (2016), A bigger slice of the multichannel grocery pie: when does consumers’ online channel use expand retailers’ share of wallet?,</w:t>
      </w:r>
      <w:r>
        <w:t xml:space="preserve"> </w:t>
      </w:r>
      <w:r>
        <w:rPr>
          <w:i/>
          <w:iCs/>
        </w:rPr>
        <w:t xml:space="preserve">Journal of Retailing</w:t>
      </w:r>
      <w:r>
        <w:t xml:space="preserve">, 92(3): 268-286.</w:t>
      </w:r>
    </w:p>
    <w:p>
      <w:pPr/>
      <w:r>
        <w:t xml:space="preserve">Ministère de l’Agriculture et de l’Alimentation (2009),</w:t>
      </w:r>
      <w:r>
        <w:t xml:space="preserve"> </w:t>
      </w:r>
      <w:r>
        <w:rPr>
          <w:i/>
          <w:iCs/>
        </w:rPr>
        <w:t xml:space="preserve">Plan d’action pour développer les circuits courts</w:t>
      </w:r>
      <w:r>
        <w:t xml:space="preserve">, avril.</w:t>
      </w:r>
    </w:p>
    <w:p>
      <w:pPr/>
      <w:r>
        <w:t xml:space="preserve">Mustapa M.A.A. et Kallas Z. (2025), Meta-analysis of consumer willingness to pay for short food supply chain products,</w:t>
      </w:r>
      <w:r>
        <w:t xml:space="preserve"> </w:t>
      </w:r>
      <w:r>
        <w:rPr>
          <w:i/>
          <w:iCs/>
        </w:rPr>
        <w:t xml:space="preserve">Global Challenges</w:t>
      </w:r>
      <w:r>
        <w:t xml:space="preserve">, 9(3).</w:t>
      </w:r>
    </w:p>
    <w:p>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r>
        <w:t xml:space="preserve">Pauwels K. et Neslin S.A. (2015), Building with bricks and mortar: the revenue impact of opening physical stores in a multichannel environment,</w:t>
      </w:r>
      <w:r>
        <w:t xml:space="preserve"> </w:t>
      </w:r>
      <w:r>
        <w:rPr>
          <w:i/>
          <w:iCs/>
        </w:rPr>
        <w:t xml:space="preserve">Journal of Retailing</w:t>
      </w:r>
      <w:r>
        <w:t xml:space="preserve">, 91(2): 182-197.</w:t>
      </w:r>
    </w:p>
    <w:p>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r>
        <w:t xml:space="preserve">Verhoef P.C., Kannan P.K. et Inman J.J. (2015), From multi-channel retailing to omni-channel retailing,</w:t>
      </w:r>
      <w:r>
        <w:t xml:space="preserve"> </w:t>
      </w:r>
      <w:r>
        <w:rPr>
          <w:i/>
          <w:iCs/>
        </w:rPr>
        <w:t xml:space="preserve">Journal of Retailing</w:t>
      </w:r>
      <w:r>
        <w:t xml:space="preserve">, 91(2): 174-181.</w:t>
      </w:r>
    </w:p>
    <w:p>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r>
        <w:t xml:space="preserve">Volle P. (coord.) (2012),</w:t>
      </w:r>
      <w:r>
        <w:t xml:space="preserve"> </w:t>
      </w:r>
      <w:r>
        <w:rPr>
          <w:i/>
          <w:iCs/>
        </w:rPr>
        <w:t xml:space="preserve">Stratégie clients : points de vue d’experts sur le management de la relation client</w:t>
      </w:r>
      <w:r>
        <w:t xml:space="preserve">, Paris, Pearson.</w:t>
      </w:r>
    </w:p>
    <w:p>
      <w:pPr/>
      <w:r>
        <w:t xml:space="preserve">Vroegrijk M., Gijsbrechts E. et Campo K. (2013), Close encounter with the hard discounter: a multiple-store shopping perspective on the impact of local hard-discounter entry,</w:t>
      </w:r>
      <w:r>
        <w:t xml:space="preserve"> </w:t>
      </w:r>
      <w:r>
        <w:rPr>
          <w:i/>
          <w:iCs/>
        </w:rPr>
        <w:t xml:space="preserve">Journal of Marketing Research</w:t>
      </w:r>
      <w:r>
        <w:t xml:space="preserve">, 50(5): 606-626.</w:t>
      </w:r>
    </w:p>
    <w:bookmarkEnd w:id="42"/>
    <w:bookmarkEnd w:id="43"/>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jc w:val="both"/>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32" Type="http://schemas.openxmlformats.org/officeDocument/2006/relationships/image" Target="media/rId32.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2026-07-16T09:46:57Z</dcterms:created>
  <dcterms:modified xsi:type="dcterms:W3CDTF">2026-07-16T09:46:57Z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