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7 710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~19-20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(coupe Enc. 3 + Fig. plan factoriel + Fig. motivations)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 structuré</w:t>
            </w:r>
          </w:p>
        </w:tc>
        <w:tc>
          <w:tcPr/>
          <w:p>
            <w:pPr>
              <w:pStyle w:val="Compact"/>
            </w:pPr>
            <w:r>
              <w:t xml:space="preserve">Objectifs · Méthodologie · Résultats · Implications managériales · Originalité · Mots-clés</w:t>
            </w:r>
          </w:p>
        </w:tc>
        <w:tc>
          <w:tcPr/>
          <w:p>
            <w:pPr>
              <w:pStyle w:val="Compact"/>
            </w:pPr>
            <w:r>
              <w:t xml:space="preserve">6 rubriques présentes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2 encadrés (dispositif, typologie)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4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2026-07-15T15:36:40Z</dcterms:created>
  <dcterms:modified xsi:type="dcterms:W3CDTF">2026-07-15T15:36:40Z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