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3"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beaucoup de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d910615a5fba353b3d54f6b81e64fbd2298d275"/>
    <w:p>
      <w:pPr>
        <w:jc w:val="left"/>
      </w:pPr>
      <w:r>
        <w:rPr>
          <w:rFonts w:ascii="Times New Roman" w:hAnsi="Times New Roman"/>
          <w:b/>
          <w:i w:val="0"/>
          <w:sz w:val="28"/>
        </w:rPr>
        <w:t xml:space="preserve">L’approvisionnement alimentaire, un comportement omnicanal</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conformément à l’écart attitude-comportement, l’adhésion déclarée serait nettement plus forte que le poids budgétaire effectif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1"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1"/>
    <w:bookmarkStart w:id="35"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4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4" title="" id="33" name="Picture"/>
            <a:graphic>
              <a:graphicData uri="http://schemas.openxmlformats.org/drawingml/2006/picture">
                <pic:pic>
                  <pic:nvPicPr>
                    <pic:cNvPr descr="../../figures/png/fig4_regression_or_nb.png" id="34" name="Picture"/>
                    <pic:cNvPicPr>
                      <a:picLocks noChangeArrowheads="1" noChangeAspect="1"/>
                    </pic:cNvPicPr>
                  </pic:nvPicPr>
                  <pic:blipFill>
                    <a:blip r:embed="rId32"/>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bookmarkEnd w:id="35"/>
    <w:bookmarkStart w:id="39" w:name="discussion-des-résultats"/>
    <w:p>
      <w:pPr>
        <w:jc w:val="left"/>
      </w:pPr>
      <w:r>
        <w:rPr>
          <w:rFonts w:ascii="Times New Roman" w:hAnsi="Times New Roman"/>
          <w:b/>
          <w:i w:val="0"/>
          <w:sz w:val="28"/>
        </w:rPr>
        <w:t xml:space="preserve">Discussion des résultats</w:t>
      </w:r>
    </w:p>
    <w:bookmarkStart w:id="36"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lecture par les buts (Harris et al., 2018, 2021) éclaire pourquoi cette complémentarité reste peu intensive : la vente directe répond à des buts</w:t>
      </w:r>
      <w:r>
        <w:t xml:space="preserve"> </w:t>
      </w:r>
      <w:r>
        <w:rPr>
          <w:b/>
          <w:bCs/>
        </w:rPr>
        <w:t xml:space="preserve">ponctuels</w:t>
      </w:r>
      <w:r>
        <w:t xml:space="preserve"> </w:t>
      </w:r>
      <w:r>
        <w:t xml:space="preserve">— une occasion, une envie de produits frais — plutôt qu’à un but stable et récurrent, ce qui explique qu’elle soit largement essayée sans devenir un canal d’approvisionnement régulier pour la majorité.</w:t>
      </w:r>
    </w:p>
    <w:bookmarkEnd w:id="36"/>
    <w:bookmarkStart w:id="37"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alors sa faible détermination sociodémographique est la</w:t>
      </w:r>
      <w:r>
        <w:t xml:space="preserve"> </w:t>
      </w:r>
      <w:r>
        <w:rPr>
          <w:b/>
          <w:bCs/>
        </w:rPr>
        <w:t xml:space="preserve">conséquence logique de sa fonction</w:t>
      </w:r>
      <w:r>
        <w:t xml:space="preserve">, non une singularité à expliquer.</w:t>
      </w:r>
    </w:p>
    <w:bookmarkEnd w:id="37"/>
    <w:bookmarkStart w:id="38"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38"/>
    <w:bookmarkEnd w:id="39"/>
    <w:bookmarkStart w:id="40"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à valeur d’ordre de grandeur.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plutôt qu’au seul lieu de production, élargissement des gammes pour couvrir une plus grande part du panier, horaires compatibles avec les actifs, animation de la relation client. La lecture omnicanale invite à ne pas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de l’achat local, dont les obstacles tiennent davantage à la commodité et à la disponibilité (Feldmann et Hamm, 2015).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r>
        <w:t xml:space="preserve">Ces leviers ne s’appliquent pas uniformément (Tableau 6) : l’effort de conversion vise en priorité les configurations qui essaient sans pérenniser — multi-canal modérés et explorateurs conventionnels —, les captifs relèvent d’un travail d’accès et de notoriété, et les intensifs, déjà acquis, du seul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bookmarkEnd w:id="40"/>
    <w:bookmarkStart w:id="41"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1"/>
    <w:bookmarkStart w:id="42"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2"/>
    <w:bookmarkEnd w:id="4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2" Type="http://schemas.openxmlformats.org/officeDocument/2006/relationships/image" Target="media/rId3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2026-07-15T15:36:40Z</dcterms:created>
  <dcterms:modified xsi:type="dcterms:W3CDTF">2026-07-15T15:36:40Z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