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Beaucoup l’essaient, peu l’adoptent »</w:t>
      </w:r>
    </w:p>
    <w:p>
      <w:pPr>
        <w:pStyle w:val="Subtitle"/>
      </w:pPr>
      <w:r>
        <w:t xml:space="preserve">La vente directe dans les stratégies d’approvisionnement des ménages français</w:t>
      </w:r>
    </w:p>
    <w:bookmarkStart w:id="44"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un tiers « soutenir les agriculteurs » — ce sont, dans notre enquête, les deux premières motivations citées (Figure 6).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pStyle w:val="BodyText"/>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pStyle w:val="BodyText"/>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5"/>
    <w:bookmarkStart w:id="29"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pStyle w:val="BodyText"/>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7" name="Picture"/>
            <a:graphic>
              <a:graphicData uri="http://schemas.openxmlformats.org/drawingml/2006/picture">
                <pic:pic>
                  <pic:nvPicPr>
                    <pic:cNvPr descr="../../figures/png/fig6_essai_ancrage_nb.png" id="28" name="Picture"/>
                    <pic:cNvPicPr>
                      <a:picLocks noChangeArrowheads="1" noChangeAspect="1"/>
                    </pic:cNvPicPr>
                  </pic:nvPicPr>
                  <pic:blipFill>
                    <a:blip r:embed="rId26"/>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l’ensemble : le taux inclusif de vente directe croît avec l’ampleur du répertoire de canaux (de 28 % chez les captifs à 100 % chez les explorateurs conventionnels), mais l’usage régulier ne culmine que chez les multi-canal intensifs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multi-canal intensifs l’ancrent dans une routine multi-canal dense, les captifs s’en tiennent à distance, les explorateurs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BodyText"/>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5" title="" id="35" name="Picture"/>
            <a:graphic>
              <a:graphicData uri="http://schemas.openxmlformats.org/drawingml/2006/picture">
                <pic:pic>
                  <pic:nvPicPr>
                    <pic:cNvPr descr="../../figures/png/fig4_regression_or_nb.png" id="36" name="Picture"/>
                    <pic:cNvPicPr>
                      <a:picLocks noChangeArrowheads="1" noChangeAspect="1"/>
                    </pic:cNvPicPr>
                  </pic:nvPicPr>
                  <pic:blipFill>
                    <a:blip r:embed="rId34"/>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plus diplômés y recourent un peu plus, l’essentiel de la pratique se distribue transversalement — comme l’illustre l’existence du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(elle suppose que les convertis achètent aussi intensément que les réguliers d’aujourd’hui) ; elle vaut comme ordre de grandeur, non comme prévision.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de la pratique, avec pour seul gradient net un léger sur-recours des plus diplômés, et encore à l’essai seulement, pas à l’adoption régulière —, il n’y a pas lieu de la réserver, dans les représentations comme dans le ciblage marketing, à un segment aisé et urbain. Les dispositifs peuvent viser tous les publics, y compris les budgets modestes : le profil adeptes de la proximité,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(multi-canal modérés, captifs, intensifs…), et non la position sociale, qui prédit le recours à la vente directe et indique le levier pertinent. Que le seul gradient social net passe par le</w:t>
      </w:r>
      <w:r>
        <w:t xml:space="preserve"> </w:t>
      </w:r>
      <w:r>
        <w:rPr>
          <w:b/>
          <w:bCs/>
        </w:rPr>
        <w:t xml:space="preserve">diplôme</w:t>
      </w:r>
      <w:r>
        <w:t xml:space="preserve"> </w:t>
      </w:r>
      <w:r>
        <w:t xml:space="preserve">plutôt que par le revenu ou la catégorie socioprofessionnelle est d’ailleurs riche d’enseignement : il oriente vers un frein</w:t>
      </w:r>
      <w:r>
        <w:t xml:space="preserve"> </w:t>
      </w:r>
      <w:r>
        <w:rPr>
          <w:b/>
          <w:bCs/>
        </w:rPr>
        <w:t xml:space="preserve">informationnel et culturel</w:t>
      </w:r>
      <w:r>
        <w:t xml:space="preserve"> </w:t>
      </w:r>
      <w:r>
        <w:t xml:space="preserve">— savoir où trouver ces circuits, en comprendre le fonctionnement — davantage que financier. Le déficit de notoriété relevé plus haut, où près d’un acheteur direct sur deux ignore ce qu’est une AMAP, va dans le même sens. Le levier n’est donc pas de rendre la vente directe moins chère, mais plus</w:t>
      </w:r>
      <w:r>
        <w:t xml:space="preserve"> </w:t>
      </w:r>
      <w:r>
        <w:rPr>
          <w:b/>
          <w:bCs/>
        </w:rPr>
        <w:t xml:space="preserve">lisible et accessible</w:t>
      </w:r>
      <w:r>
        <w:t xml:space="preserve"> </w:t>
      </w:r>
      <w:r>
        <w:t xml:space="preserve">pour des publics aujourd’hui tenus à distance moins par le pouvoir d’achat que par l’information.</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pStyle w:val="BodyText"/>
      </w:pPr>
      <w:r>
        <w:t xml:space="preserve">Ces leviers ne s’appliquent pas uniformément : la segmentation par les stratégies d’approvisionnement indique où porter l’effort et sur qui il est vain (Tableau 6). L’effort de conversion vise en priorité les configurations qui essaient sans pérenniser — multi-canal modérés et explorateurs conventionnels —, tandis que les captifs relèvent d’un travail d’accès et de notoriété, et que les intensifs, déjà acquis, ne sont un enjeu que de maintien.</w:t>
      </w:r>
    </w:p>
    <w:p>
      <w:pPr>
        <w:pStyle w:val="BodyText"/>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et sur l’essai plus que sur l’adoption,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convergentes sur ce point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2026-07-08T18:18:27Z</dcterms:created>
  <dcterms:modified xsi:type="dcterms:W3CDTF">2026-07-08T18:18:27Z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