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re-revue-de-vérification-stade-3"/>
    <w:p>
      <w:pPr>
        <w:pStyle w:val="Heading1"/>
      </w:pPr>
      <w:r>
        <w:t xml:space="preserve">Re-revue de vérification (Stade 3′)</w:t>
      </w:r>
    </w:p>
    <w:p>
      <w:pPr>
        <w:pStyle w:val="FirstParagraph"/>
      </w:pPr>
      <w:r>
        <w:rPr>
          <w:b/>
          <w:bCs/>
        </w:rPr>
        <w:t xml:space="preserve">Manuscrit :</w:t>
      </w:r>
      <w:r>
        <w:t xml:space="preserve"> </w:t>
      </w:r>
      <w:r>
        <w:t xml:space="preserve">« Beaucoup l’essaient, peu l’adoptent » — La vente directe dans les stratégies d’approvisionnement des ménages français</w:t>
      </w:r>
      <w:r>
        <w:t xml:space="preserve"> </w:t>
      </w:r>
      <w:r>
        <w:rPr>
          <w:b/>
          <w:bCs/>
        </w:rPr>
        <w:t xml:space="preserve">Revue cible :</w:t>
      </w:r>
      <w:r>
        <w:t xml:space="preserve"> </w:t>
      </w:r>
      <w:r>
        <w:rPr>
          <w:i/>
          <w:iCs/>
        </w:rPr>
        <w:t xml:space="preserve">Décisions Marketing</w:t>
      </w:r>
      <w:r>
        <w:t xml:space="preserve"> </w:t>
      </w:r>
      <w:r>
        <w:t xml:space="preserve">—</w:t>
      </w:r>
      <w:r>
        <w:t xml:space="preserve"> </w:t>
      </w:r>
      <w:r>
        <w:rPr>
          <w:b/>
          <w:bCs/>
        </w:rPr>
        <w:t xml:space="preserve">2ᵉ tour</w:t>
      </w:r>
      <w:r>
        <w:t xml:space="preserve">, après révision majeure</w:t>
      </w:r>
      <w:r>
        <w:t xml:space="preserve"> </w:t>
      </w:r>
      <w:r>
        <w:rPr>
          <w:b/>
          <w:bCs/>
        </w:rPr>
        <w:t xml:space="preserve">Mandat :</w:t>
      </w:r>
      <w:r>
        <w:t xml:space="preserve"> </w:t>
      </w:r>
      <w:r>
        <w:t xml:space="preserve">vérifier que les six exigences bloquantes du 1ᵉʳ tour sont</w:t>
      </w:r>
      <w:r>
        <w:t xml:space="preserve"> </w:t>
      </w:r>
      <w:r>
        <w:rPr>
          <w:b/>
          <w:bCs/>
        </w:rPr>
        <w:t xml:space="preserve">effectivement</w:t>
      </w:r>
      <w:r>
        <w:t xml:space="preserve"> </w:t>
      </w:r>
      <w:r>
        <w:t xml:space="preserve">levées (contrôle du manuscrit, pas de la seule lettre de réponse) et statuer sur une décision révisée.</w:t>
      </w:r>
    </w:p>
    <w:p>
      <w:pPr>
        <w:pStyle w:val="BlockText"/>
      </w:pPr>
      <w:r>
        <w:rPr>
          <w:b/>
          <w:bCs/>
        </w:rPr>
        <w:t xml:space="preserve">Mode vérification.</w:t>
      </w:r>
      <w:r>
        <w:t xml:space="preserve"> </w:t>
      </w:r>
      <w:r>
        <w:t xml:space="preserve">Contrairement au 1ᵉʳ tour, ce document ne rouvre pas l’ensemble de l’évaluation : il reprend les points soulevés, les confronte au</w:t>
      </w:r>
      <w:r>
        <w:t xml:space="preserve"> </w:t>
      </w:r>
      <w:r>
        <w:rPr>
          <w:b/>
          <w:bCs/>
        </w:rPr>
        <w:t xml:space="preserve">texte révisé</w:t>
      </w:r>
      <w:r>
        <w:t xml:space="preserve"> </w:t>
      </w:r>
      <w:r>
        <w:t xml:space="preserve">(localisation à l’appui) et rend un verdict par point — RÉSOLU / PARTIEL / NON RÉSOLU. L’avocat du diable re-teste ses trois attaques et n’accorde de concession que si la réponse le convainc réellement (score ≥ 4/5). Aucun relecteur n’a modifié le manuscrit.</w:t>
      </w:r>
    </w:p>
    <w:p>
      <w:r>
        <w:pict>
          <v:rect style="width:0;height:1.5pt" o:hralign="center" o:hrstd="t" o:hr="t"/>
        </w:pict>
      </w:r>
    </w:p>
    <w:bookmarkStart w:id="9" w:name="Xb6dea884bbba2673b913c4d7fe9ac0d3528511b"/>
    <w:p>
      <w:pPr>
        <w:pStyle w:val="Heading2"/>
      </w:pPr>
      <w:r>
        <w:t xml:space="preserve">Matrice de vérification des exigences bloquantes</w:t>
      </w:r>
    </w:p>
    <w:tbl>
      <w:tblPr>
        <w:tblStyle w:val="Table"/>
        <w:tblW w:type="pct" w:w="5000"/>
        <w:tblLayout w:type="fixed"/>
        <w:tblLook w:firstRow="1" w:lastRow="0" w:firstColumn="0" w:lastColumn="0" w:noHBand="0" w:noVBand="0" w:val="0020"/>
      </w:tblPr>
      <w:tblGrid>
        <w:gridCol w:w="325"/>
        <w:gridCol w:w="2278"/>
        <w:gridCol w:w="4339"/>
        <w:gridCol w:w="976"/>
      </w:tblGrid>
      <w:tr>
        <w:trPr>
          <w:tblHeader w:val="on"/>
        </w:trPr>
        <w:tc>
          <w:tcPr/>
          <w:p>
            <w:pPr>
              <w:pStyle w:val="Compact"/>
            </w:pPr>
            <w:r>
              <w:t xml:space="preserve">#</w:t>
            </w:r>
          </w:p>
        </w:tc>
        <w:tc>
          <w:tcPr/>
          <w:p>
            <w:pPr>
              <w:pStyle w:val="Compact"/>
            </w:pPr>
            <w:r>
              <w:t xml:space="preserve">Exigence (1ᵉʳ tour)</w:t>
            </w:r>
          </w:p>
        </w:tc>
        <w:tc>
          <w:tcPr/>
          <w:p>
            <w:pPr>
              <w:pStyle w:val="Compact"/>
            </w:pPr>
            <w:r>
              <w:t xml:space="preserve">Vérification dans le manuscrit révisé</w:t>
            </w:r>
          </w:p>
        </w:tc>
        <w:tc>
          <w:tcPr/>
          <w:p>
            <w:pPr>
              <w:pStyle w:val="Compact"/>
              <w:jc w:val="center"/>
            </w:pPr>
            <w:r>
              <w:t xml:space="preserve">Verdict</w:t>
            </w:r>
          </w:p>
        </w:tc>
      </w:tr>
      <w:tr>
        <w:tc>
          <w:tcPr/>
          <w:p>
            <w:pPr>
              <w:pStyle w:val="Compact"/>
            </w:pPr>
            <w:r>
              <w:t xml:space="preserve">A1</w:t>
            </w:r>
          </w:p>
        </w:tc>
        <w:tc>
          <w:tcPr/>
          <w:p>
            <w:pPr>
              <w:pStyle w:val="Compact"/>
            </w:pPr>
            <w:r>
              <w:t xml:space="preserve">Diagnostics de partition (silhouette, inertie, stabilité 4/5/6)</w:t>
            </w:r>
          </w:p>
        </w:tc>
        <w:tc>
          <w:tcPr/>
          <w:p>
            <w:pPr>
              <w:pStyle w:val="Compact"/>
            </w:pPr>
            <w:r>
              <w:t xml:space="preserve">Encadré 2 : inertie ACM (62 % sur 2 axes), silhouette</w:t>
            </w:r>
            <w:r>
              <w:t xml:space="preserve"> </w:t>
            </w:r>
            <w:r>
              <w:rPr>
                <w:b/>
                <w:bCs/>
              </w:rPr>
              <w:t xml:space="preserve">0,24</w:t>
            </w:r>
            <w:r>
              <w:t xml:space="preserve"> </w:t>
            </w:r>
            <w:r>
              <w:t xml:space="preserve">à 5 classes explicitement comparée à 0,21 (k=4) / 0,23 (k=6), justification du choix à 5. La silhouette modérée est nommée comme telle.</w:t>
            </w:r>
          </w:p>
        </w:tc>
        <w:tc>
          <w:tcPr/>
          <w:p>
            <w:pPr>
              <w:pStyle w:val="Compact"/>
              <w:jc w:val="center"/>
            </w:pPr>
            <w:r>
              <w:t xml:space="preserve">✅ RÉSOLU</w:t>
            </w:r>
          </w:p>
        </w:tc>
      </w:tr>
      <w:tr>
        <w:tc>
          <w:tcPr/>
          <w:p>
            <w:pPr>
              <w:pStyle w:val="Compact"/>
            </w:pPr>
            <w:r>
              <w:t xml:space="preserve">A2</w:t>
            </w:r>
          </w:p>
        </w:tc>
        <w:tc>
          <w:tcPr/>
          <w:p>
            <w:pPr>
              <w:pStyle w:val="Compact"/>
            </w:pPr>
            <w:r>
              <w:t xml:space="preserve">Effectifs bruts (n) + prudence sur la petite classe</w:t>
            </w:r>
          </w:p>
        </w:tc>
        <w:tc>
          <w:tcPr/>
          <w:p>
            <w:pPr>
              <w:pStyle w:val="Compact"/>
            </w:pPr>
            <w:r>
              <w:t xml:space="preserve">Tableau 5 : n = 624/249/79/47/26 en clair ; note de prudence sur n = 26 ; reprise en Limites.</w:t>
            </w:r>
          </w:p>
        </w:tc>
        <w:tc>
          <w:tcPr/>
          <w:p>
            <w:pPr>
              <w:pStyle w:val="Compact"/>
              <w:jc w:val="center"/>
            </w:pPr>
            <w:r>
              <w:t xml:space="preserve">✅ RÉSOLU</w:t>
            </w:r>
          </w:p>
        </w:tc>
      </w:tr>
      <w:tr>
        <w:tc>
          <w:tcPr/>
          <w:p>
            <w:pPr>
              <w:pStyle w:val="Compact"/>
            </w:pPr>
            <w:r>
              <w:t xml:space="preserve">A3</w:t>
            </w:r>
          </w:p>
        </w:tc>
        <w:tc>
          <w:tcPr/>
          <w:p>
            <w:pPr>
              <w:pStyle w:val="Compact"/>
            </w:pPr>
            <w:r>
              <w:t xml:space="preserve">Montrer que les classes diffèrent par la</w:t>
            </w:r>
            <w:r>
              <w:t xml:space="preserve"> </w:t>
            </w:r>
            <w:r>
              <w:rPr>
                <w:i/>
                <w:iCs/>
              </w:rPr>
              <w:t xml:space="preserve">combinaison</w:t>
            </w:r>
            <w:r>
              <w:t xml:space="preserve">, pas l’intensité (AD-2)</w:t>
            </w:r>
          </w:p>
        </w:tc>
        <w:tc>
          <w:tcPr/>
          <w:p>
            <w:pPr>
              <w:pStyle w:val="Compact"/>
            </w:pPr>
            <w:r>
              <w:t xml:space="preserve">§« Cinq stratégies » + calcul §1d (usage régulier canal×classe) : C5 seul groupe sans hyper régulier ; C3 vs C4 à répertoire égal, VD régulière 67 % vs 19 %. Argument recevable.</w:t>
            </w:r>
          </w:p>
        </w:tc>
        <w:tc>
          <w:tcPr/>
          <w:p>
            <w:pPr>
              <w:pStyle w:val="Compact"/>
              <w:jc w:val="center"/>
            </w:pPr>
            <w:r>
              <w:t xml:space="preserve">✅ RÉSOLU</w:t>
            </w:r>
          </w:p>
        </w:tc>
      </w:tr>
      <w:tr>
        <w:tc>
          <w:tcPr/>
          <w:p>
            <w:pPr>
              <w:pStyle w:val="Compact"/>
            </w:pPr>
            <w:r>
              <w:t xml:space="preserve">B1</w:t>
            </w:r>
          </w:p>
        </w:tc>
        <w:tc>
          <w:tcPr/>
          <w:p>
            <w:pPr>
              <w:pStyle w:val="Compact"/>
            </w:pPr>
            <w:r>
              <w:t xml:space="preserve">Tableau de sensibilité définition × dénominateur (AD-1)</w:t>
            </w:r>
          </w:p>
        </w:tc>
        <w:tc>
          <w:tcPr/>
          <w:p>
            <w:pPr>
              <w:pStyle w:val="Compact"/>
            </w:pPr>
            <w:r>
              <w:t xml:space="preserve">Nouveau</w:t>
            </w:r>
            <w:r>
              <w:t xml:space="preserve"> </w:t>
            </w:r>
            <w:r>
              <w:rPr>
                <w:b/>
                <w:bCs/>
              </w:rPr>
              <w:t xml:space="preserve">Tableau 3</w:t>
            </w:r>
            <w:r>
              <w:t xml:space="preserve"> </w:t>
            </w:r>
            <w:r>
              <w:t xml:space="preserve">; texte d’accompagnement démontrant la survie du paradoxe sous la définition stricte.</w:t>
            </w:r>
          </w:p>
        </w:tc>
        <w:tc>
          <w:tcPr/>
          <w:p>
            <w:pPr>
              <w:pStyle w:val="Compact"/>
              <w:jc w:val="center"/>
            </w:pPr>
            <w:r>
              <w:t xml:space="preserve">✅ RÉSOLU</w:t>
            </w:r>
          </w:p>
        </w:tc>
      </w:tr>
      <w:tr>
        <w:tc>
          <w:tcPr/>
          <w:p>
            <w:pPr>
              <w:pStyle w:val="Compact"/>
            </w:pPr>
            <w:r>
              <w:t xml:space="preserve">B2</w:t>
            </w:r>
          </w:p>
        </w:tc>
        <w:tc>
          <w:tcPr/>
          <w:p>
            <w:pPr>
              <w:pStyle w:val="Compact"/>
            </w:pPr>
            <w:r>
              <w:t xml:space="preserve">IC sur les taux clés</w:t>
            </w:r>
          </w:p>
        </w:tc>
        <w:tc>
          <w:tcPr/>
          <w:p>
            <w:pPr>
              <w:pStyle w:val="Compact"/>
            </w:pPr>
            <w:r>
              <w:t xml:space="preserve">IC de Wilson sur 65,0 % [62,0–67,8], 49,7 % [46,6–52,7], 17,3 % [15,1–19,7].</w:t>
            </w:r>
          </w:p>
        </w:tc>
        <w:tc>
          <w:tcPr/>
          <w:p>
            <w:pPr>
              <w:pStyle w:val="Compact"/>
              <w:jc w:val="center"/>
            </w:pPr>
            <w:r>
              <w:t xml:space="preserve">✅ RÉSOLU</w:t>
            </w:r>
          </w:p>
        </w:tc>
      </w:tr>
      <w:tr>
        <w:tc>
          <w:tcPr/>
          <w:p>
            <w:pPr>
              <w:pStyle w:val="Compact"/>
            </w:pPr>
            <w:r>
              <w:t xml:space="preserve">B3</w:t>
            </w:r>
          </w:p>
        </w:tc>
        <w:tc>
          <w:tcPr/>
          <w:p>
            <w:pPr>
              <w:pStyle w:val="Compact"/>
            </w:pPr>
            <w:r>
              <w:t xml:space="preserve">Tester le gradient diplôme sur la VD régulière</w:t>
            </w:r>
          </w:p>
        </w:tc>
        <w:tc>
          <w:tcPr/>
          <w:p>
            <w:pPr>
              <w:pStyle w:val="Compact"/>
            </w:pPr>
            <w:r>
              <w:t xml:space="preserve">§« Déterminants » : OR bac+3 passe de 1,89 (essai) à</w:t>
            </w:r>
            <w:r>
              <w:t xml:space="preserve"> </w:t>
            </w:r>
            <w:r>
              <w:rPr>
                <w:b/>
                <w:bCs/>
              </w:rPr>
              <w:t xml:space="preserve">1,22, p = 0,45</w:t>
            </w:r>
            <w:r>
              <w:t xml:space="preserve"> </w:t>
            </w:r>
            <w:r>
              <w:t xml:space="preserve">(adoption) ; résultat surfacé, non tu.</w:t>
            </w:r>
          </w:p>
        </w:tc>
        <w:tc>
          <w:tcPr/>
          <w:p>
            <w:pPr>
              <w:pStyle w:val="Compact"/>
              <w:jc w:val="center"/>
            </w:pPr>
            <w:r>
              <w:t xml:space="preserve">✅ RÉSOLU (exemplaire)</w:t>
            </w:r>
          </w:p>
        </w:tc>
      </w:tr>
      <w:tr>
        <w:tc>
          <w:tcPr/>
          <w:p>
            <w:pPr>
              <w:pStyle w:val="Compact"/>
            </w:pPr>
            <w:r>
              <w:t xml:space="preserve">C1</w:t>
            </w:r>
          </w:p>
        </w:tc>
        <w:tc>
          <w:tcPr/>
          <w:p>
            <w:pPr>
              <w:pStyle w:val="Compact"/>
            </w:pPr>
            <w:r>
              <w:t xml:space="preserve">Distinguer intermittence / abandon + saisonnalité (AD-3)</w:t>
            </w:r>
          </w:p>
        </w:tc>
        <w:tc>
          <w:tcPr/>
          <w:p>
            <w:pPr>
              <w:pStyle w:val="Compact"/>
            </w:pPr>
            <w:r>
              <w:t xml:space="preserve">§« Essai/adoption » : abandon vrai 15–19 % isolé du « 46 % pas ce mois » ; terrain</w:t>
            </w:r>
            <w:r>
              <w:t xml:space="preserve"> </w:t>
            </w:r>
            <w:r>
              <w:rPr>
                <w:b/>
                <w:bCs/>
              </w:rPr>
              <w:t xml:space="preserve">septembre</w:t>
            </w:r>
            <w:r>
              <w:t xml:space="preserve"> </w:t>
            </w:r>
            <w:r>
              <w:t xml:space="preserve">précisé (Encadré 1) et son sens discuté.</w:t>
            </w:r>
          </w:p>
        </w:tc>
        <w:tc>
          <w:tcPr/>
          <w:p>
            <w:pPr>
              <w:pStyle w:val="Compact"/>
              <w:jc w:val="center"/>
            </w:pPr>
            <w:r>
              <w:t xml:space="preserve">✅ RÉSOLU</w:t>
            </w:r>
          </w:p>
        </w:tc>
      </w:tr>
      <w:tr>
        <w:tc>
          <w:tcPr/>
          <w:p>
            <w:pPr>
              <w:pStyle w:val="Compact"/>
            </w:pPr>
            <w:r>
              <w:t xml:space="preserve">C2</w:t>
            </w:r>
          </w:p>
        </w:tc>
        <w:tc>
          <w:tcPr/>
          <w:p>
            <w:pPr>
              <w:pStyle w:val="Compact"/>
            </w:pPr>
            <w:r>
              <w:t xml:space="preserve">Sécuriser les chiffres AMAP (n, format)</w:t>
            </w:r>
          </w:p>
        </w:tc>
        <w:tc>
          <w:tcPr/>
          <w:p>
            <w:pPr>
              <w:pStyle w:val="Compact"/>
            </w:pPr>
            <w:r>
              <w:t xml:space="preserve">65 % désormais assorti de</w:t>
            </w:r>
            <w:r>
              <w:t xml:space="preserve"> </w:t>
            </w:r>
            <w:r>
              <w:rPr>
                <w:b/>
                <w:bCs/>
              </w:rPr>
              <w:t xml:space="preserve">n = 116</w:t>
            </w:r>
            <w:r>
              <w:t xml:space="preserve"> </w:t>
            </w:r>
            <w:r>
              <w:t xml:space="preserve">(41 + 75) et</w:t>
            </w:r>
            <w:r>
              <w:t xml:space="preserve"> </w:t>
            </w:r>
            <w:r>
              <w:rPr>
                <w:b/>
                <w:bCs/>
              </w:rPr>
              <w:t xml:space="preserve">IC [56–73]</w:t>
            </w:r>
            <w:r>
              <w:t xml:space="preserve">, avec réserve sur l’effectif ; notoriété sur base explicite (236/509).</w:t>
            </w:r>
          </w:p>
        </w:tc>
        <w:tc>
          <w:tcPr/>
          <w:p>
            <w:pPr>
              <w:pStyle w:val="Compact"/>
              <w:jc w:val="center"/>
            </w:pPr>
            <w:r>
              <w:t xml:space="preserve">✅ RÉSOLU</w:t>
            </w:r>
          </w:p>
        </w:tc>
      </w:tr>
      <w:tr>
        <w:tc>
          <w:tcPr/>
          <w:p>
            <w:pPr>
              <w:pStyle w:val="Compact"/>
            </w:pPr>
            <w:r>
              <w:t xml:space="preserve">C3</w:t>
            </w:r>
          </w:p>
        </w:tc>
        <w:tc>
          <w:tcPr/>
          <w:p>
            <w:pPr>
              <w:pStyle w:val="Compact"/>
            </w:pPr>
            <w:r>
              <w:t xml:space="preserve">Biais producteur/revendeur de la porte marché</w:t>
            </w:r>
          </w:p>
        </w:tc>
        <w:tc>
          <w:tcPr/>
          <w:p>
            <w:pPr>
              <w:pStyle w:val="Compact"/>
            </w:pPr>
            <w:r>
              <w:t xml:space="preserve">§« Limites » : la seconde porte est une auto-déclaration incertaine → 65 % traité comme</w:t>
            </w:r>
            <w:r>
              <w:t xml:space="preserve"> </w:t>
            </w:r>
            <w:r>
              <w:rPr>
                <w:b/>
                <w:bCs/>
              </w:rPr>
              <w:t xml:space="preserve">borne haute</w:t>
            </w:r>
            <w:r>
              <w:t xml:space="preserve">.</w:t>
            </w:r>
          </w:p>
        </w:tc>
        <w:tc>
          <w:tcPr/>
          <w:p>
            <w:pPr>
              <w:pStyle w:val="Compact"/>
              <w:jc w:val="center"/>
            </w:pPr>
            <w:r>
              <w:t xml:space="preserve">✅ RÉSOLU</w:t>
            </w:r>
          </w:p>
        </w:tc>
      </w:tr>
      <w:tr>
        <w:tc>
          <w:tcPr/>
          <w:p>
            <w:pPr>
              <w:pStyle w:val="Compact"/>
            </w:pPr>
            <w:r>
              <w:t xml:space="preserve">D</w:t>
            </w:r>
          </w:p>
        </w:tc>
        <w:tc>
          <w:tcPr/>
          <w:p>
            <w:pPr>
              <w:pStyle w:val="Compact"/>
            </w:pPr>
            <w:r>
              <w:t xml:space="preserve">Recommandations par segment et par acteur</w:t>
            </w:r>
          </w:p>
        </w:tc>
        <w:tc>
          <w:tcPr/>
          <w:p>
            <w:pPr>
              <w:pStyle w:val="Compact"/>
            </w:pPr>
            <w:r>
              <w:t xml:space="preserve">Nouveau</w:t>
            </w:r>
            <w:r>
              <w:t xml:space="preserve"> </w:t>
            </w:r>
            <w:r>
              <w:rPr>
                <w:b/>
                <w:bCs/>
              </w:rPr>
              <w:t xml:space="preserve">Tableau 6</w:t>
            </w:r>
            <w:r>
              <w:t xml:space="preserve"> </w:t>
            </w:r>
            <w:r>
              <w:t xml:space="preserve">(levier × stratégie × acteur).</w:t>
            </w:r>
          </w:p>
        </w:tc>
        <w:tc>
          <w:tcPr/>
          <w:p>
            <w:pPr>
              <w:pStyle w:val="Compact"/>
              <w:jc w:val="center"/>
            </w:pPr>
            <w:r>
              <w:t xml:space="preserve">✅ RÉSOLU</w:t>
            </w:r>
          </w:p>
        </w:tc>
      </w:tr>
      <w:tr>
        <w:tc>
          <w:tcPr/>
          <w:p>
            <w:pPr>
              <w:pStyle w:val="Compact"/>
            </w:pPr>
            <w:r>
              <w:t xml:space="preserve">E</w:t>
            </w:r>
          </w:p>
        </w:tc>
        <w:tc>
          <w:tcPr/>
          <w:p>
            <w:pPr>
              <w:pStyle w:val="Compact"/>
            </w:pPr>
            <w:r>
              <w:t xml:space="preserve">Chiffrer l’enjeu de conversion</w:t>
            </w:r>
          </w:p>
        </w:tc>
        <w:tc>
          <w:tcPr/>
          <w:p>
            <w:pPr>
              <w:pStyle w:val="Compact"/>
            </w:pPr>
            <w:r>
              <w:t xml:space="preserve">Ordre de grandeur 1,5 % → ~4 % (quasi-triplement), étiqueté illustratif.</w:t>
            </w:r>
          </w:p>
        </w:tc>
        <w:tc>
          <w:tcPr/>
          <w:p>
            <w:pPr>
              <w:pStyle w:val="Compact"/>
              <w:jc w:val="center"/>
            </w:pPr>
            <w:r>
              <w:t xml:space="preserve">✅ RÉSOLU</w:t>
            </w:r>
          </w:p>
        </w:tc>
      </w:tr>
      <w:tr>
        <w:tc>
          <w:tcPr/>
          <w:p>
            <w:pPr>
              <w:pStyle w:val="Compact"/>
            </w:pPr>
            <w:r>
              <w:t xml:space="preserve">min.</w:t>
            </w:r>
          </w:p>
        </w:tc>
        <w:tc>
          <w:tcPr/>
          <w:p>
            <w:pPr>
              <w:pStyle w:val="Compact"/>
            </w:pPr>
            <w:r>
              <w:t xml:space="preserve">« inédit » nuancé, accroche sourcée, comparaison artisans encadrée, colinéarité</w:t>
            </w:r>
          </w:p>
        </w:tc>
        <w:tc>
          <w:tcPr/>
          <w:p>
            <w:pPr>
              <w:pStyle w:val="Compact"/>
            </w:pPr>
            <w:r>
              <w:t xml:space="preserve">Tous présents : « rarement appliqué de façon explicite » ; accroche reliée à la Figure 6 ; note sur bases 893 vs 509 ; V de Cramér diplôme×CSP = 0,29.</w:t>
            </w:r>
          </w:p>
        </w:tc>
        <w:tc>
          <w:tcPr/>
          <w:p>
            <w:pPr>
              <w:pStyle w:val="Compact"/>
              <w:jc w:val="center"/>
            </w:pPr>
            <w:r>
              <w:t xml:space="preserve">✅ RÉSOLU</w:t>
            </w:r>
          </w:p>
        </w:tc>
      </w:tr>
    </w:tbl>
    <w:p>
      <w:pPr>
        <w:pStyle w:val="BodyText"/>
      </w:pPr>
      <w:r>
        <w:rPr>
          <w:b/>
          <w:bCs/>
        </w:rPr>
        <w:t xml:space="preserve">Bilan : 12/12 points vérifiés RÉSOLUS.</w:t>
      </w:r>
      <w:r>
        <w:t xml:space="preserve"> </w:t>
      </w:r>
      <w:r>
        <w:t xml:space="preserve">Aucune exigence bloquante ne subsiste. La qualité de la révision est notable, en particulier le traitement du point B3, où les auteur·e·s ont choisi de</w:t>
      </w:r>
      <w:r>
        <w:t xml:space="preserve"> </w:t>
      </w:r>
      <w:r>
        <w:rPr>
          <w:b/>
          <w:bCs/>
        </w:rPr>
        <w:t xml:space="preserve">révéler</w:t>
      </w:r>
      <w:r>
        <w:t xml:space="preserve"> </w:t>
      </w:r>
      <w:r>
        <w:t xml:space="preserve">un résultat nul défavorable à une lecture facile plutôt que de le passer sous silence — comportement que le comité valorise explicitement.</w:t>
      </w:r>
    </w:p>
    <w:p>
      <w:r>
        <w:pict>
          <v:rect style="width:0;height:1.5pt" o:hralign="center" o:hrstd="t" o:hr="t"/>
        </w:pict>
      </w:r>
    </w:p>
    <w:bookmarkEnd w:id="9"/>
    <w:bookmarkStart w:id="10" w:name="Xc6a951dd873f51b98be8fc9702b3bbbd7bbdd1a"/>
    <w:p>
      <w:pPr>
        <w:pStyle w:val="Heading2"/>
      </w:pPr>
      <w:r>
        <w:t xml:space="preserve">Avocat du diable — re-test des trois attaques</w:t>
      </w:r>
    </w:p>
    <w:p>
      <w:pPr>
        <w:pStyle w:val="FirstParagraph"/>
      </w:pPr>
      <w:r>
        <w:rPr>
          <w:b/>
          <w:bCs/>
        </w:rPr>
        <w:t xml:space="preserve">Attaque 1 (le paradoxe = artefact de dénominateurs).</w:t>
      </w:r>
      <w:r>
        <w:t xml:space="preserve"> </w:t>
      </w:r>
      <w:r>
        <w:t xml:space="preserve">Le Tableau 3 met les trois définitions et les deux dénominateurs à plat ; le paradoxe subsiste (17 % régulier, 8,5 % chez eux ; 65 % inclusif, 1,5 % national).</w:t>
      </w:r>
      <w:r>
        <w:t xml:space="preserve"> </w:t>
      </w:r>
      <w:r>
        <w:rPr>
          <w:b/>
          <w:bCs/>
        </w:rPr>
        <w:t xml:space="preserve">Réponse convaincante — score 5/5 → concession accordée.</w:t>
      </w:r>
      <w:r>
        <w:t xml:space="preserve"> </w:t>
      </w:r>
      <w:r>
        <w:t xml:space="preserve">L’attaque tombe.</w:t>
      </w:r>
    </w:p>
    <w:p>
      <w:pPr>
        <w:pStyle w:val="BodyText"/>
      </w:pPr>
      <w:r>
        <w:rPr>
          <w:b/>
          <w:bCs/>
        </w:rPr>
        <w:t xml:space="preserve">Attaque 2 (typologie = intensité déguisée).</w:t>
      </w:r>
      <w:r>
        <w:t xml:space="preserve"> </w:t>
      </w:r>
      <w:r>
        <w:t xml:space="preserve">Le profil d’usage régulier canal par canal montre au moins une distinction qualitative nette (C5 sans hyper régulier) et une dissociation intensité/largeur (C3 vs C4). La silhouette reste modérée (0,24), désormais</w:t>
      </w:r>
      <w:r>
        <w:t xml:space="preserve"> </w:t>
      </w:r>
      <w:r>
        <w:rPr>
          <w:b/>
          <w:bCs/>
        </w:rPr>
        <w:t xml:space="preserve">assumée</w:t>
      </w:r>
      <w:r>
        <w:t xml:space="preserve">.</w:t>
      </w:r>
      <w:r>
        <w:t xml:space="preserve"> </w:t>
      </w:r>
      <w:r>
        <w:rPr>
          <w:b/>
          <w:bCs/>
        </w:rPr>
        <w:t xml:space="preserve">Réponse convaincante — score 4/5 → concession accordée</w:t>
      </w:r>
      <w:r>
        <w:t xml:space="preserve">, la partition n’étant pas un simple gradient. Réserve résiduelle mineure (voir ci-dessous) : la classe C5 (n = 26) porte une part de la démonstration.</w:t>
      </w:r>
    </w:p>
    <w:p>
      <w:pPr>
        <w:pStyle w:val="BodyText"/>
      </w:pPr>
      <w:r>
        <w:rPr>
          <w:b/>
          <w:bCs/>
        </w:rPr>
        <w:t xml:space="preserve">Attaque 3 (essai→adoption = saisonnalité).</w:t>
      </w:r>
      <w:r>
        <w:t xml:space="preserve"> </w:t>
      </w:r>
      <w:r>
        <w:t xml:space="preserve">La distinction intermittence / abandon vrai et la mention du terrain de septembre (mois favorable) désamorcent l’objection : le décrochage définitif est modéré (15–19 %), le récit ne repose plus sur la confusion.</w:t>
      </w:r>
      <w:r>
        <w:t xml:space="preserve"> </w:t>
      </w:r>
      <w:r>
        <w:rPr>
          <w:b/>
          <w:bCs/>
        </w:rPr>
        <w:t xml:space="preserve">Réponse convaincante — score 5/5 → concession accordée.</w:t>
      </w:r>
    </w:p>
    <w:p>
      <w:pPr>
        <w:pStyle w:val="BodyText"/>
      </w:pPr>
      <w:r>
        <w:rPr>
          <w:b/>
          <w:bCs/>
        </w:rPr>
        <w:t xml:space="preserve">Auto-évaluation anti-complaisance :</w:t>
      </w:r>
      <w:r>
        <w:t xml:space="preserve"> </w:t>
      </w:r>
      <w:r>
        <w:t xml:space="preserve">les trois concessions sont accordées à 4–5/5, seuil requis ; aucune concession de complaisance. L’avocat du diable ne maintient</w:t>
      </w:r>
      <w:r>
        <w:t xml:space="preserve"> </w:t>
      </w:r>
      <w:r>
        <w:rPr>
          <w:b/>
          <w:bCs/>
        </w:rPr>
        <w:t xml:space="preserve">aucune</w:t>
      </w:r>
      <w:r>
        <w:t xml:space="preserve"> </w:t>
      </w:r>
      <w:r>
        <w:t xml:space="preserve">attaque bloquante.</w:t>
      </w:r>
    </w:p>
    <w:p>
      <w:r>
        <w:pict>
          <v:rect style="width:0;height:1.5pt" o:hralign="center" o:hrstd="t" o:hr="t"/>
        </w:pict>
      </w:r>
    </w:p>
    <w:bookmarkEnd w:id="10"/>
    <w:bookmarkStart w:id="11" w:name="points-résiduels-mineurs-non-bloquants"/>
    <w:p>
      <w:pPr>
        <w:pStyle w:val="Heading2"/>
      </w:pPr>
      <w:r>
        <w:t xml:space="preserve">Points résiduels — mineurs, non bloquants</w:t>
      </w:r>
    </w:p>
    <w:p>
      <w:pPr>
        <w:pStyle w:val="FirstParagraph"/>
      </w:pPr>
      <w:r>
        <w:t xml:space="preserve">Ces points n’empêchent pas l’acceptation ; ils relèvent du polissage éditorial d’un dernier tour.</w:t>
      </w:r>
    </w:p>
    <w:p>
      <w:pPr>
        <w:numPr>
          <w:ilvl w:val="0"/>
          <w:numId w:val="1001"/>
        </w:numPr>
      </w:pPr>
      <w:r>
        <w:rPr>
          <w:b/>
          <w:bCs/>
        </w:rPr>
        <w:t xml:space="preserve">Cohérence du discours sur le diplôme (m1).</w:t>
      </w:r>
      <w:r>
        <w:t xml:space="preserve"> </w:t>
      </w:r>
      <w:r>
        <w:t xml:space="preserve">Une fois établi que le diplôme prédit l’essai mais non l’adoption (B3), la recommandation 3 et l’Encadré 3 (« le seul gradient net est le diplôme ») gagneraient à préciser que ce gradient concerne l’</w:t>
      </w:r>
      <w:r>
        <w:rPr>
          <w:b/>
          <w:bCs/>
        </w:rPr>
        <w:t xml:space="preserve">entrée</w:t>
      </w:r>
      <w:r>
        <w:t xml:space="preserve"> </w:t>
      </w:r>
      <w:r>
        <w:t xml:space="preserve">dans la pratique (notoriété, information), cohérent avec le frein informationnel invoqué — pour éviter toute lecture d’un déterminant de l’adoption.</w:t>
      </w:r>
      <w:r>
        <w:t xml:space="preserve"> </w:t>
      </w:r>
      <w:r>
        <w:rPr>
          <w:i/>
          <w:iCs/>
        </w:rPr>
        <w:t xml:space="preserve">Une demi-phrase suffit.</w:t>
      </w:r>
    </w:p>
    <w:p>
      <w:pPr>
        <w:numPr>
          <w:ilvl w:val="0"/>
          <w:numId w:val="1001"/>
        </w:numPr>
      </w:pPr>
      <w:r>
        <w:rPr>
          <w:b/>
          <w:bCs/>
        </w:rPr>
        <w:t xml:space="preserve">Statut de la projection de conversion (m2).</w:t>
      </w:r>
      <w:r>
        <w:t xml:space="preserve"> </w:t>
      </w:r>
      <w:r>
        <w:t xml:space="preserve">Le passage 1,5 % → ~4 % suppose que les convertis atteignent l’intensité des réguliers actuels ; c’est un</w:t>
      </w:r>
      <w:r>
        <w:t xml:space="preserve"> </w:t>
      </w:r>
      <w:r>
        <w:rPr>
          <w:b/>
          <w:bCs/>
        </w:rPr>
        <w:t xml:space="preserve">majorant</w:t>
      </w:r>
      <w:r>
        <w:t xml:space="preserve"> </w:t>
      </w:r>
      <w:r>
        <w:t xml:space="preserve">raisonnable. Le qualifier explicitement de borne haute (et non seulement d’« illustratif ») fiabiliserait le chiffre auprès d’un lecteur exigeant.</w:t>
      </w:r>
    </w:p>
    <w:p>
      <w:pPr>
        <w:numPr>
          <w:ilvl w:val="0"/>
          <w:numId w:val="1001"/>
        </w:numPr>
      </w:pPr>
      <w:r>
        <w:rPr>
          <w:b/>
          <w:bCs/>
        </w:rPr>
        <w:t xml:space="preserve">Budget de mots (m3, éditorial).</w:t>
      </w:r>
      <w:r>
        <w:t xml:space="preserve"> </w:t>
      </w:r>
      <w:r>
        <w:t xml:space="preserve">À ~7 870 mots, le manuscrit est sous le plafond DM (8 000) mais s’en approche. Si un allègement s’avérait nécessaire à la mise en page, les diagnostics fins de partition (silhouette k=4/5/6) pourraient migrer vers une annexe en ligne sans perte pour le fil principal.</w:t>
      </w:r>
    </w:p>
    <w:p>
      <w:pPr>
        <w:numPr>
          <w:ilvl w:val="0"/>
          <w:numId w:val="1001"/>
        </w:numPr>
      </w:pPr>
      <w:r>
        <w:rPr>
          <w:b/>
          <w:bCs/>
        </w:rPr>
        <w:t xml:space="preserve">Poids de la classe C5 (m4).</w:t>
      </w:r>
      <w:r>
        <w:t xml:space="preserve"> </w:t>
      </w:r>
      <w:r>
        <w:t xml:space="preserve">L’argument « combinaison ≠ intensité » s’appuie en partie sur la classe C5 (n = 26). La prudence est déjà affichée ; veiller à ne pas sur-solliciter ce groupe dans les formulations conclusives.</w:t>
      </w:r>
    </w:p>
    <w:p>
      <w:r>
        <w:pict>
          <v:rect style="width:0;height:1.5pt" o:hralign="center" o:hrstd="t" o:hr="t"/>
        </w:pict>
      </w:r>
    </w:p>
    <w:bookmarkEnd w:id="11"/>
    <w:bookmarkStart w:id="12" w:name="décision-révisée-rédacteur-en-chef"/>
    <w:p>
      <w:pPr>
        <w:pStyle w:val="Heading2"/>
      </w:pPr>
      <w:r>
        <w:t xml:space="preserve">Décision révisée (Rédacteur en chef)</w:t>
      </w:r>
    </w:p>
    <w:p>
      <w:pPr>
        <w:pStyle w:val="FirstParagraph"/>
      </w:pPr>
      <w:r>
        <w:rPr>
          <w:b/>
          <w:bCs/>
        </w:rPr>
        <w:t xml:space="preserve">Décision : ACCEPTATION SOUS RÉSERVE DE MODIFICATIONS MINEURES</w:t>
      </w:r>
      <w:r>
        <w:t xml:space="preserve"> </w:t>
      </w:r>
      <w:r>
        <w:t xml:space="preserve">(révision mineure).</w:t>
      </w:r>
    </w:p>
    <w:p>
      <w:pPr>
        <w:pStyle w:val="BodyText"/>
      </w:pPr>
      <w:r>
        <w:t xml:space="preserve">La révision répond à l’intégralité des exigences bloquantes du premier tour, de façon vérifiable dans le texte et non seulement affirmée en réponse. Le manuscrit a gagné en robustesse (diagnostics, IC, sensibilité) sans rien perdre de sa lisibilité ni de sa portée managériale, et il fait preuve d’une intégrité méthodologique remarquable sur le point du diplôme. Les quatre points résiduels sont des ajustements de formulation ou d’appareil, réalisables en un tour court et sans nouvelle analyse. Sous réserve de leur prise en compte, l’article est</w:t>
      </w:r>
      <w:r>
        <w:t xml:space="preserve"> </w:t>
      </w:r>
      <w:r>
        <w:rPr>
          <w:b/>
          <w:bCs/>
        </w:rPr>
        <w:t xml:space="preserve">publiable dans</w:t>
      </w:r>
      <w:r>
        <w:rPr>
          <w:b/>
          <w:bCs/>
        </w:rPr>
        <w:t xml:space="preserve"> </w:t>
      </w:r>
      <w:r>
        <w:rPr>
          <w:b/>
          <w:bCs/>
          <w:i/>
          <w:iCs/>
        </w:rPr>
        <w:t xml:space="preserve">Décisions Marketing</w:t>
      </w:r>
      <w:r>
        <w:t xml:space="preserve">.</w:t>
      </w:r>
    </w:p>
    <w:p>
      <w:pPr>
        <w:pStyle w:val="BodyText"/>
      </w:pPr>
      <w:r>
        <w:rPr>
          <w:b/>
          <w:bCs/>
        </w:rPr>
        <w:t xml:space="preserve">Notes révisées (1–10, écart vs 1ᵉʳ tour)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Critère</w:t>
            </w:r>
          </w:p>
        </w:tc>
        <w:tc>
          <w:tcPr/>
          <w:p>
            <w:pPr>
              <w:pStyle w:val="Compact"/>
              <w:jc w:val="center"/>
            </w:pPr>
            <w:r>
              <w:t xml:space="preserve">1ᵉʳ tour</w:t>
            </w:r>
          </w:p>
        </w:tc>
        <w:tc>
          <w:tcPr/>
          <w:p>
            <w:pPr>
              <w:pStyle w:val="Compact"/>
              <w:jc w:val="center"/>
            </w:pPr>
            <w:r>
              <w:t xml:space="preserve">2ᵉ tour</w:t>
            </w:r>
          </w:p>
        </w:tc>
        <w:tc>
          <w:tcPr/>
          <w:p>
            <w:pPr>
              <w:pStyle w:val="Compact"/>
              <w:jc w:val="center"/>
            </w:pPr>
            <w:r>
              <w:t xml:space="preserve">Δ</w:t>
            </w:r>
          </w:p>
        </w:tc>
      </w:tr>
      <w:tr>
        <w:tc>
          <w:tcPr/>
          <w:p>
            <w:pPr>
              <w:pStyle w:val="Compact"/>
            </w:pPr>
            <w:r>
              <w:t xml:space="preserve">Rigueur méthodologique</w:t>
            </w:r>
          </w:p>
        </w:tc>
        <w:tc>
          <w:tcPr/>
          <w:p>
            <w:pPr>
              <w:pStyle w:val="Compact"/>
              <w:jc w:val="center"/>
            </w:pPr>
            <w:r>
              <w:t xml:space="preserve">5,5</w:t>
            </w:r>
          </w:p>
        </w:tc>
        <w:tc>
          <w:tcPr/>
          <w:p>
            <w:pPr>
              <w:pStyle w:val="Compact"/>
              <w:jc w:val="center"/>
            </w:pPr>
            <w:r>
              <w:rPr>
                <w:b/>
                <w:bCs/>
              </w:rPr>
              <w:t xml:space="preserve">7,5</w:t>
            </w:r>
          </w:p>
        </w:tc>
        <w:tc>
          <w:tcPr/>
          <w:p>
            <w:pPr>
              <w:pStyle w:val="Compact"/>
              <w:jc w:val="center"/>
            </w:pPr>
            <w:r>
              <w:t xml:space="preserve">+2,0</w:t>
            </w:r>
          </w:p>
        </w:tc>
      </w:tr>
      <w:tr>
        <w:tc>
          <w:tcPr/>
          <w:p>
            <w:pPr>
              <w:pStyle w:val="Compact"/>
            </w:pPr>
            <w:r>
              <w:t xml:space="preserve">Validité des résultats</w:t>
            </w:r>
          </w:p>
        </w:tc>
        <w:tc>
          <w:tcPr/>
          <w:p>
            <w:pPr>
              <w:pStyle w:val="Compact"/>
              <w:jc w:val="center"/>
            </w:pPr>
            <w:r>
              <w:t xml:space="preserve">6,0</w:t>
            </w:r>
          </w:p>
        </w:tc>
        <w:tc>
          <w:tcPr/>
          <w:p>
            <w:pPr>
              <w:pStyle w:val="Compact"/>
              <w:jc w:val="center"/>
            </w:pPr>
            <w:r>
              <w:rPr>
                <w:b/>
                <w:bCs/>
              </w:rPr>
              <w:t xml:space="preserve">7,5</w:t>
            </w:r>
          </w:p>
        </w:tc>
        <w:tc>
          <w:tcPr/>
          <w:p>
            <w:pPr>
              <w:pStyle w:val="Compact"/>
              <w:jc w:val="center"/>
            </w:pPr>
            <w:r>
              <w:t xml:space="preserve">+1,5</w:t>
            </w:r>
          </w:p>
        </w:tc>
      </w:tr>
      <w:tr>
        <w:tc>
          <w:tcPr/>
          <w:p>
            <w:pPr>
              <w:pStyle w:val="Compact"/>
            </w:pPr>
            <w:r>
              <w:t xml:space="preserve">Originalité / contribution</w:t>
            </w:r>
          </w:p>
        </w:tc>
        <w:tc>
          <w:tcPr/>
          <w:p>
            <w:pPr>
              <w:pStyle w:val="Compact"/>
              <w:jc w:val="center"/>
            </w:pPr>
            <w:r>
              <w:t xml:space="preserve">6,75</w:t>
            </w:r>
          </w:p>
        </w:tc>
        <w:tc>
          <w:tcPr/>
          <w:p>
            <w:pPr>
              <w:pStyle w:val="Compact"/>
              <w:jc w:val="center"/>
            </w:pPr>
            <w:r>
              <w:rPr>
                <w:b/>
                <w:bCs/>
              </w:rPr>
              <w:t xml:space="preserve">7,0</w:t>
            </w:r>
          </w:p>
        </w:tc>
        <w:tc>
          <w:tcPr/>
          <w:p>
            <w:pPr>
              <w:pStyle w:val="Compact"/>
              <w:jc w:val="center"/>
            </w:pPr>
            <w:r>
              <w:t xml:space="preserve">+0,25</w:t>
            </w:r>
          </w:p>
        </w:tc>
      </w:tr>
      <w:tr>
        <w:tc>
          <w:tcPr/>
          <w:p>
            <w:pPr>
              <w:pStyle w:val="Compact"/>
            </w:pPr>
            <w:r>
              <w:t xml:space="preserve">Implications managériales</w:t>
            </w:r>
          </w:p>
        </w:tc>
        <w:tc>
          <w:tcPr/>
          <w:p>
            <w:pPr>
              <w:pStyle w:val="Compact"/>
              <w:jc w:val="center"/>
            </w:pPr>
            <w:r>
              <w:t xml:space="preserve">7,5</w:t>
            </w:r>
          </w:p>
        </w:tc>
        <w:tc>
          <w:tcPr/>
          <w:p>
            <w:pPr>
              <w:pStyle w:val="Compact"/>
              <w:jc w:val="center"/>
            </w:pPr>
            <w:r>
              <w:rPr>
                <w:b/>
                <w:bCs/>
              </w:rPr>
              <w:t xml:space="preserve">8,0</w:t>
            </w:r>
          </w:p>
        </w:tc>
        <w:tc>
          <w:tcPr/>
          <w:p>
            <w:pPr>
              <w:pStyle w:val="Compact"/>
              <w:jc w:val="center"/>
            </w:pPr>
            <w:r>
              <w:t xml:space="preserve">+0,5</w:t>
            </w:r>
          </w:p>
        </w:tc>
      </w:tr>
      <w:tr>
        <w:tc>
          <w:tcPr/>
          <w:p>
            <w:pPr>
              <w:pStyle w:val="Compact"/>
            </w:pPr>
            <w:r>
              <w:t xml:space="preserve">Clarté / rédaction</w:t>
            </w:r>
          </w:p>
        </w:tc>
        <w:tc>
          <w:tcPr/>
          <w:p>
            <w:pPr>
              <w:pStyle w:val="Compact"/>
              <w:jc w:val="center"/>
            </w:pPr>
            <w:r>
              <w:t xml:space="preserve">8,5</w:t>
            </w:r>
          </w:p>
        </w:tc>
        <w:tc>
          <w:tcPr/>
          <w:p>
            <w:pPr>
              <w:pStyle w:val="Compact"/>
              <w:jc w:val="center"/>
            </w:pPr>
            <w:r>
              <w:rPr>
                <w:b/>
                <w:bCs/>
              </w:rPr>
              <w:t xml:space="preserve">8,5</w:t>
            </w:r>
          </w:p>
        </w:tc>
        <w:tc>
          <w:tcPr/>
          <w:p>
            <w:pPr>
              <w:pStyle w:val="Compact"/>
              <w:jc w:val="center"/>
            </w:pPr>
            <w:r>
              <w:t xml:space="preserve">=</w:t>
            </w:r>
          </w:p>
        </w:tc>
      </w:tr>
      <w:tr>
        <w:tc>
          <w:tcPr/>
          <w:p>
            <w:pPr>
              <w:pStyle w:val="Compact"/>
            </w:pPr>
            <w:r>
              <w:t xml:space="preserve">Adéquation revue</w:t>
            </w:r>
          </w:p>
        </w:tc>
        <w:tc>
          <w:tcPr/>
          <w:p>
            <w:pPr>
              <w:pStyle w:val="Compact"/>
              <w:jc w:val="center"/>
            </w:pPr>
            <w:r>
              <w:t xml:space="preserve">8,0</w:t>
            </w:r>
          </w:p>
        </w:tc>
        <w:tc>
          <w:tcPr/>
          <w:p>
            <w:pPr>
              <w:pStyle w:val="Compact"/>
              <w:jc w:val="center"/>
            </w:pPr>
            <w:r>
              <w:rPr>
                <w:b/>
                <w:bCs/>
              </w:rPr>
              <w:t xml:space="preserve">8,5</w:t>
            </w:r>
          </w:p>
        </w:tc>
        <w:tc>
          <w:tcPr/>
          <w:p>
            <w:pPr>
              <w:pStyle w:val="Compact"/>
              <w:jc w:val="center"/>
            </w:pPr>
            <w:r>
              <w:t xml:space="preserve">+0,5</w:t>
            </w:r>
          </w:p>
        </w:tc>
      </w:tr>
    </w:tbl>
    <w:p>
      <w:pPr>
        <w:pStyle w:val="BodyText"/>
      </w:pPr>
      <w:r>
        <w:t xml:space="preserve">Le point bas du premier tour (rigueur méthodologique) est comblé ; c’est lui qui portait la décision de révision majeure.</w:t>
      </w:r>
    </w:p>
    <w:p>
      <w:r>
        <w:pict>
          <v:rect style="width:0;height:1.5pt" o:hralign="center" o:hrstd="t" o:hr="t"/>
        </w:pict>
      </w:r>
    </w:p>
    <w:p>
      <w:pPr>
        <w:pStyle w:val="FirstParagraph"/>
      </w:pPr>
      <w:r>
        <w:rPr>
          <w:i/>
          <w:iCs/>
        </w:rPr>
        <w:t xml:space="preserve">Re-revue de vérification produite par le pipeline ARS — Stade 3′. Relecteurs en lecture seule. Ce document referme la boucle de revue ; les points résiduels m1–m4 sont traités au Stade 4′ (retouches mineures) avant l’intégrité finale (Stade 4.5).</w:t>
      </w:r>
    </w:p>
    <w:bookmarkEnd w:id="12"/>
    <w:bookmarkEnd w:id="13"/>
    <w:sectPr w:rsidR="00FC693F" w:rsidRPr="0006063C" w:rsidSect="00034616">
      <w:pgSz w:h="15840" w:w="12240"/>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36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line="360" w:lineRule="auto"/>
      <w:outlineLvl w:val="0"/>
    </w:pPr>
    <w:rPr>
      <w:rFonts w:ascii="Times New Roman" w:asciiTheme="majorHAnsi" w:cstheme="majorBidi" w:eastAsiaTheme="majorEastAsia" w:hAnsi="Times New Roman" w:hAnsiTheme="majorHAnsi"/>
      <w:b/>
      <w:bCs/>
      <w:i w:val="0"/>
      <w:color w:themeColor="accent1" w:themeShade="BF" w:val="365F91"/>
      <w:sz w:val="30"/>
      <w:szCs w:val="28"/>
    </w:rPr>
  </w:style>
  <w:style w:styleId="Heading2" w:type="paragraph">
    <w:name w:val="heading 2"/>
    <w:basedOn w:val="Normal"/>
    <w:next w:val="Normal"/>
    <w:link w:val="Heading2Char"/>
    <w:uiPriority w:val="9"/>
    <w:unhideWhenUsed/>
    <w:qFormat/>
    <w:rsid w:val="00FC693F"/>
    <w:pPr>
      <w:keepNext/>
      <w:keepLines/>
      <w:spacing w:after="0" w:before="200" w:line="360" w:lineRule="auto"/>
      <w:outlineLvl w:val="1"/>
    </w:pPr>
    <w:rPr>
      <w:rFonts w:ascii="Times New Roman" w:asciiTheme="majorHAnsi" w:cstheme="majorBidi" w:eastAsiaTheme="majorEastAsia" w:hAnsi="Times New Roman" w:hAnsiTheme="majorHAnsi"/>
      <w:b/>
      <w:bCs/>
      <w:i w:val="0"/>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line="360" w:lineRule="auto"/>
      <w:outlineLvl w:val="2"/>
    </w:pPr>
    <w:rPr>
      <w:rFonts w:ascii="Times New Roman" w:asciiTheme="majorHAnsi" w:cstheme="majorBidi" w:eastAsiaTheme="majorEastAsia" w:hAnsi="Times New Roman" w:hAnsiTheme="majorHAnsi"/>
      <w:b/>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360" w:lineRule="auto"/>
      <w:contextualSpacing/>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2026-07-08T18:18:28Z</dcterms:created>
  <dcterms:modified xsi:type="dcterms:W3CDTF">2026-07-08T18:18:28Z</dcterms:modified>
</cp:coreProperties>
</file>

<file path=docProps/custom.xml><?xml version="1.0" encoding="utf-8"?>
<Properties xmlns="http://schemas.openxmlformats.org/officeDocument/2006/custom-properties" xmlns:vt="http://schemas.openxmlformats.org/officeDocument/2006/docPropsVTypes"/>
</file>