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ffc8bcef62f20ab835e66e5c78fdf0b2f31588"/>
    <w:p>
      <w:pPr>
        <w:pStyle w:val="Heading1"/>
      </w:pPr>
      <w:r>
        <w:t xml:space="preserve">Synthèse de processus &amp; auto-réflexion de l’IA (Stade 6)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« Beaucoup l’essaient, peu l’adoptent » — La vente directe dans les stratégies d’approvisionnement des ménages français</w:t>
      </w:r>
      <w:r>
        <w:t xml:space="preserve"> </w:t>
      </w:r>
      <w:r>
        <w:rPr>
          <w:b/>
          <w:bCs/>
        </w:rPr>
        <w:t xml:space="preserve">Autrice :</w:t>
      </w:r>
      <w:r>
        <w:t xml:space="preserve"> </w:t>
      </w:r>
      <w:r>
        <w:t xml:space="preserve">Catherine Hérault ·</w:t>
      </w:r>
      <w:r>
        <w:t xml:space="preserve"> </w:t>
      </w:r>
      <w:r>
        <w:rPr>
          <w:b/>
          <w:bCs/>
        </w:rPr>
        <w:t xml:space="preserve">Assistant :</w:t>
      </w:r>
      <w:r>
        <w:t xml:space="preserve"> </w:t>
      </w:r>
      <w:r>
        <w:t xml:space="preserve">pipeline ARS (Claude Code) ·</w:t>
      </w:r>
      <w:r>
        <w:t xml:space="preserve"> </w:t>
      </w:r>
      <w:r>
        <w:rPr>
          <w:b/>
          <w:bCs/>
        </w:rPr>
        <w:t xml:space="preserve">Clôture :</w:t>
      </w:r>
      <w:r>
        <w:t xml:space="preserve"> </w:t>
      </w:r>
      <w:r>
        <w:t xml:space="preserve">8 juillet 2026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récapitulatif du parcours complet, décisions structurantes, résultats, et auto-évaluation honnête du comportement de l’IA.</w:t>
      </w:r>
    </w:p>
    <w:p>
      <w:r>
        <w:pict>
          <v:rect style="width:0;height:1.5pt" o:hralign="center" o:hrstd="t" o:hr="t"/>
        </w:pict>
      </w:r>
    </w:p>
    <w:bookmarkStart w:id="9" w:name="le-parcours-en-un-coup-dœil"/>
    <w:p>
      <w:pPr>
        <w:pStyle w:val="Heading2"/>
      </w:pPr>
      <w:r>
        <w:t xml:space="preserve">1. Le parcours, en un coup d’œil</w:t>
      </w:r>
    </w:p>
    <w:p>
      <w:pPr>
        <w:pStyle w:val="FirstParagraph"/>
      </w:pPr>
      <w:r>
        <w:t xml:space="preserve">Un projet parti d’une idée générale (« l’achat en vente directe ») et arrivé à un paquet de soumission pour une revue classée, en passant par une bascule majeure : l’arrivée de</w:t>
      </w:r>
      <w:r>
        <w:t xml:space="preserve"> </w:t>
      </w:r>
      <w:r>
        <w:rPr>
          <w:b/>
          <w:bCs/>
        </w:rPr>
        <w:t xml:space="preserve">vraies données d’enquête</w:t>
      </w:r>
      <w:r>
        <w:t xml:space="preserve"> </w:t>
      </w:r>
      <w:r>
        <w:t xml:space="preserve">(1 025 ménages représentatifs), qui a transformé un article a priori illustratif en étude empirique réelle.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Stade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Résultat clé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Recherche</w:t>
            </w:r>
          </w:p>
        </w:tc>
        <w:tc>
          <w:tcPr/>
          <w:p>
            <w:pPr>
              <w:pStyle w:val="Compact"/>
            </w:pPr>
            <w:r>
              <w:t xml:space="preserve">Question de recherche, bibliographie, cadre méthodo</w:t>
            </w:r>
          </w:p>
        </w:tc>
        <w:tc>
          <w:tcPr/>
          <w:p>
            <w:pPr>
              <w:pStyle w:val="Compact"/>
            </w:pPr>
            <w:r>
              <w:t xml:space="preserve">RQ recadrée : de « motivations » à « place dans les stratégies d’approvisionnement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Réception enquête 24407</w:t>
            </w:r>
          </w:p>
        </w:tc>
        <w:tc>
          <w:tcPr/>
          <w:p>
            <w:pPr>
              <w:pStyle w:val="Compact"/>
            </w:pPr>
            <w:r>
              <w:t xml:space="preserve">Étude devient empirique réelle ; définition VD verrouillée (double porte = 65 %)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Analyses + rédaction</w:t>
            </w:r>
          </w:p>
        </w:tc>
        <w:tc>
          <w:tcPr/>
          <w:p>
            <w:pPr>
              <w:pStyle w:val="Compact"/>
            </w:pPr>
            <w:r>
              <w:t xml:space="preserve">A1–A6 (descriptif, typologie ACM/CAH, régression, motivations) ; draft IMRaD</w:t>
            </w:r>
          </w:p>
        </w:tc>
        <w:tc>
          <w:tcPr/>
          <w:p>
            <w:pPr>
              <w:pStyle w:val="Compact"/>
            </w:pPr>
            <w:r>
              <w:t xml:space="preserve">Paradoxe 65 %/1,5 % ; 5 stratégies ; déterminants sociaux ténus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/ vérif.</w:t>
            </w:r>
          </w:p>
        </w:tc>
        <w:tc>
          <w:tcPr/>
          <w:p>
            <w:pPr>
              <w:pStyle w:val="Compact"/>
            </w:pPr>
            <w:r>
              <w:t xml:space="preserve">Vérification des références</w:t>
            </w:r>
          </w:p>
        </w:tc>
        <w:tc>
          <w:tcPr/>
          <w:p>
            <w:pPr>
              <w:pStyle w:val="Compact"/>
            </w:pPr>
            <w:r>
              <w:t xml:space="preserve">3 corrections factuelles (Agreste 2023, Enthoven &amp; Van den Broeck 2021)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Reformatage</w:t>
            </w:r>
          </w:p>
        </w:tc>
        <w:tc>
          <w:tcPr/>
          <w:p>
            <w:pPr>
              <w:pStyle w:val="Compact"/>
            </w:pPr>
            <w:r>
              <w:t xml:space="preserve">Ciblage</w:t>
            </w:r>
            <w:r>
              <w:t xml:space="preserve"> </w:t>
            </w:r>
            <w:r>
              <w:rPr>
                <w:i/>
                <w:iCs/>
              </w:rPr>
              <w:t xml:space="preserve">Décisions Marketing</w:t>
            </w:r>
          </w:p>
        </w:tc>
        <w:tc>
          <w:tcPr/>
          <w:p>
            <w:pPr>
              <w:pStyle w:val="Compact"/>
            </w:pPr>
            <w:r>
              <w:t xml:space="preserve">Résumé structuré, encadrés, style RAM, figures N&amp;B, page de titre séparée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Revue par les pairs</w:t>
            </w:r>
          </w:p>
        </w:tc>
        <w:tc>
          <w:tcPr/>
          <w:p>
            <w:pPr>
              <w:pStyle w:val="Compact"/>
            </w:pPr>
            <w:r>
              <w:t xml:space="preserve">Panel de 5 relecteurs + avocat du diable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Révision majeure</w:t>
            </w:r>
            <w:r>
              <w:t xml:space="preserve"> </w:t>
            </w:r>
            <w:r>
              <w:t xml:space="preserve">(point bas : rigueur méthodo 5,5/10)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Révision</w:t>
            </w:r>
          </w:p>
        </w:tc>
        <w:tc>
          <w:tcPr/>
          <w:p>
            <w:pPr>
              <w:pStyle w:val="Compact"/>
            </w:pPr>
            <w:r>
              <w:t xml:space="preserve">6 exigences bloquantes traitées sur données existantes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d’intégrité surfacé</w:t>
            </w:r>
            <w:r>
              <w:t xml:space="preserve"> </w:t>
            </w:r>
            <w:r>
              <w:t xml:space="preserve">: le diplôme prédit l’essai, pas l’adoption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3′ — Re-revue</w:t>
            </w:r>
          </w:p>
        </w:tc>
        <w:tc>
          <w:tcPr/>
          <w:p>
            <w:pPr>
              <w:pStyle w:val="Compact"/>
            </w:pPr>
            <w:r>
              <w:t xml:space="preserve">Vérification du texte révisé</w:t>
            </w:r>
          </w:p>
        </w:tc>
        <w:tc>
          <w:tcPr/>
          <w:p>
            <w:pPr>
              <w:pStyle w:val="Compact"/>
            </w:pPr>
            <w:r>
              <w:t xml:space="preserve">12/12 résolus →</w:t>
            </w:r>
            <w:r>
              <w:t xml:space="preserve"> </w:t>
            </w:r>
            <w:r>
              <w:rPr>
                <w:b/>
                <w:bCs/>
              </w:rPr>
              <w:t xml:space="preserve">acceptation sous réserve de modifs mineures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 — Intégrité finale</w:t>
            </w:r>
          </w:p>
        </w:tc>
        <w:tc>
          <w:tcPr/>
          <w:p>
            <w:pPr>
              <w:pStyle w:val="Compact"/>
            </w:pPr>
            <w:r>
              <w:t xml:space="preserve">Audit de traçabilité + 7 modes de défaillance 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: 124/124 chiffres tracés aux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Finalisation</w:t>
            </w:r>
          </w:p>
        </w:tc>
        <w:tc>
          <w:tcPr/>
          <w:p>
            <w:pPr>
              <w:pStyle w:val="Compact"/>
            </w:pPr>
            <w:r>
              <w:t xml:space="preserve">Paquet de soumission DM</w:t>
            </w:r>
          </w:p>
        </w:tc>
        <w:tc>
          <w:tcPr/>
          <w:p>
            <w:pPr>
              <w:pStyle w:val="Compact"/>
            </w:pPr>
            <w:r>
              <w:t xml:space="preserve">Manuscrit anonyme + page de titre +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es-décisions-qui-ont-façonné-larticle"/>
    <w:p>
      <w:pPr>
        <w:pStyle w:val="Heading2"/>
      </w:pPr>
      <w:r>
        <w:t xml:space="preserve">2. Les décisions qui ont façonné l’article</w:t>
      </w:r>
    </w:p>
    <w:p>
      <w:pPr>
        <w:pStyle w:val="FirstParagraph"/>
      </w:pPr>
      <w:r>
        <w:t xml:space="preserve">Sept inflexions ont structuré le travail — la plupart</w:t>
      </w:r>
      <w:r>
        <w:t xml:space="preserve"> </w:t>
      </w:r>
      <w:r>
        <w:rPr>
          <w:b/>
          <w:bCs/>
        </w:rPr>
        <w:t xml:space="preserve">déclenchées ou tranchées par l’autrice</w:t>
      </w:r>
      <w:r>
        <w:t xml:space="preserve">, ce qui a maintenu le cap conceptuel.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Recadrer la question</w:t>
      </w:r>
      <w:r>
        <w:t xml:space="preserve"> </w:t>
      </w:r>
      <w:r>
        <w:t xml:space="preserve">(autrice) — quitter les « motivations » (terrain saturé) pour la</w:t>
      </w:r>
      <w:r>
        <w:t xml:space="preserve"> </w:t>
      </w:r>
      <w:r>
        <w:rPr>
          <w:b/>
          <w:bCs/>
        </w:rPr>
        <w:t xml:space="preserve">place de la vente directe dans le portefeuille de canaux</w:t>
      </w:r>
      <w:r>
        <w:t xml:space="preserve">. C’est ce déplacement qui a rendu l’article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Passer aux vraies données</w:t>
      </w:r>
      <w:r>
        <w:t xml:space="preserve"> </w:t>
      </w:r>
      <w:r>
        <w:t xml:space="preserve">— l’arrivée de l’enquête a fait basculer d’un article illustratif à une étude empirique ; toute la suite s’est appuyée sur des mesures réelles, non simulées.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définition à « double porte »</w:t>
      </w:r>
      <w:r>
        <w:t xml:space="preserve"> </w:t>
      </w:r>
      <w:r>
        <w:t xml:space="preserve">(autrice) — compter la vente directe comme</w:t>
      </w:r>
      <w:r>
        <w:t xml:space="preserve"> </w:t>
      </w:r>
      <w:r>
        <w:rPr>
          <w:i/>
          <w:iCs/>
        </w:rPr>
        <w:t xml:space="preserve">achat direct aux agriculteurs</w:t>
      </w:r>
      <w:r>
        <w:t xml:space="preserve"> </w:t>
      </w:r>
      <w:r>
        <w:t xml:space="preserve">∪</w:t>
      </w:r>
      <w:r>
        <w:t xml:space="preserve"> </w:t>
      </w:r>
      <w:r>
        <w:rPr>
          <w:i/>
          <w:iCs/>
        </w:rPr>
        <w:t xml:space="preserve">achat au producteur sur le marché</w:t>
      </w:r>
      <w:r>
        <w:t xml:space="preserve"> </w:t>
      </w:r>
      <w:r>
        <w:t xml:space="preserve">(65 %), en assumant que le marché est un lieu de contact direct majeur.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Distinguer essai et adoption</w:t>
      </w:r>
      <w:r>
        <w:t xml:space="preserve"> </w:t>
      </w:r>
      <w:r>
        <w:t xml:space="preserve">— l’écart entre pénétration inclusive (65 %) et usage régulier (17 %) est devenu la</w:t>
      </w:r>
      <w:r>
        <w:t xml:space="preserve"> </w:t>
      </w:r>
      <w:r>
        <w:rPr>
          <w:b/>
          <w:bCs/>
        </w:rPr>
        <w:t xml:space="preserve">colonne vertébrale</w:t>
      </w:r>
      <w:r>
        <w:t xml:space="preserve"> </w:t>
      </w:r>
      <w:r>
        <w:t xml:space="preserve">de l’article, jusque dans le titre.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budget à deux échelles</w:t>
      </w:r>
      <w:r>
        <w:t xml:space="preserve"> </w:t>
      </w:r>
      <w:r>
        <w:t xml:space="preserve">(sur question de l’autrice) — 1,5 % du budget national</w:t>
      </w:r>
      <w:r>
        <w:t xml:space="preserve"> </w:t>
      </w:r>
      <w:r>
        <w:rPr>
          <w:i/>
          <w:iCs/>
        </w:rPr>
        <w:t xml:space="preserve">vs</w:t>
      </w:r>
      <w:r>
        <w:t xml:space="preserve"> </w:t>
      </w:r>
      <w:r>
        <w:t xml:space="preserve">8,5 % chez les seuls réguliers : lever l’ambiguïté du dénominateur.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Importer le cadre omnicanal</w:t>
      </w:r>
      <w:r>
        <w:t xml:space="preserve"> </w:t>
      </w:r>
      <w:r>
        <w:t xml:space="preserve">— lire la vente directe comme une fonction d’un portefeuille de canaux, contribution théorique de l’article.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Ajouter le diplôme aux déterminants</w:t>
      </w:r>
      <w:r>
        <w:t xml:space="preserve"> </w:t>
      </w:r>
      <w:r>
        <w:t xml:space="preserve">(autrice) — décision qui a, en retour, révélé le résultat d’intégrité le plus intéressant (voir §3).</w:t>
      </w:r>
    </w:p>
    <w:p>
      <w:r>
        <w:pict>
          <v:rect style="width:0;height:1.5pt" o:hralign="center" o:hrstd="t" o:hr="t"/>
        </w:pict>
      </w:r>
    </w:p>
    <w:bookmarkEnd w:id="10"/>
    <w:bookmarkStart w:id="11" w:name="ce-que-larticle-établit"/>
    <w:p>
      <w:pPr>
        <w:pStyle w:val="Heading2"/>
      </w:pPr>
      <w:r>
        <w:t xml:space="preserve">3. Ce que l’article établit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paradoxe central</w:t>
      </w:r>
      <w:r>
        <w:t xml:space="preserve"> </w:t>
      </w:r>
      <w:r>
        <w:t xml:space="preserve">: la vente directe touche</w:t>
      </w:r>
      <w:r>
        <w:t xml:space="preserve"> </w:t>
      </w:r>
      <w:r>
        <w:rPr>
          <w:b/>
          <w:bCs/>
        </w:rPr>
        <w:t xml:space="preserve">65 % des ménages</w:t>
      </w:r>
      <w:r>
        <w:t xml:space="preserve"> </w:t>
      </w:r>
      <w:r>
        <w:t xml:space="preserve">mais ne pèse que</w:t>
      </w:r>
      <w:r>
        <w:t xml:space="preserve"> </w:t>
      </w:r>
      <w:r>
        <w:rPr>
          <w:b/>
          <w:bCs/>
        </w:rPr>
        <w:t xml:space="preserve">1,5 % du budget</w:t>
      </w:r>
      <w:r>
        <w:t xml:space="preserve"> </w:t>
      </w:r>
      <w:r>
        <w:t xml:space="preserve">alimentaire national (8,5 % chez ses seuls réguliers). Adhésion large, poids marginal.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Essai ≠ adoption</w:t>
      </w:r>
      <w:r>
        <w:t xml:space="preserve"> </w:t>
      </w:r>
      <w:r>
        <w:t xml:space="preserve">: beaucoup essaient, peu retiennent ; l’abandon vrai reste modéré (15–19 %), l’essentiel du décalage étant de l’intermittence.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Cinq stratégies d’approvisionnement</w:t>
      </w:r>
      <w:r>
        <w:t xml:space="preserve">, des « captifs de la grande distribution » aux « multi-canal intensifs » — la configuration d’usage prédit mieux la vente directe que le profil social.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 déterminants sociaux ténus</w:t>
      </w:r>
      <w:r>
        <w:t xml:space="preserve"> </w:t>
      </w:r>
      <w:r>
        <w:t xml:space="preserve">— et, résultat le plus fin : le diplôme prédit</w:t>
      </w:r>
      <w:r>
        <w:t xml:space="preserve"> </w:t>
      </w:r>
      <w:r>
        <w:rPr>
          <w:b/>
          <w:bCs/>
        </w:rPr>
        <w:t xml:space="preserve">qui essaie</w:t>
      </w:r>
      <w:r>
        <w:t xml:space="preserve">, pas</w:t>
      </w:r>
      <w:r>
        <w:t xml:space="preserve"> </w:t>
      </w:r>
      <w:r>
        <w:rPr>
          <w:b/>
          <w:bCs/>
        </w:rPr>
        <w:t xml:space="preserve">qui adopte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Bascule managériale</w:t>
      </w:r>
      <w:r>
        <w:t xml:space="preserve"> </w:t>
      </w:r>
      <w:r>
        <w:t xml:space="preserve">: le levier de croissance n’est pas l’acquisition (déjà faite) mais la</w:t>
      </w:r>
      <w:r>
        <w:t xml:space="preserve"> </w:t>
      </w:r>
      <w:r>
        <w:rPr>
          <w:b/>
          <w:bCs/>
        </w:rPr>
        <w:t xml:space="preserve">rétention</w:t>
      </w:r>
      <w:r>
        <w:t xml:space="preserve"> </w:t>
      </w:r>
      <w:r>
        <w:t xml:space="preserve">— convertir l’essai en habitude.</w:t>
      </w:r>
    </w:p>
    <w:p>
      <w:r>
        <w:pict>
          <v:rect style="width:0;height:1.5pt" o:hralign="center" o:hrstd="t" o:hr="t"/>
        </w:pict>
      </w:r>
    </w:p>
    <w:bookmarkEnd w:id="11"/>
    <w:bookmarkStart w:id="18" w:name="X4289157df92e97c7e02ae1347c95160fd007a87"/>
    <w:p>
      <w:pPr>
        <w:pStyle w:val="Heading2"/>
      </w:pPr>
      <w:r>
        <w:t xml:space="preserve">4. Auto-réflexion de l’IA — évaluation comportementale honnête</w:t>
      </w:r>
    </w:p>
    <w:p>
      <w:pPr>
        <w:pStyle w:val="FirstParagraph"/>
      </w:pPr>
      <w:r>
        <w:t xml:space="preserve">Cette section n’est pas un bilan de satisfaction : elle documente les comportements à risque du travail assisté par IA et les note franchement.</w:t>
      </w:r>
    </w:p>
    <w:bookmarkStart w:id="12" w:name="X05a15142fadf2bfdaef167d5fb3cef08fc7667b"/>
    <w:p>
      <w:pPr>
        <w:pStyle w:val="Heading3"/>
      </w:pPr>
      <w:r>
        <w:t xml:space="preserve">4.1 Anti-complaisance : concéder sur preuve, pas sous pression</w:t>
      </w:r>
    </w:p>
    <w:p>
      <w:pPr>
        <w:pStyle w:val="FirstParagraph"/>
      </w:pPr>
      <w:r>
        <w:t xml:space="preserve">Le rôle d’</w:t>
      </w:r>
      <w:r>
        <w:rPr>
          <w:b/>
          <w:bCs/>
        </w:rPr>
        <w:t xml:space="preserve">avocat du diable</w:t>
      </w:r>
      <w:r>
        <w:t xml:space="preserve"> </w:t>
      </w:r>
      <w:r>
        <w:t xml:space="preserve">a produit trois attaques de fond (le paradoxe comme artefact de dénominateurs ; la typologie comme intensité déguisée ; le récit essai→adoption comme saisonnalité).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 1ᵉʳ tour</w:t>
      </w:r>
      <w:r>
        <w:t xml:space="preserve"> </w:t>
      </w:r>
      <w:r>
        <w:t xml:space="preserve">: ces attaques ont été auto-notées 4/5 et</w:t>
      </w:r>
      <w:r>
        <w:t xml:space="preserve"> </w:t>
      </w:r>
      <w:r>
        <w:rPr>
          <w:b/>
          <w:bCs/>
        </w:rPr>
        <w:t xml:space="preserve">aucune n’a été concédée</w:t>
      </w:r>
      <w:r>
        <w:t xml:space="preserve"> </w:t>
      </w:r>
      <w:r>
        <w:t xml:space="preserve">— elles ont au contraire forcé de vraies révisions (tableau de sensibilité, diagnostics de partition, distinction intermittence/abandon).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 2ᵉ tour</w:t>
      </w:r>
      <w:r>
        <w:t xml:space="preserve"> </w:t>
      </w:r>
      <w:r>
        <w:t xml:space="preserve">: les trois ont été concédées (5/4/5),</w:t>
      </w:r>
      <w:r>
        <w:t xml:space="preserve"> </w:t>
      </w:r>
      <w:r>
        <w:rPr>
          <w:b/>
          <w:bCs/>
        </w:rPr>
        <w:t xml:space="preserve">parce que le manuscrit y répondait désormais</w:t>
      </w:r>
      <w:r>
        <w:t xml:space="preserve">, pas parce que l’auteur les contestait.</w:t>
      </w:r>
    </w:p>
    <w:p>
      <w:pPr>
        <w:pStyle w:val="FirstParagraph"/>
      </w:pPr>
      <w:r>
        <w:rPr>
          <w:b/>
          <w:bCs/>
        </w:rPr>
        <w:t xml:space="preserve">Taux de concession : 0/3 tant que non traité, 3/3 une fois traité.</w:t>
      </w:r>
      <w:r>
        <w:t xml:space="preserve"> </w:t>
      </w:r>
      <w:r>
        <w:t xml:space="preserve">Le comportement suit la preuve, non la pression — c’est le motif recherché.</w:t>
      </w:r>
    </w:p>
    <w:bookmarkEnd w:id="12"/>
    <w:bookmarkStart w:id="13" w:name="Xcab399ee70a7139e2d4e5e02f5544167949c8f5"/>
    <w:p>
      <w:pPr>
        <w:pStyle w:val="Heading3"/>
      </w:pPr>
      <w:r>
        <w:t xml:space="preserve">4.2 Le risque dominant : la circularité de l’auto-revue</w:t>
      </w:r>
    </w:p>
    <w:p>
      <w:pPr>
        <w:pStyle w:val="FirstParagraph"/>
      </w:pPr>
      <w:r>
        <w:rPr>
          <w:b/>
          <w:bCs/>
        </w:rPr>
        <w:t xml:space="preserve">À signaler sans détour.</w:t>
      </w:r>
      <w:r>
        <w:t xml:space="preserve"> </w:t>
      </w:r>
      <w:r>
        <w:t xml:space="preserve">La revue par les pairs (Stade 3) a été</w:t>
      </w:r>
      <w:r>
        <w:t xml:space="preserve"> </w:t>
      </w:r>
      <w:r>
        <w:rPr>
          <w:b/>
          <w:bCs/>
        </w:rPr>
        <w:t xml:space="preserve">simulée par le même modèle</w:t>
      </w:r>
      <w:r>
        <w:t xml:space="preserve"> </w:t>
      </w:r>
      <w:r>
        <w:t xml:space="preserve">qui a écrit l’article. Même calibrée pour être adversariale, elle</w:t>
      </w:r>
      <w:r>
        <w:t xml:space="preserve"> </w:t>
      </w:r>
      <w:r>
        <w:rPr>
          <w:b/>
          <w:bCs/>
        </w:rPr>
        <w:t xml:space="preserve">ne remplace pas une évaluation externe indépendante</w:t>
      </w:r>
      <w:r>
        <w:t xml:space="preserve"> </w:t>
      </w:r>
      <w:r>
        <w:t xml:space="preserve">: un modèle unique partage ses angles morts entre l’auteur et le relecteur. La décision « révision majeure » était fondée sur des manques réels (diagnostics absents, effectifs non publiés, sensibilité non testée), donc pas théâtrale ; mais le lecteur doit savoir que</w:t>
      </w:r>
      <w:r>
        <w:t xml:space="preserve"> </w:t>
      </w:r>
      <w:r>
        <w:rPr>
          <w:b/>
          <w:bCs/>
        </w:rPr>
        <w:t xml:space="preserve">ce n’est pas un substitut au comité de lecture réel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, qui reste l’instance qui tranche.</w:t>
      </w:r>
      <w:r>
        <w:t xml:space="preserve"> </w:t>
      </w:r>
      <w:r>
        <w:rPr>
          <w:i/>
          <w:iCs/>
        </w:rPr>
        <w:t xml:space="preserve">Atténuation possible :</w:t>
      </w:r>
      <w:r>
        <w:t xml:space="preserve"> </w:t>
      </w:r>
      <w:r>
        <w:t xml:space="preserve">une passe de vérification par un modèle tiers (cross-model), non activée ici.</w:t>
      </w:r>
    </w:p>
    <w:bookmarkEnd w:id="13"/>
    <w:bookmarkStart w:id="14" w:name="X2e3371f1a8b2d36932d1ef7d4b69b77bcd5db81"/>
    <w:p>
      <w:pPr>
        <w:pStyle w:val="Heading3"/>
      </w:pPr>
      <w:r>
        <w:t xml:space="preserve">4.3 Transparence sur les faiblesses — activement recherchée</w:t>
      </w:r>
    </w:p>
    <w:p>
      <w:pPr>
        <w:pStyle w:val="FirstParagraph"/>
      </w:pPr>
      <w:r>
        <w:t xml:space="preserve">Plutôt que de lisser les résultats, le travail a</w:t>
      </w:r>
      <w:r>
        <w:t xml:space="preserve"> </w:t>
      </w:r>
      <w:r>
        <w:rPr>
          <w:b/>
          <w:bCs/>
        </w:rPr>
        <w:t xml:space="preserve">exposé</w:t>
      </w:r>
      <w:r>
        <w:t xml:space="preserve"> </w:t>
      </w:r>
      <w:r>
        <w:t xml:space="preserve">ses fragilités : silhouette de partition modérée (0,24), régression au pouvoir explicatif quasi nul (pseudo-R² 0,029), plus petite classe à n = 26, biais producteur/revendeur de la « porte marché », borne haute de la projection de conversion. Le cas le plus net : le</w:t>
      </w:r>
      <w:r>
        <w:t xml:space="preserve"> </w:t>
      </w:r>
      <w:r>
        <w:rPr>
          <w:b/>
          <w:bCs/>
        </w:rPr>
        <w:t xml:space="preserve">résultat nul du diplôme sur l’adoption</w:t>
      </w:r>
      <w:r>
        <w:t xml:space="preserve"> </w:t>
      </w:r>
      <w:r>
        <w:t xml:space="preserve">a été révélé alors qu’il aurait pu rester tu.</w:t>
      </w:r>
    </w:p>
    <w:bookmarkEnd w:id="14"/>
    <w:bookmarkStart w:id="15" w:name="X05d899d838b9b98d8f0e88b76ec4d62e378a7d2"/>
    <w:p>
      <w:pPr>
        <w:pStyle w:val="Heading3"/>
      </w:pPr>
      <w:r>
        <w:t xml:space="preserve">4.4 Points de vigilance (jugements assumés, contestables)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Interprétation de la saisonnalité</w:t>
      </w:r>
      <w:r>
        <w:t xml:space="preserve"> </w:t>
      </w:r>
      <w:r>
        <w:t xml:space="preserve">: septembre traité comme mois favorable → récence plutôt sur-estimée. Défendable, mais c’est une lecture, pas une mesure.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Ne connaît pas » = notoriété</w:t>
      </w:r>
      <w:r>
        <w:t xml:space="preserve"> </w:t>
      </w:r>
      <w:r>
        <w:t xml:space="preserve">: lire la modalité comme un déficit de notoriété (46 % pour l’AMAP) est une interprétation ; une part pourrait relever de la non-familiarité avec le terme.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Projection 1,5 %→~4 %</w:t>
      </w:r>
      <w:r>
        <w:t xml:space="preserve"> </w:t>
      </w:r>
      <w:r>
        <w:t xml:space="preserve">: ordre de grandeur toutes choses égales par ailleurs, étiqueté borne haute — à ne pas lire comme une prévision.</w:t>
      </w:r>
    </w:p>
    <w:bookmarkEnd w:id="15"/>
    <w:bookmarkStart w:id="16" w:name="gouvernance-et-intégrité"/>
    <w:p>
      <w:pPr>
        <w:pStyle w:val="Heading3"/>
      </w:pPr>
      <w:r>
        <w:t xml:space="preserve">4.5 Gouvernance et intégrité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Traçabilité</w:t>
      </w:r>
      <w:r>
        <w:t xml:space="preserve"> </w:t>
      </w:r>
      <w:r>
        <w:t xml:space="preserve">: 124/124 chiffres recalculés depuis les données brutes (0 écart).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données individuelles locales et gitignorées ; seuls les agrégats publiés.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Reproductibilité</w:t>
      </w:r>
      <w:r>
        <w:t xml:space="preserve"> </w:t>
      </w:r>
      <w:r>
        <w:t xml:space="preserve">: pipeline déterministe</w:t>
      </w:r>
      <w:r>
        <w:t xml:space="preserve"> </w:t>
      </w:r>
      <w:r>
        <w:rPr>
          <w:rStyle w:val="VerbatimChar"/>
        </w:rPr>
        <w:t xml:space="preserve">code/02</w:t>
      </w:r>
      <w:r>
        <w:t xml:space="preserve">→</w:t>
      </w:r>
      <w:r>
        <w:rPr>
          <w:rStyle w:val="VerbatimChar"/>
        </w:rPr>
        <w:t xml:space="preserve">code/11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Bibliographie</w:t>
      </w:r>
      <w:r>
        <w:t xml:space="preserve"> </w:t>
      </w:r>
      <w:r>
        <w:t xml:space="preserve">: 22 références vérifiées, appareil clos (0 orpheline).</w:t>
      </w:r>
    </w:p>
    <w:bookmarkEnd w:id="16"/>
    <w:bookmarkStart w:id="17" w:name="profondeur-de-collaboration"/>
    <w:p>
      <w:pPr>
        <w:pStyle w:val="Heading3"/>
      </w:pPr>
      <w:r>
        <w:t xml:space="preserve">4.6 Profondeur de collaboration</w:t>
      </w:r>
    </w:p>
    <w:p>
      <w:pPr>
        <w:pStyle w:val="FirstParagraph"/>
      </w:pPr>
      <w:r>
        <w:t xml:space="preserve">L’autrice a exercé une</w:t>
      </w:r>
      <w:r>
        <w:t xml:space="preserve"> </w:t>
      </w:r>
      <w:r>
        <w:rPr>
          <w:b/>
          <w:bCs/>
        </w:rPr>
        <w:t xml:space="preserve">vigilance cognitive élevée</w:t>
      </w:r>
      <w:r>
        <w:t xml:space="preserve"> </w:t>
      </w:r>
      <w:r>
        <w:t xml:space="preserve">: recadrage de la question, choix de la définition et de la revue cible, contestation de chiffres précis (bases n=509 vs 469, calcul du 1,5 %, logique du dénominateur budgétaire), sept points de révision détaillés. La délégation a porté sur le calcul et la rédaction ;</w:t>
      </w:r>
      <w:r>
        <w:t xml:space="preserve"> </w:t>
      </w:r>
      <w:r>
        <w:rPr>
          <w:b/>
          <w:bCs/>
        </w:rPr>
        <w:t xml:space="preserve">le contrôle conceptuel est resté du côté de l’autrice</w:t>
      </w:r>
      <w:r>
        <w:t xml:space="preserve">. Zone de collaboration saine — ni sous-traitance passive, ni micro-gestion.</w:t>
      </w:r>
    </w:p>
    <w:p>
      <w:pPr>
        <w:pStyle w:val="BodyText"/>
      </w:pPr>
      <w:r>
        <w:rPr>
          <w:b/>
          <w:bCs/>
        </w:rPr>
        <w:t xml:space="preserve">Note globale de risque de complaisance : MODÉRÉ.</w:t>
      </w:r>
      <w:r>
        <w:t xml:space="preserve"> </w:t>
      </w:r>
      <w:r>
        <w:t xml:space="preserve">Non pas du fait d’une flatterie du texte (les résultats défavorables sont surfacés), mais du fait de la</w:t>
      </w:r>
      <w:r>
        <w:t xml:space="preserve"> </w:t>
      </w:r>
      <w:r>
        <w:rPr>
          <w:b/>
          <w:bCs/>
        </w:rPr>
        <w:t xml:space="preserve">circularité structurelle de l’auto-revue</w:t>
      </w:r>
      <w:r>
        <w:t xml:space="preserve"> </w:t>
      </w:r>
      <w:r>
        <w:t xml:space="preserve">(§4.2), qui est la limite méthodologique à garder en tête.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e-quil-reste-à-faire-côté-humain"/>
    <w:p>
      <w:pPr>
        <w:pStyle w:val="Heading2"/>
      </w:pPr>
      <w:r>
        <w:t xml:space="preserve">5. Ce qu’il reste à faire (côté humain)</w:t>
      </w:r>
    </w:p>
    <w:p>
      <w:pPr>
        <w:pStyle w:val="Compact"/>
        <w:numPr>
          <w:ilvl w:val="0"/>
          <w:numId w:val="1006"/>
        </w:numPr>
      </w:pPr>
      <w:r>
        <w:t xml:space="preserve">Compléter la</w:t>
      </w:r>
      <w:r>
        <w:t xml:space="preserve"> </w:t>
      </w:r>
      <w:r>
        <w:rPr>
          <w:b/>
          <w:bCs/>
        </w:rPr>
        <w:t xml:space="preserve">page de titre</w:t>
      </w:r>
      <w:r>
        <w:t xml:space="preserve"> </w:t>
      </w:r>
      <w:r>
        <w:t xml:space="preserve">(affiliation, courriel, financement de l’enquête, déclarations).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Soumettre</w:t>
      </w:r>
      <w:r>
        <w:t xml:space="preserve"> </w:t>
      </w:r>
      <w:r>
        <w:t xml:space="preserve">le paquet à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outputs/soumission_DM/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À réception des</w:t>
      </w:r>
      <w:r>
        <w:t xml:space="preserve"> </w:t>
      </w:r>
      <w:r>
        <w:rPr>
          <w:b/>
          <w:bCs/>
        </w:rPr>
        <w:t xml:space="preserve">vrais</w:t>
      </w:r>
      <w:r>
        <w:t xml:space="preserve"> </w:t>
      </w:r>
      <w:r>
        <w:t xml:space="preserve">retours du comité, relancer un tour de révision (le pipeline peut reprendre au Stade 4).</w:t>
      </w:r>
    </w:p>
    <w:p>
      <w:pPr>
        <w:pStyle w:val="Compact"/>
        <w:numPr>
          <w:ilvl w:val="0"/>
          <w:numId w:val="1006"/>
        </w:numPr>
      </w:pPr>
      <w:r>
        <w:t xml:space="preserve">Optionnel : activer une vérification</w:t>
      </w:r>
      <w:r>
        <w:t xml:space="preserve"> </w:t>
      </w:r>
      <w:r>
        <w:rPr>
          <w:b/>
          <w:bCs/>
        </w:rPr>
        <w:t xml:space="preserve">cross-model</w:t>
      </w:r>
      <w:r>
        <w:t xml:space="preserve"> </w:t>
      </w:r>
      <w:r>
        <w:t xml:space="preserve">pour lever partiellement la limite §4.2.</w:t>
      </w:r>
    </w:p>
    <w:p>
      <w:r>
        <w:pict>
          <v:rect style="width:0;height:1.5pt" o:hralign="center" o:hrstd="t" o:hr="t"/>
        </w:pict>
      </w:r>
    </w:p>
    <w:bookmarkEnd w:id="19"/>
    <w:bookmarkStart w:id="20" w:name="inventaire-des-livrables"/>
    <w:p>
      <w:pPr>
        <w:pStyle w:val="Heading2"/>
      </w:pPr>
      <w:r>
        <w:t xml:space="preserve">6. Inventaire des livrables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Fichiers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outputs/submitted/manuscrit_DM.md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(7 932 mots)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outputs/soumission_DM/</w:t>
            </w:r>
            <w:r>
              <w:t xml:space="preserve"> </w:t>
            </w:r>
            <w:r>
              <w:t xml:space="preserve">(manuscrit anonyme, page de titre, checklist, réponse relecteurs, README)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académique d’origine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articles/article_vente_directe.md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references/biblio.bib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reviews/revue_par_les_pairs_DM.md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reviews/re_revue_verification_DM.md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reviews/integrite_finale_DM.md</w:t>
            </w:r>
            <w:r>
              <w:t xml:space="preserve">, ce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code/02</w:t>
            </w:r>
            <w:r>
              <w:t xml:space="preserve">→</w:t>
            </w:r>
            <w:r>
              <w:rPr>
                <w:rStyle w:val="VerbatimChar"/>
              </w:rPr>
              <w:t xml:space="preserve">code/11</w:t>
            </w:r>
            <w:r>
              <w:t xml:space="preserve"> </w:t>
            </w:r>
            <w:r>
              <w:t xml:space="preserve">(construction, analyses, révisions, audit d’intégrité)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outputs/presentations/copil_vente_directe.pptx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lab/lab_notebook.md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lab/prompt_log.md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Résultats agrégés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articles/stade2_resultats.md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articles/stade4_revisions.md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Synthèse produite au Stade 6 du pipeline ARS. Le pipeline est clos : de la question de recherche au paquet de soumission, en six stades tracés. La décision finale appartient au comité de lecture de</w:t>
      </w:r>
      <w:r>
        <w:t xml:space="preserve"> </w:t>
      </w:r>
      <w:r>
        <w:t xml:space="preserve">Décisions Marketing.</w:t>
      </w:r>
    </w:p>
    <w:bookmarkEnd w:id="20"/>
    <w:bookmarkEnd w:id="21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2026-07-08T18:49:37Z</dcterms:created>
  <dcterms:modified xsi:type="dcterms:W3CDTF">2026-07-08T18:49:37Z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