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30.png" ContentType="image/png"/>
  <Override PartName="/word/media/rId34.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beaucoup-lessaient-peu-ladoptent"/>
    <w:p>
      <w:pPr>
        <w:pStyle w:val="Heading1"/>
      </w:pPr>
      <w:r>
        <w:t xml:space="preserve">« Beaucoup l’essaient, peu l’adoptent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 — le seul gradient net étant le diplôme (plus que la catégorie socioprofessionnelle).</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leurs pratiques d’achat déclarées (allocation de budget, fréquence, récence), et non sur leurs seules attitudes,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7"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l’application explicite du cadre omnicanal à l’alimentation directe et locale reste inédite : c’est le premier déplacement de l’article.</w:t>
      </w:r>
    </w:p>
    <w:bookmarkEnd w:id="14"/>
    <w:bookmarkStart w:id="15" w:name="Xa78a6e9b4ec9f4ce7a7a5897be46e9029041738"/>
    <w:p>
      <w:pPr>
        <w:pStyle w:val="Heading3"/>
      </w:pPr>
      <w: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5"/>
    <w:bookmarkStart w:id="16"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sa pratique serait faiblement déterminée par le profil sociodémographique : elle traverserait les catégories. Enfin, conformément à l’écart attitude-comportement, l’adhésion déclarée serait nettement plus forte que le poids budgétaire effectif — beaucoup l’essaieraient, peu l’adopteraient.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6"/>
    <w:bookmarkEnd w:id="17"/>
    <w:bookmarkStart w:id="18"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quelques dimensions synthétiques. Une</w:t>
      </w:r>
      <w:r>
        <w:t xml:space="preserve"> </w:t>
      </w:r>
      <w:r>
        <w:rPr>
          <w:b/>
          <w:bCs/>
        </w:rPr>
        <w:t xml:space="preserve">classification ascendante hiérarchique</w:t>
      </w:r>
      <w:r>
        <w:t xml:space="preserve"> </w:t>
      </w:r>
      <w:r>
        <w:t xml:space="preserve">(méthode de Ward) regroupe ensuite les ménages proches sur ces dimensions. Le nombre de classes (cinq) a été retenu sur la base d’un indicateur de qualité de partition et de l’interprétabilité des profils. La typologie décrit donc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8"/>
    <w:bookmarkStart w:id="25"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0" name="Picture"/>
            <a:graphic>
              <a:graphicData uri="http://schemas.openxmlformats.org/drawingml/2006/picture">
                <pic:pic>
                  <pic:nvPicPr>
                    <pic:cNvPr descr="/home/user/formation-Claude/figures/png/fig1_part_budget_canal_nb.png" id="21" name="Picture"/>
                    <pic:cNvPicPr>
                      <a:picLocks noChangeArrowheads="1" noChangeAspect="1"/>
                    </pic:cNvPicPr>
                  </pic:nvPicPr>
                  <pic:blipFill>
                    <a:blip r:embed="rId19"/>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pratiquent une forme de vente directe. L’achat direct aux agriculteurs (hors marchés) concerne 49,7 % des ménages, mais seulement 17,3 % de façon régulière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3" name="Picture"/>
            <a:graphic>
              <a:graphicData uri="http://schemas.openxmlformats.org/drawingml/2006/picture">
                <pic:pic>
                  <pic:nvPicPr>
                    <pic:cNvPr descr="/home/user/formation-Claude/figures/png/fig2_frequence_canal7_nb.png" id="24" name="Picture"/>
                    <pic:cNvPicPr>
                      <a:picLocks noChangeArrowheads="1" noChangeAspect="1"/>
                    </pic:cNvPicPr>
                  </pic:nvPicPr>
                  <pic:blipFill>
                    <a:blip r:embed="rId22"/>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5"/>
    <w:bookmarkStart w:id="29" w:name="Xe4e0b2f4b1568e238a2a23f481cbadf536e92a8"/>
    <w:p>
      <w:pPr>
        <w:pStyle w:val="Heading2"/>
      </w:pPr>
      <w: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3, Figure 3).</w:t>
      </w:r>
    </w:p>
    <w:p>
      <w:pPr>
        <w:pStyle w:val="BodyText"/>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récemment. La fréquentation déclarée surestime donc sensiblement la pratique en cours.</w:t>
      </w:r>
    </w:p>
    <w:p>
      <w:pPr>
        <w:pStyle w:val="BodyText"/>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fort</w:t>
      </w:r>
      <w:r>
        <w:t xml:space="preserve"> </w:t>
      </w:r>
      <w:r>
        <w:rPr>
          <w:b/>
          <w:bCs/>
        </w:rPr>
        <w:t xml:space="preserve">abandon</w:t>
      </w:r>
      <w:r>
        <w:t xml:space="preserve"> </w:t>
      </w:r>
      <w:r>
        <w:t xml:space="preserve">: parmi les ménages qui ont un jour été clients d’une AMAP, près des deux tiers (</w:t>
      </w:r>
      <w:r>
        <w:rPr>
          <w:b/>
          <w:bCs/>
        </w:rPr>
        <w:t xml:space="preserve">65 %</w:t>
      </w:r>
      <w:r>
        <w:t xml:space="preserve">) ne le sont plus.</w:t>
      </w:r>
    </w:p>
    <w:p>
      <w:pPr>
        <w:pStyle w:val="BodyText"/>
      </w:pPr>
      <w:r>
        <w:rPr>
          <w:b/>
          <w:bCs/>
        </w:rPr>
        <w:t xml:space="preserve">Tableau 3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pStyle w:val="BodyText"/>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7" name="Picture"/>
            <a:graphic>
              <a:graphicData uri="http://schemas.openxmlformats.org/drawingml/2006/picture">
                <pic:pic>
                  <pic:nvPicPr>
                    <pic:cNvPr descr="/home/user/formation-Claude/figures/png/fig6_essai_ancrage_nb.png" id="28" name="Picture"/>
                    <pic:cNvPicPr>
                      <a:picLocks noChangeArrowheads="1" noChangeAspect="1"/>
                    </pic:cNvPicPr>
                  </pic:nvPicPr>
                  <pic:blipFill>
                    <a:blip r:embed="rId26"/>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Récence d’achat par forme (vente directe et circuits conventionnels spécialisés)</w:t>
      </w:r>
    </w:p>
    <w:p>
      <w:pPr>
        <w:pStyle w:val="BodyText"/>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29"/>
    <w:bookmarkStart w:id="33" w:name="cinq-stratégies-dapprovisionnement"/>
    <w:p>
      <w:pPr>
        <w:pStyle w:val="Heading2"/>
      </w:pPr>
      <w:r>
        <w:t xml:space="preserve">Cinq stratégies d’approvisionnement</w:t>
      </w:r>
    </w:p>
    <w:p>
      <w:pPr>
        <w:pStyle w:val="FirstParagraph"/>
      </w:pPr>
      <w:r>
        <w:t xml:space="preserve">La typologie fait émerger cinq stratégies distinctes (Figure 4, Tableau 4),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1" name="Picture"/>
            <a:graphic>
              <a:graphicData uri="http://schemas.openxmlformats.org/drawingml/2006/picture">
                <pic:pic>
                  <pic:nvPicPr>
                    <pic:cNvPr descr="/home/user/formation-Claude/figures/png/fig3_plan_factoriel_nb.png" id="32" name="Picture"/>
                    <pic:cNvPicPr>
                      <a:picLocks noChangeArrowheads="1" noChangeAspect="1"/>
                    </pic:cNvPicPr>
                  </pic:nvPicPr>
                  <pic:blipFill>
                    <a:blip r:embed="rId30"/>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Plan factoriel (ACM) et classes de stratégie</w:t>
      </w:r>
    </w:p>
    <w:p>
      <w:pPr>
        <w:pStyle w:val="BodyText"/>
      </w:pPr>
      <w:r>
        <w:rPr>
          <w:b/>
          <w:bCs/>
        </w:rPr>
        <w:t xml:space="preserve">Tableau 4 : Les cinq stratégies d’approvisionnement</w:t>
      </w:r>
    </w:p>
    <w:tbl>
      <w:tblPr>
        <w:tblStyle w:val="Table"/>
        <w:tblW w:type="pct" w:w="5000"/>
        <w:tblLayout w:type="fixed"/>
        <w:tblLook w:firstRow="1" w:lastRow="0" w:firstColumn="0" w:lastColumn="0" w:noHBand="0" w:noVBand="0" w:val="0020"/>
      </w:tblPr>
      <w:tblGrid>
        <w:gridCol w:w="1116"/>
        <w:gridCol w:w="609"/>
        <w:gridCol w:w="507"/>
        <w:gridCol w:w="1421"/>
        <w:gridCol w:w="1523"/>
        <w:gridCol w:w="1624"/>
        <w:gridCol w:w="1116"/>
      </w:tblGrid>
      <w:tr>
        <w:trPr>
          <w:tblHeader w:val="on"/>
        </w:trPr>
        <w:tc>
          <w:tcPr/>
          <w:p>
            <w:pPr>
              <w:pStyle w:val="Compact"/>
            </w:pPr>
            <w:r>
              <w:t xml:space="preserve">Stratégie</w:t>
            </w:r>
          </w:p>
        </w:tc>
        <w:tc>
          <w:tcPr/>
          <w:p>
            <w:pPr>
              <w:pStyle w:val="Compact"/>
            </w:pPr>
            <w:r>
              <w:t xml:space="preserve">Part</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pPr>
            <w:r>
              <w:t xml:space="preserve">61 %</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pPr>
            <w:r>
              <w:t xml:space="preserve">24 %</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pPr>
            <w:r>
              <w:t xml:space="preserve">8 %</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pPr>
            <w:r>
              <w:t xml:space="preserve">5 %</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pPr>
            <w:r>
              <w:t xml:space="preserve">2,5 %</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rPr>
          <w:i/>
          <w:iCs/>
        </w:rPr>
        <w:t xml:space="preserve">« Canaux (fréq. / rég.) » : nombre moyen de canaux fréquentés / utilisés régulièrement (sur 13).</w:t>
      </w:r>
    </w:p>
    <w:p>
      <w:pPr>
        <w:pStyle w:val="BodyText"/>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Deux enseignements transversaux ressortent de cette typologie. Le premier est que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l’ensemble : le taux inclusif de vente directe croît avec l’ampleur du répertoire de canaux (de 28 % chez les captifs à 100 % chez les explorateurs conventionnels), mais l’usage régulier ne culmine que chez les multi-canal intensifs (67 %), montrant que largeur du répertoire et intensité d’engagement ne se confondent pas. Le second est que ce n’est pas le profil social qui prédit le mieux la vente directe, mais la</w:t>
      </w:r>
      <w:r>
        <w:t xml:space="preserve"> </w:t>
      </w:r>
      <w:r>
        <w:rPr>
          <w:b/>
          <w:bCs/>
        </w:rPr>
        <w:t xml:space="preserve">configuration d’usage</w:t>
      </w:r>
      <w:r>
        <w:t xml:space="preserve"> </w:t>
      </w:r>
      <w:r>
        <w:t xml:space="preserve">— la stratégie d’approvisionnement — dans laquelle elle s’inscrit : les multi-canal intensifs l’ancrent dans une routine multi-canal dense, les captifs s’en tiennent à distance, les explorateurs conventionnels l’essaient sans la pérenniser. Cette grille de segmentation par les pratiques est directement actionnable, car chaque configuration appelle un levier différent.</w:t>
      </w:r>
    </w:p>
    <w:bookmarkEnd w:id="33"/>
    <w:bookmarkStart w:id="40"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5)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c’est donc l’</w:t>
      </w:r>
      <w:r>
        <w:rPr>
          <w:b/>
          <w:bCs/>
        </w:rPr>
        <w:t xml:space="preserve">éducation</w:t>
      </w:r>
      <w:r>
        <w:t xml:space="preserve">, plus que la position socioprofessionnelle, qui constitue le principal gradient social. Le sexe, l’âge et la taille d’agglomération restent sans effet significatif.</w:t>
      </w:r>
    </w:p>
    <w:p>
      <w:pPr>
        <w:pStyle w:val="CaptionedFigure"/>
      </w:pPr>
      <w:r>
        <w:drawing>
          <wp:inline>
            <wp:extent cx="5969000" cy="4901190"/>
            <wp:effectExtent b="0" l="0" r="0" t="0"/>
            <wp:docPr descr="Figure 5" title="" id="35" name="Picture"/>
            <a:graphic>
              <a:graphicData uri="http://schemas.openxmlformats.org/drawingml/2006/picture">
                <pic:pic>
                  <pic:nvPicPr>
                    <pic:cNvPr descr="/home/user/formation-Claude/figures/png/fig4_regression_or_nb.png" id="36" name="Picture"/>
                    <pic:cNvPicPr>
                      <a:picLocks noChangeArrowheads="1" noChangeAspect="1"/>
                    </pic:cNvPicPr>
                  </pic:nvPicPr>
                  <pic:blipFill>
                    <a:blip r:embed="rId34"/>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Déterminants de l’usage de la vente directe (odds-ratios)</w:t>
      </w:r>
    </w:p>
    <w:p>
      <w:pPr>
        <w:pStyle w:val="BodyText"/>
      </w:pPr>
      <w:r>
        <w:t xml:space="preserve">La faiblesse de ce pouvoir explicatif est en soi un résultat : la vente directe n’est pas le marqueur d’un groupe social circonscrit. Si les plus diplômés y recourent un peu plus, l’essentiel de la pratique se distribue transversalement — comme l’illustre l’existence du groupe adeptes de la proximité, plus âgé et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8" name="Picture"/>
            <a:graphic>
              <a:graphicData uri="http://schemas.openxmlformats.org/drawingml/2006/picture">
                <pic:pic>
                  <pic:nvPicPr>
                    <pic:cNvPr descr="/home/user/formation-Claude/figures/png/fig5_motivations_marche_nb.png" id="39" name="Picture"/>
                    <pic:cNvPicPr>
                      <a:picLocks noChangeArrowheads="1" noChangeAspect="1"/>
                    </pic:cNvPicPr>
                  </pic:nvPicPr>
                  <pic:blipFill>
                    <a:blip r:embed="rId37"/>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 Motivations d’achat sur les marchés</w:t>
      </w:r>
    </w:p>
    <w:bookmarkEnd w:id="40"/>
    <w:bookmarkStart w:id="41"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pratique de niche à diffuser, l’effort porte naturellement sur la sensibilisation et la conquête de nouveaux convaincus. Or nos données montrent que la conquête est, pour l’essentiel, déjà faite : deux ménages sur trois ont franchi le pas de l’achat direct. Le problème n’est pas d’ouvrir le canal à de nouveaux publics, mais de le</w:t>
      </w:r>
      <w:r>
        <w:t xml:space="preserve"> </w:t>
      </w:r>
      <w:r>
        <w:rPr>
          <w:b/>
          <w:bCs/>
        </w:rPr>
        <w:t xml:space="preserve">rendre régulier</w:t>
      </w:r>
      <w:r>
        <w:t xml:space="preserve"> </w:t>
      </w:r>
      <w:r>
        <w:t xml:space="preserve">chez ceux qui l’ont déjà essayé. Cette bascule de diagnostic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Le fort taux d’abandon des formes les plus engageantes — jusqu’à 65 % pour les AMAP — confirme que l’enjeu est bien la</w:t>
      </w:r>
      <w:r>
        <w:t xml:space="preserve"> </w:t>
      </w:r>
      <w:r>
        <w:rPr>
          <w:b/>
          <w:bCs/>
        </w:rPr>
        <w:t xml:space="preserve">rétention</w:t>
      </w:r>
      <w:r>
        <w:t xml:space="preserve">, non l’acquisition. Pour les producteurs et les réseaux de vente directe, cela oriente l’effort vers les</w:t>
      </w:r>
      <w:r>
        <w:t xml:space="preserve"> </w:t>
      </w:r>
      <w:r>
        <w:rPr>
          <w:b/>
          <w:bCs/>
        </w:rPr>
        <w:t xml:space="preserve">dispositifs de régularité</w:t>
      </w:r>
      <w:r>
        <w:t xml:space="preserve"> </w:t>
      </w:r>
      <w:r>
        <w:t xml:space="preserve">: abonnements et paniers récurrents à engagement souple, points de retrait situés sur les trajets domicile-travail plutôt qu’au seul lieu de production, élargissement des gammes pour couvrir une plus grande part du panier (et non les seuls fruits et légumes), horaires compatibles avec les actifs, et animation de la relation client (rappels, préparation anticipée des commandes, information sur la saisonnalité).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restant faiblement déterminée socialement — le modèle n’explique que 3 % de la variance de la pratique, avec pour seul gradient net un léger sur-recours des plus diplômés —, il n’y a pas lieu de la réserver, dans les représentations comme dans le ciblage marketing, à un segment aisé et urbain. Les dispositifs peuvent viser tous les publics, y compris les budgets modestes : le profil adeptes de la proximité, plus âgé et moins doté, montre qu’un approvisionnement de proximité à petit budget est non seulement possible mais déjà pratiqué. Ce constat plaide contre une segmentation par le revenu ou la CSP, et pour une segmentation par la</w:t>
      </w:r>
      <w:r>
        <w:t xml:space="preserve"> </w:t>
      </w:r>
      <w:r>
        <w:rPr>
          <w:b/>
          <w:bCs/>
        </w:rPr>
        <w:t xml:space="preserve">stratégie d’approvisionnement</w:t>
      </w:r>
      <w:r>
        <w:t xml:space="preserve"> </w:t>
      </w:r>
      <w:r>
        <w:t xml:space="preserve">: c’est la configuration d’usage (multi-canal modérés, captifs, intensifs…), et non la position sociale, qui prédit le recours à la vente directe et indique le levier pertinent. Que le seul gradient social net passe par le</w:t>
      </w:r>
      <w:r>
        <w:t xml:space="preserve"> </w:t>
      </w:r>
      <w:r>
        <w:rPr>
          <w:b/>
          <w:bCs/>
        </w:rPr>
        <w:t xml:space="preserve">diplôme</w:t>
      </w:r>
      <w:r>
        <w:t xml:space="preserve"> </w:t>
      </w:r>
      <w:r>
        <w:t xml:space="preserve">plutôt que par le revenu ou la catégorie socioprofessionnelle est d’ailleurs riche d’enseignement : il oriente vers un frein</w:t>
      </w:r>
      <w:r>
        <w:t xml:space="preserve"> </w:t>
      </w:r>
      <w:r>
        <w:rPr>
          <w:b/>
          <w:bCs/>
        </w:rPr>
        <w:t xml:space="preserve">informationnel et culturel</w:t>
      </w:r>
      <w:r>
        <w:t xml:space="preserve"> </w:t>
      </w:r>
      <w:r>
        <w:t xml:space="preserve">— savoir où trouver ces circuits, en comprendre le fonctionnement — davantage que financier. Le déficit de notoriété relevé plus haut, où près d’un acheteur direct sur deux ignore ce qu’est une AMAP, va dans le même sens. Le levier n’est donc pas de rendre la vente directe moins chère, mais plus</w:t>
      </w:r>
      <w:r>
        <w:t xml:space="preserve"> </w:t>
      </w:r>
      <w:r>
        <w:rPr>
          <w:b/>
          <w:bCs/>
        </w:rPr>
        <w:t xml:space="preserve">lisible et accessible</w:t>
      </w:r>
      <w:r>
        <w:t xml:space="preserve"> </w:t>
      </w:r>
      <w:r>
        <w:t xml:space="preserve">pour des publics aujourd’hui tenus à distance moins par le pouvoir d’achat que par l’information.</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adopté,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 seul gradient net est le diplôme, signe d’un frein informationnel (notoriété, lisibilité) plus que financier.</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1"/>
    <w:bookmarkStart w:id="42"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Enfin, la plus petite classe (adeptes de la proximité) appelle la prudence dans l’interprétation de ses caractéristiques fines,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2"/>
    <w:bookmarkStart w:id="43" w:name="références"/>
    <w:p>
      <w:pPr>
        <w:pStyle w:val="Heading2"/>
      </w:pPr>
      <w: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pStyle w:val="BodyText"/>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Enthoven L. et Van den Broeck G. (2021), Local food systems: reviewing two decades of research,</w:t>
      </w:r>
      <w:r>
        <w:t xml:space="preserve"> </w:t>
      </w:r>
      <w:r>
        <w:rPr>
          <w:i/>
          <w:iCs/>
        </w:rPr>
        <w:t xml:space="preserve">Agricultural Systems</w:t>
      </w:r>
      <w:r>
        <w:t xml:space="preserve">, 193: 103226.</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bookmarkEnd w:id="43"/>
    <w:bookmarkEnd w:id="44"/>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professionnelles et institutionnelles (FranceAgriMer, Agreste) convergentes sur ce point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2026-07-08T14:10:07Z</dcterms:created>
  <dcterms:modified xsi:type="dcterms:W3CDTF">2026-07-08T14:10:07Z</dcterms:modified>
</cp:coreProperties>
</file>

<file path=docProps/custom.xml><?xml version="1.0" encoding="utf-8"?>
<Properties xmlns="http://schemas.openxmlformats.org/officeDocument/2006/custom-properties" xmlns:vt="http://schemas.openxmlformats.org/officeDocument/2006/docPropsVTypes"/>
</file>