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éponse-aux-relecteurs"/>
    <w:p>
      <w:pPr>
        <w:pStyle w:val="Heading1"/>
      </w:pPr>
      <w:r>
        <w:t xml:space="preserve">Réponse aux relecteurs</w:t>
      </w:r>
    </w:p>
    <w:p>
      <w:pPr>
        <w:pStyle w:val="FirstParagraph"/>
      </w:pPr>
      <w:r>
        <w:rPr>
          <w:b/>
          <w:bCs/>
        </w:rPr>
        <w:t xml:space="preserve">Manuscrit :</w:t>
      </w:r>
      <w:r>
        <w:t xml:space="preserve"> </w:t>
      </w:r>
      <w:r>
        <w:t xml:space="preserve">« Beaucoup l’essaient, peu l’adoptent » — La vente directe dans les stratégies d’approvisionnement des ménages français</w:t>
      </w:r>
      <w:r>
        <w:t xml:space="preserve"> </w:t>
      </w:r>
      <w:r>
        <w:rPr>
          <w:b/>
          <w:bCs/>
        </w:rPr>
        <w:t xml:space="preserve">Revue :</w:t>
      </w:r>
      <w:r>
        <w:t xml:space="preserve"> </w:t>
      </w:r>
      <w:r>
        <w:rPr>
          <w:i/>
          <w:iCs/>
        </w:rPr>
        <w:t xml:space="preserve">Décisions Marketing</w:t>
      </w:r>
      <w:r>
        <w:t xml:space="preserve"> </w:t>
      </w:r>
      <w:r>
        <w:t xml:space="preserve">— décision :</w:t>
      </w:r>
      <w:r>
        <w:t xml:space="preserve"> </w:t>
      </w:r>
      <w:r>
        <w:rPr>
          <w:b/>
          <w:bCs/>
        </w:rPr>
        <w:t xml:space="preserve">révision majeure</w:t>
      </w:r>
    </w:p>
    <w:p>
      <w:pPr>
        <w:pStyle w:val="BodyText"/>
      </w:pPr>
      <w:r>
        <w:t xml:space="preserve">Nous remercions le comité de lecture et les quatre relecteurs pour une évaluation à la fois exigeante et constructive. Toutes les analyses demandées ont pu être conduites</w:t>
      </w:r>
      <w:r>
        <w:t xml:space="preserve"> </w:t>
      </w:r>
      <w:r>
        <w:rPr>
          <w:b/>
          <w:bCs/>
        </w:rPr>
        <w:t xml:space="preserve">sur les données existantes</w:t>
      </w:r>
      <w:r>
        <w:t xml:space="preserve">, sans nouvelle collecte. Ci-dessous, chaque exigence est reprise (R = relecteur, AD = avocat du diable), suivie de notre réponse et de la localisation de la modification. Les ajouts de calcul sont reproductibles (</w:t>
      </w:r>
      <w:r>
        <w:rPr>
          <w:rStyle w:val="VerbatimChar"/>
        </w:rPr>
        <w:t xml:space="preserve">code/10_revisions_stade4.py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articles/stade4_revisions.md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2" w:name="exigences-bloquantes"/>
    <w:p>
      <w:pPr>
        <w:pStyle w:val="Heading2"/>
      </w:pPr>
      <w:r>
        <w:t xml:space="preserve">Exigences bloquantes</w:t>
      </w:r>
    </w:p>
    <w:bookmarkStart w:id="9" w:name="X7130ac131b93ba3e79268ede5d3b5afb39828a6"/>
    <w:p>
      <w:pPr>
        <w:pStyle w:val="Heading3"/>
      </w:pPr>
      <w:r>
        <w:t xml:space="preserve">(A) Transparence de la typologie — diagnostics et effectifs (R1, AD-2)</w:t>
      </w:r>
    </w:p>
    <w:p>
      <w:pPr>
        <w:pStyle w:val="FirstParagraph"/>
      </w:pPr>
      <w:r>
        <w:rPr>
          <w:b/>
          <w:bCs/>
        </w:rPr>
        <w:t xml:space="preserve">Demande.</w:t>
      </w:r>
      <w:r>
        <w:t xml:space="preserve"> </w:t>
      </w:r>
      <w:r>
        <w:t xml:space="preserve">Publier les diagnostics de partition (silhouette / pseudo-F, inertie ACM, effectifs par classe), une analyse de stabilité (4/5/6 classes), et démontrer que les classes diffèrent par la</w:t>
      </w:r>
      <w:r>
        <w:t xml:space="preserve"> </w:t>
      </w:r>
      <w:r>
        <w:rPr>
          <w:i/>
          <w:iCs/>
        </w:rPr>
        <w:t xml:space="preserve">combinaison</w:t>
      </w:r>
      <w:r>
        <w:t xml:space="preserve"> </w:t>
      </w:r>
      <w:r>
        <w:t xml:space="preserve">de canaux et non par un simple axe d’intensité. Ajouter les n dans tous les tableaux.</w:t>
      </w:r>
    </w:p>
    <w:p>
      <w:pPr>
        <w:pStyle w:val="BodyText"/>
      </w:pPr>
      <w:r>
        <w:rPr>
          <w:b/>
          <w:bCs/>
        </w:rPr>
        <w:t xml:space="preserve">Réponse — traité.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Encadré 2</w:t>
      </w:r>
      <w:r>
        <w:t xml:space="preserve"> </w:t>
      </w:r>
      <w:r>
        <w:t xml:space="preserve">enrichi : les deux premiers axes d’ACM concentrent 62 % de l’inertie ; la solution à 5 classes</w:t>
      </w:r>
      <w:r>
        <w:t xml:space="preserve"> </w:t>
      </w:r>
      <w:r>
        <w:rPr>
          <w:b/>
          <w:bCs/>
        </w:rPr>
        <w:t xml:space="preserve">maximise la silhouette moyenne (0,24</w:t>
      </w:r>
      <w:r>
        <w:t xml:space="preserve">, contre 0,21 à 4 classes et 0,23 à 6), la découpe à 6 ne faisant que scinder le plus gros groupe. La silhouette modérée est explicitement qualifiée et son interprétation (configurations dominantes, non frontières nettes) est posée.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Tableau 5</w:t>
      </w:r>
      <w:r>
        <w:t xml:space="preserve"> </w:t>
      </w:r>
      <w:r>
        <w:t xml:space="preserve">porte désormais les</w:t>
      </w:r>
      <w:r>
        <w:t xml:space="preserve"> </w:t>
      </w:r>
      <w:r>
        <w:rPr>
          <w:b/>
          <w:bCs/>
        </w:rPr>
        <w:t xml:space="preserve">effectifs bruts</w:t>
      </w:r>
      <w:r>
        <w:t xml:space="preserve"> </w:t>
      </w:r>
      <w:r>
        <w:t xml:space="preserve">de chaque classe (624 / 249 / 79 / 47 / 26) et une note de prudence sur la plus petite (n = 26).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Réfutation de l’attaque « intensité déguisée » (AD-2).</w:t>
      </w:r>
      <w:r>
        <w:t xml:space="preserve"> </w:t>
      </w:r>
      <w:r>
        <w:t xml:space="preserve">Le calcul de l’usage régulier canal par canal et par classe (reporté dans</w:t>
      </w:r>
      <w:r>
        <w:t xml:space="preserve"> </w:t>
      </w:r>
      <w:r>
        <w:rPr>
          <w:rStyle w:val="VerbatimChar"/>
        </w:rPr>
        <w:t xml:space="preserve">articles/stade4_revisions.md</w:t>
      </w:r>
      <w:r>
        <w:t xml:space="preserve">, §1d) montre que les « adeptes de la proximité » sont le</w:t>
      </w:r>
      <w:r>
        <w:t xml:space="preserve"> </w:t>
      </w:r>
      <w:r>
        <w:rPr>
          <w:b/>
          <w:bCs/>
        </w:rPr>
        <w:t xml:space="preserve">seul groupe sans hyper/super régulier</w:t>
      </w:r>
      <w:r>
        <w:t xml:space="preserve"> </w:t>
      </w:r>
      <w:r>
        <w:t xml:space="preserve">(différence de</w:t>
      </w:r>
      <w:r>
        <w:t xml:space="preserve"> </w:t>
      </w:r>
      <w:r>
        <w:rPr>
          <w:i/>
          <w:iCs/>
        </w:rPr>
        <w:t xml:space="preserve">combinaison</w:t>
      </w:r>
      <w:r>
        <w:t xml:space="preserve">, pas d’intensité), et que explorateurs (répertoire large, VD régulière 19 %) et intensifs (répertoire large, VD régulière 67 %) se distinguent à largeur égale : la partition capte bien des configurations. Ce point est résumé au §« Cinq stratégies 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 ajoutés</w:t>
      </w:r>
      <w:r>
        <w:t xml:space="preserve"> </w:t>
      </w:r>
      <w:r>
        <w:t xml:space="preserve">aux Tableaux 2, 5 et 6 ; IC de Wilson ajoutés aux taux clés (voir B).</w:t>
      </w:r>
    </w:p>
    <w:bookmarkEnd w:id="9"/>
    <w:bookmarkStart w:id="10" w:name="X05028d8e1bfc87bfe291d8070f5ce69e9147234"/>
    <w:p>
      <w:pPr>
        <w:pStyle w:val="Heading3"/>
      </w:pPr>
      <w:r>
        <w:t xml:space="preserve">(B) Robustesse du résultat-phare aux dénominateurs et à la définition (R1-4, AD-1)</w:t>
      </w:r>
    </w:p>
    <w:p>
      <w:pPr>
        <w:pStyle w:val="FirstParagraph"/>
      </w:pPr>
      <w:r>
        <w:rPr>
          <w:b/>
          <w:bCs/>
        </w:rPr>
        <w:t xml:space="preserve">Demande.</w:t>
      </w:r>
      <w:r>
        <w:t xml:space="preserve"> </w:t>
      </w:r>
      <w:r>
        <w:t xml:space="preserve">Ajouter un tableau de sensibilité (pénétration inclusive / régulière × part sur toute la population / chez les réguliers) et montrer que le paradoxe survit. Tester le gradient diplôme sur la définition régulière.</w:t>
      </w:r>
    </w:p>
    <w:p>
      <w:pPr>
        <w:pStyle w:val="BodyText"/>
      </w:pPr>
      <w:r>
        <w:rPr>
          <w:b/>
          <w:bCs/>
        </w:rPr>
        <w:t xml:space="preserve">Réponse — traité.</w:t>
      </w:r>
      <w:r>
        <w:t xml:space="preserve"> </w:t>
      </w:r>
      <w:r>
        <w:t xml:space="preserve">- Nouveau</w:t>
      </w:r>
      <w:r>
        <w:t xml:space="preserve"> </w:t>
      </w:r>
      <w:r>
        <w:rPr>
          <w:b/>
          <w:bCs/>
        </w:rPr>
        <w:t xml:space="preserve">Tableau 3 (sensibilité)</w:t>
      </w:r>
      <w:r>
        <w:t xml:space="preserve"> </w:t>
      </w:r>
      <w:r>
        <w:t xml:space="preserve">croisant les trois définitions de la vente directe (inclusive 65 % / pénétration 49,7 % / régulière 17,3 %) avec les deux dénominateurs budgétaires (population / réguliers). Le texte qui l’introduit montre que</w:t>
      </w:r>
      <w:r>
        <w:t xml:space="preserve"> </w:t>
      </w:r>
      <w:r>
        <w:rPr>
          <w:b/>
          <w:bCs/>
        </w:rPr>
        <w:t xml:space="preserve">le paradoxe survit</w:t>
      </w:r>
      <w:r>
        <w:t xml:space="preserve"> </w:t>
      </w:r>
      <w:r>
        <w:t xml:space="preserve">: sous la définition la plus stricte, la part chez les seuls réguliers (8,5 %) reste minoritaire ; la diffusion large (65 %) coexiste avec un poids national de 1,5 % quelle que soit la porte. L’écart n’est pas un artefact de dénominateur (réponse directe à AD-1).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 de Wilson (95 %)</w:t>
      </w:r>
      <w:r>
        <w:t xml:space="preserve"> </w:t>
      </w:r>
      <w:r>
        <w:t xml:space="preserve">ajoutés sur les taux clés (65,0 % [62,0–67,8] ; 49,7 % [46,6–52,7] ; 17,3 % [15,1–19,7]).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sur la VD régulière (R1-4) :</w:t>
      </w:r>
      <w:r>
        <w:t xml:space="preserve"> </w:t>
      </w:r>
      <w:r>
        <w:t xml:space="preserve">voir (C)/section déterminants — l’effet du diplôme</w:t>
      </w:r>
      <w:r>
        <w:t xml:space="preserve"> </w:t>
      </w:r>
      <w:r>
        <w:rPr>
          <w:b/>
          <w:bCs/>
        </w:rPr>
        <w:t xml:space="preserve">ne tient pas</w:t>
      </w:r>
      <w:r>
        <w:t xml:space="preserve"> </w:t>
      </w:r>
      <w:r>
        <w:t xml:space="preserve">sur la définition régulière, ce que nous rapportons honnêtement.</w:t>
      </w:r>
    </w:p>
    <w:bookmarkEnd w:id="10"/>
    <w:bookmarkStart w:id="11" w:name="Xce752706376af7867c5406f2c35a8cec5a8681e"/>
    <w:p>
      <w:pPr>
        <w:pStyle w:val="Heading3"/>
      </w:pPr>
      <w:r>
        <w:t xml:space="preserve">(C) Distinguer intermittence et abandon ; sécuriser la mesure (R2, AD-3)</w:t>
      </w:r>
    </w:p>
    <w:p>
      <w:pPr>
        <w:pStyle w:val="FirstParagraph"/>
      </w:pPr>
      <w:r>
        <w:rPr>
          <w:b/>
          <w:bCs/>
        </w:rPr>
        <w:t xml:space="preserve">Demande.</w:t>
      </w:r>
      <w:r>
        <w:t xml:space="preserve"> </w:t>
      </w:r>
      <w:r>
        <w:t xml:space="preserve">Cesser d’amalgamer « pas acheté ce mois-ci » (saisonnalité possible) et « n’achète plus » (abandon). Préciser la période de terrain. Donner n et format de la question AMAP. Discuter le biais producteur/revendeur de la porte marché.</w:t>
      </w:r>
    </w:p>
    <w:p>
      <w:pPr>
        <w:pStyle w:val="BodyText"/>
      </w:pPr>
      <w:r>
        <w:rPr>
          <w:b/>
          <w:bCs/>
        </w:rPr>
        <w:t xml:space="preserve">Réponse — traité.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Période de terrain précisée : septembre</w:t>
      </w:r>
      <w:r>
        <w:t xml:space="preserve"> </w:t>
      </w:r>
      <w:r>
        <w:t xml:space="preserve">(Encadré 1). Mois de pleine saison pour les marchés : la récence des formes directes est plutôt</w:t>
      </w:r>
      <w:r>
        <w:t xml:space="preserve"> </w:t>
      </w:r>
      <w:r>
        <w:rPr>
          <w:i/>
          <w:iCs/>
        </w:rPr>
        <w:t xml:space="preserve">sur</w:t>
      </w:r>
      <w:r>
        <w:t xml:space="preserve">-estimée que minorée — l’abandon relevé n’est donc pas un artefact de basse saison (réponse à AD-3).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Distinction explicite intermittence / abandon</w:t>
      </w:r>
      <w:r>
        <w:t xml:space="preserve"> </w:t>
      </w:r>
      <w:r>
        <w:t xml:space="preserve">au §« De l’essai à l’adoption » : le « 46 % qui n’ont rien acheté ce mois-là » relève largement de l’</w:t>
      </w:r>
      <w:r>
        <w:rPr>
          <w:b/>
          <w:bCs/>
        </w:rPr>
        <w:t xml:space="preserve">intermittence</w:t>
      </w:r>
      <w:r>
        <w:t xml:space="preserve"> </w:t>
      </w:r>
      <w:r>
        <w:t xml:space="preserve">; l’</w:t>
      </w:r>
      <w:r>
        <w:rPr>
          <w:b/>
          <w:bCs/>
        </w:rPr>
        <w:t xml:space="preserve">abandon vrai</w:t>
      </w:r>
      <w:r>
        <w:t xml:space="preserve"> </w:t>
      </w:r>
      <w:r>
        <w:t xml:space="preserve">(colonne « n’achète plus » du Tableau 4) reste</w:t>
      </w:r>
      <w:r>
        <w:t xml:space="preserve"> </w:t>
      </w:r>
      <w:r>
        <w:rPr>
          <w:b/>
          <w:bCs/>
        </w:rPr>
        <w:t xml:space="preserve">modéré (15–19 %</w:t>
      </w:r>
      <w:r>
        <w:t xml:space="preserve"> </w:t>
      </w:r>
      <w:r>
        <w:t xml:space="preserve">selon les formes). Le titre porte sur le passage essai → habitude (intermittence), non sur un décrochage définitif, qui est limité.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AMAP sécurisée (Tableau via §4b des calculs) :</w:t>
      </w:r>
      <w:r>
        <w:t xml:space="preserve"> </w:t>
      </w:r>
      <w:r>
        <w:t xml:space="preserve">la question Q46 et ses modalités sont explicitées ; le « 65 % d’abandon » est désormais assorti de son effectif (</w:t>
      </w:r>
      <w:r>
        <w:rPr>
          <w:b/>
          <w:bCs/>
        </w:rPr>
        <w:t xml:space="preserve">n = 116</w:t>
      </w:r>
      <w:r>
        <w:t xml:space="preserve"> </w:t>
      </w:r>
      <w:r>
        <w:t xml:space="preserve">clients passés ou présents : 41 actuels, 75 ayant cessé) et de son</w:t>
      </w:r>
      <w:r>
        <w:t xml:space="preserve"> </w:t>
      </w:r>
      <w:r>
        <w:rPr>
          <w:b/>
          <w:bCs/>
        </w:rPr>
        <w:t xml:space="preserve">IC (56–73)</w:t>
      </w:r>
      <w:r>
        <w:t xml:space="preserve">, avec mention explicite du faible effectif. Le « 46 % qui ignorent l’AMAP » est rapporté sur base claire (236/509 acheteurs directs).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Biais producteur/revendeur de la porte marché</w:t>
      </w:r>
      <w:r>
        <w:t xml:space="preserve"> </w:t>
      </w:r>
      <w:r>
        <w:t xml:space="preserve">: discuté au §« Limites » (l’item « marché direct producteur » repose sur une auto-déclaration dont la fiabilité est incertaine, une partie des « producteurs » de marché étant des revendeurs — la pénétration inclusive constitue donc une borne haute).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ea52333130835e6cd0b1626181a640798a4ba96"/>
    <w:p>
      <w:pPr>
        <w:pStyle w:val="Heading2"/>
      </w:pPr>
      <w:r>
        <w:t xml:space="preserve">Demandes à forte valeur ajoutée (non bloquantes)</w:t>
      </w:r>
    </w:p>
    <w:bookmarkStart w:id="13" w:name="X9b538a96d31dfedeedadd10683371437a45180a"/>
    <w:p>
      <w:pPr>
        <w:pStyle w:val="Heading3"/>
      </w:pPr>
      <w:r>
        <w:t xml:space="preserve">(D) Différencier les recommandations par segment et par acteur (R3-1, R3-3)</w:t>
      </w:r>
    </w:p>
    <w:p>
      <w:pPr>
        <w:pStyle w:val="FirstParagraph"/>
      </w:pPr>
      <w:r>
        <w:rPr>
          <w:b/>
          <w:bCs/>
        </w:rPr>
        <w:t xml:space="preserve">Traité.</w:t>
      </w:r>
      <w:r>
        <w:t xml:space="preserve"> </w:t>
      </w:r>
      <w:r>
        <w:t xml:space="preserve">Nouveau</w:t>
      </w:r>
      <w:r>
        <w:t xml:space="preserve"> </w:t>
      </w:r>
      <w:r>
        <w:rPr>
          <w:b/>
          <w:bCs/>
        </w:rPr>
        <w:t xml:space="preserve">Tableau 6 « levier prioritaire par stratégie et par acteur »</w:t>
      </w:r>
      <w:r>
        <w:t xml:space="preserve"> </w:t>
      </w:r>
      <w:r>
        <w:t xml:space="preserve">: chaque configuration d’approvisionnement est reliée à son levier (convertir / accès-notoriété / maintenir / basculer / sécuriser l’offre) et à l’acteur le mieux placé (producteurs, réseaux, collectivités). Le texte oriente l’effort de conversion vers les modérés et les explorateurs, l’accès vers les captifs, le maintien vers les intensifs.</w:t>
      </w:r>
    </w:p>
    <w:bookmarkEnd w:id="13"/>
    <w:bookmarkStart w:id="14" w:name="e-chiffrer-lenjeu-de-conversion-r3-2"/>
    <w:p>
      <w:pPr>
        <w:pStyle w:val="Heading3"/>
      </w:pPr>
      <w:r>
        <w:t xml:space="preserve">(E) Chiffrer l’enjeu de conversion (R3-2)</w:t>
      </w:r>
    </w:p>
    <w:p>
      <w:pPr>
        <w:pStyle w:val="FirstParagraph"/>
      </w:pPr>
      <w:r>
        <w:rPr>
          <w:b/>
          <w:bCs/>
        </w:rPr>
        <w:t xml:space="preserve">Traité.</w:t>
      </w:r>
      <w:r>
        <w:t xml:space="preserve"> </w:t>
      </w:r>
      <w:r>
        <w:t xml:space="preserve">Un ordre de grandeur est ajouté à la recommandation « fidéliser » : si les essayeurs irréguliers atteignaient la régularité et l’intensité des réguliers actuels, la part nationale de la vente directe passerait d’environ</w:t>
      </w:r>
      <w:r>
        <w:t xml:space="preserve"> </w:t>
      </w:r>
      <w:r>
        <w:rPr>
          <w:b/>
          <w:bCs/>
        </w:rPr>
        <w:t xml:space="preserve">1,5 % à ≈ 4 %</w:t>
      </w:r>
      <w:r>
        <w:t xml:space="preserve"> </w:t>
      </w:r>
      <w:r>
        <w:t xml:space="preserve">(quasi-triplement), hors de portée du seul recrutement. Calcul illustratif toutes choses égales par ailleurs, explicité comme tel.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oints-mineurs"/>
    <w:p>
      <w:pPr>
        <w:pStyle w:val="Heading2"/>
      </w:pPr>
      <w:r>
        <w:t xml:space="preserve">Points mineurs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74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 (relecteur)</w:t>
            </w:r>
          </w:p>
        </w:tc>
        <w:tc>
          <w:tcPr/>
          <w:p>
            <w:pPr>
              <w:pStyle w:val="Compac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Nuancer « inédit » sur le cadre omnicanal (R2)</w:t>
            </w:r>
          </w:p>
        </w:tc>
        <w:tc>
          <w:tcPr/>
          <w:p>
            <w:pPr>
              <w:pStyle w:val="Compact"/>
            </w:pPr>
            <w:r>
              <w:t xml:space="preserve">Reformulé en « rarement appliqué de façon explicite 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Sourcer l’accroche d’introduction (R2)</w:t>
            </w:r>
          </w:p>
        </w:tc>
        <w:tc>
          <w:tcPr/>
          <w:p>
            <w:pPr>
              <w:pStyle w:val="Compact"/>
            </w:pPr>
            <w:r>
              <w:t xml:space="preserve">L’accroche renvoie désormais explicitement à nos propres données (Figure 6 : produits locaux 51 %, soutien aux agriculteurs 34 %).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Encadrer la comparaison artisans, bases n = 893 vs 509 (R1)</w:t>
            </w:r>
          </w:p>
        </w:tc>
        <w:tc>
          <w:tcPr/>
          <w:p>
            <w:pPr>
              <w:pStyle w:val="Compact"/>
            </w:pPr>
            <w:r>
              <w:t xml:space="preserve">Note ajoutée au §récence : la comparaison éclaire les ordres de grandeur « sans prétendre à une équivalence stricte entre populations 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Colinéarité diplôme / CSP / budget (R1-3)</w:t>
            </w:r>
          </w:p>
        </w:tc>
        <w:tc>
          <w:tcPr/>
          <w:p>
            <w:pPr>
              <w:pStyle w:val="Compact"/>
            </w:pPr>
            <w:r>
              <w:t xml:space="preserve">Ajoutée à la section déterminants : V de Cramér diplôme × CSP = 0,29 (explique l’atténuation de l’effet « cadres ») ; corrélation diplôme × budget = 0,06 (le diplôme n’est pas un proxy du revenu).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d’administration / participation (R1)</w:t>
            </w:r>
          </w:p>
        </w:tc>
        <w:tc>
          <w:tcPr/>
          <w:p>
            <w:pPr>
              <w:pStyle w:val="Compact"/>
            </w:pPr>
            <w:r>
              <w:t xml:space="preserve">Le terrain de septembre et la construction par quotas sont précisés ; le taux de participation d’un panel à quotas n’est pas disponible et n’est pas revendiqué.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note-dintégrité-sur-un-résultat-révisé"/>
    <w:p>
      <w:pPr>
        <w:pStyle w:val="Heading2"/>
      </w:pPr>
      <w:r>
        <w:t xml:space="preserve">Note d’intégrité sur un résultat révisé</w:t>
      </w:r>
    </w:p>
    <w:p>
      <w:pPr>
        <w:pStyle w:val="FirstParagraph"/>
      </w:pPr>
      <w:r>
        <w:t xml:space="preserve">En réponse à la demande (B)/R1-4 de tester le gradient éducatif sur la définition régulière, nous rapportons un résultat que la première version n’explicitait pas :</w:t>
      </w:r>
      <w:r>
        <w:t xml:space="preserve"> </w:t>
      </w:r>
      <w:r>
        <w:rPr>
          <w:b/>
          <w:bCs/>
        </w:rPr>
        <w:t xml:space="preserve">l’effet du diplôme porte sur l’essai, non sur l’adoption régulière</w:t>
      </w:r>
      <w:r>
        <w:t xml:space="preserve">. Sur la VD inclusive, le bac+3 a un odds-ratio de 1,89 (p = 0,003) ; sur la VD régulière, il retombe à 1,22 (p = 0,45). Nous avons choisi de</w:t>
      </w:r>
      <w:r>
        <w:t xml:space="preserve"> </w:t>
      </w:r>
      <w:r>
        <w:rPr>
          <w:b/>
          <w:bCs/>
        </w:rPr>
        <w:t xml:space="preserve">surfacer</w:t>
      </w:r>
      <w:r>
        <w:t xml:space="preserve"> </w:t>
      </w:r>
      <w:r>
        <w:t xml:space="preserve">ce contraste plutôt que de le taire : il renforce la thèse centrale (le profil social prédit à peine qui essaie, et quasiment pas qui adopte — c’est la configuration d’usage qui compte). La section « déterminants » a été amendée en conséquence.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Toutes les modifications sont intégrées à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manuscrit_DM.md</w:t>
      </w:r>
      <w:r>
        <w:rPr>
          <w:i/>
          <w:iCs/>
        </w:rPr>
        <w:t xml:space="preserve"> </w:t>
      </w:r>
      <w:r>
        <w:rPr>
          <w:i/>
          <w:iCs/>
        </w:rPr>
        <w:t xml:space="preserve">(et au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.docx</w:t>
      </w:r>
      <w:r>
        <w:rPr>
          <w:i/>
          <w:iCs/>
        </w:rPr>
        <w:t xml:space="preserve">). Les calculs justificatifs sont reproductibles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code/10_revisions_stade4.py</w:t>
      </w:r>
      <w:r>
        <w:rPr>
          <w:i/>
          <w:iCs/>
        </w:rPr>
        <w:t xml:space="preserve">.</w:t>
      </w:r>
    </w:p>
    <w:bookmarkEnd w:id="17"/>
    <w:bookmarkEnd w:id="18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360" w:lineRule="auto"/>
      <w:contextualSpacing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2026-07-08T18:07:52Z</dcterms:created>
  <dcterms:modified xsi:type="dcterms:W3CDTF">2026-07-08T18:07:52Z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