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beaucoup-lessaient-peu-linstallent"/>
    <w:p>
      <w:pPr>
        <w:pStyle w:val="Heading1"/>
      </w:pPr>
      <w:r>
        <w:t xml:space="preserve">« Beaucoup l’essaient, peu l’installent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Cinq stratégies d’approvisionnement se distinguent, des « captifs de la grande distribution » aux « omnivores engagés ». Le recours à la vente directe est faiblement déterminé par le profil sociodémographique : il traverse les catégories sociales.</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 allocation réelle de budget, et non sur des attitudes déclarées,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Pourtant, à l’échelle du budget des ménages, la vente directe ne pèse presque rien — de l’ordre de quelques pour cent de la dépense alimentaire à domicile (Kneafsey et al., 2013). Ce contraste entre une adhésion large et un poids économique faible est le point de départ de cet article.</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w:t>
      </w:r>
      <w:r>
        <w:t xml:space="preserve"> </w:t>
      </w:r>
      <w:r>
        <w:rPr>
          <w:b/>
          <w:bCs/>
        </w:rPr>
        <w:t xml:space="preserve">déclaratif</w:t>
      </w:r>
      <w:r>
        <w:t xml:space="preserve"> </w:t>
      </w:r>
      <w:r>
        <w:t xml:space="preserve">(attitudes, intentions, consentement à payer) pour mesurer l’</w:t>
      </w:r>
      <w:r>
        <w:rPr>
          <w:b/>
          <w:bCs/>
        </w:rPr>
        <w:t xml:space="preserve">allocation réelle de budget</w:t>
      </w:r>
      <w:r>
        <w:t xml:space="preserve"> </w:t>
      </w:r>
      <w:r>
        <w:t xml:space="preserve">entre canaux,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partageant une même caractéristique : la relation directe au producteur, porteuse d’un supplément de sens et d’information (Dubuisson-Quellier et al., 2011).</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(Neslin et al., 2006). Le passage du multicanal à l’</w:t>
      </w:r>
      <w:r>
        <w:rPr>
          <w:b/>
          <w:bCs/>
        </w:rPr>
        <w:t xml:space="preserve">omnicanal</w:t>
      </w:r>
      <w:r>
        <w:t xml:space="preserve"> </w:t>
      </w:r>
      <w:r>
        <w:t xml:space="preserve">(Verhoef et al., 2015) a déplacé l’attention de la juxtaposition des canaux vers leur intégration dans un parcours d’achat unifié, où le consommateur arbitre en continu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La question pertinente n’est alors plus « pourquoi acheter en vente directe ? » mais « quelle part et quelle fonction la vente directe occupe-t-elle dans le portefeuille du ménage ? ».</w:t>
      </w:r>
    </w:p>
    <w:bookmarkEnd w:id="14"/>
    <w:bookmarkStart w:id="15" w:name="X0fc29c39cd4034e9e2e723009385c757b96ef1d"/>
    <w:p>
      <w:pPr>
        <w:pStyle w:val="Heading3"/>
      </w:pPr>
      <w:r>
        <w:t xml:space="preserve">De l’intention déclarée à l’allocation réelle</w:t>
      </w:r>
    </w:p>
    <w:p>
      <w:pPr>
        <w:pStyle w:val="FirstParagraph"/>
      </w:pPr>
      <w:r>
        <w:t xml:space="preserve">La littérature sur la consommation durable a massivement documenté les motivations d’achat en circuit court, en mobilisant notamment la théorie du comportement planifié et le rôle de la confiance (Giampietri et al., 2016 ; Giampietri et al., 2018). Elle a aussi identifié une limite récurrente : l’</w:t>
      </w:r>
      <w:r>
        <w:rPr>
          <w:b/>
          <w:bCs/>
        </w:rPr>
        <w:t xml:space="preserve">écart entre attitude et comportement</w:t>
      </w:r>
      <w:r>
        <w:t xml:space="preserve">, des attitudes très favorables ne se traduisant pas mécaniquement en achats (Vermeir et Verbeke, 2006). La revue de Feldmann et Hamm (2015) précise que, contrairement au bio, l’alimentation locale n’est pas d’abord perçue comme chère : les principaux freins sont l’inconvénience et le manque de disponibilité — des obstacles pratiques plus que financiers.</w:t>
      </w:r>
    </w:p>
    <w:p>
      <w:pPr>
        <w:pStyle w:val="BodyText"/>
      </w:pPr>
      <w:r>
        <w:t xml:space="preserve">Or la plupart de ces travaux mesurent des intentions ou un consentement à payer hypothétique. La méta-analyse de Mustapa et Kallas (2025) estime ainsi à +34,5 % la prime que les consommateurs se déclarent prêts à payer pour un produit de circuit court — un chiffre à confronter à la part de budget réellement consacrée. Nous choisissons de mesurer cette allocation effective : combien, concrètement, le ménage consacre-t-il à la vente directe, et non combien il dit vouloir y consacrer.</w:t>
      </w:r>
    </w:p>
    <w:bookmarkEnd w:id="15"/>
    <w:bookmarkStart w:id="16" w:name="Xb8fafdd004a54fdf2a5d287765afad3d0b8bc36"/>
    <w:p>
      <w:pPr>
        <w:pStyle w:val="Heading3"/>
      </w:pPr>
      <w:r>
        <w:t xml:space="preserve">Segmenter par les pratiques plutôt que par les attitudes</w:t>
      </w:r>
    </w:p>
    <w:p>
      <w:pPr>
        <w:pStyle w:val="FirstParagraph"/>
      </w:pPr>
      <w:r>
        <w:t xml:space="preserve">Segmenter les consommateurs de circuits courts se fait le plus souvent sur des attitudes ou des variables sociodémographiques (Feldmann et Hamm, 2015). La revue systématique de Herzig et Zander (2025) conclut cependant que ces variables expliquent finalement peu le comportement, au profit de facteurs contextuels et relationnels. Nous proposons une segmentation d’une autre nature, fondée sur le</w:t>
      </w:r>
      <w:r>
        <w:t xml:space="preserve"> </w:t>
      </w:r>
      <w:r>
        <w:rPr>
          <w:b/>
          <w:bCs/>
        </w:rPr>
        <w:t xml:space="preserve">portefeuille de canaux effectivement mobilisé</w:t>
      </w:r>
      <w:r>
        <w:t xml:space="preserve"> </w:t>
      </w:r>
      <w:r>
        <w:t xml:space="preserve">: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w:t>
      </w:r>
    </w:p>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quelques dimensions synthétiques. Une</w:t>
      </w:r>
      <w:r>
        <w:t xml:space="preserve"> </w:t>
      </w:r>
      <w:r>
        <w:rPr>
          <w:b/>
          <w:bCs/>
        </w:rPr>
        <w:t xml:space="preserve">classification ascendante hiérarchique</w:t>
      </w:r>
      <w:r>
        <w:t xml:space="preserve"> </w:t>
      </w:r>
      <w:r>
        <w:t xml:space="preserve">(méthode de Ward) regroupe ensuite les ménages proches sur ces dimensions. Le nombre de classes (cinq) a été retenu sur la base d’un indicateur de qualité de partition et de l’interprétabilité des profils. La typologie décrit donc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La hiérarchie est nette (Figure 1, Tableau 1) : l’hypermarché-supermarché domine sans partage (99,1 % de pénétration, 58,5 % du budget), suivi du hard discount (15,6 % du budget), des artisans et commerçants spécialisés (7,6 %) et du marché (4,8 %). Les canaux de circuits courts proprement dits ne pèsent qu’à la marge dans le budget.</w:t>
      </w:r>
    </w:p>
    <w:p>
      <w:pPr>
        <w:pStyle w:val="CaptionedFigure"/>
      </w:pPr>
      <w:r>
        <w:drawing>
          <wp:inline>
            <wp:extent cx="5969000" cy="3542126"/>
            <wp:effectExtent b="0" l="0" r="0" t="0"/>
            <wp:docPr descr="Figure 1" title="" id="20" name="Picture"/>
            <a:graphic>
              <a:graphicData uri="http://schemas.openxmlformats.org/drawingml/2006/picture">
                <pic:pic>
                  <pic:nvPicPr>
                    <pic:cNvPr descr="/home/user/formation-Claude/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pratiquent une forme de vente directe. L’achat direct aux agriculteurs (hors marchés) concerne 49,7 % des ménages, mais seulement 17,3 % de façon régulière (Figure 2) ; l’achat direct au producteur sur les marchés ajoute 157 ménages qui n’auraient pas été comptés autrement.</w:t>
      </w:r>
    </w:p>
    <w:p>
      <w:pPr>
        <w:pStyle w:val="BodyText"/>
      </w:pPr>
      <w:r>
        <w:rPr>
          <w:b/>
          <w:bCs/>
        </w:rPr>
        <w:t xml:space="preserve">Tableau 1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home/user/formation-Claude/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installé dans le budget d’une minorité active.</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intention et comportement : alors que Mustapa et Kallas (2025) chiffrent à +34,5 % le surprix que les consommateurs se disent prêts à payer, la part réellement allouée reste marginale. La vente directe est, en somme, largement essayée mais rarement intensive.</w:t>
      </w:r>
    </w:p>
    <w:bookmarkEnd w:id="25"/>
    <w:bookmarkStart w:id="29" w:name="cinq-stratégies-dapprovisionnement"/>
    <w:p>
      <w:pPr>
        <w:pStyle w:val="Heading2"/>
      </w:pPr>
      <w:r>
        <w:t xml:space="preserve">Cinq stratégies d’approvisionnement</w:t>
      </w:r>
    </w:p>
    <w:p>
      <w:pPr>
        <w:pStyle w:val="FirstParagraph"/>
      </w:pPr>
      <w:r>
        <w:t xml:space="preserve">La typologie fait émerger cinq stratégies distinctes (Figure 3, Tableau 2),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3" title="" id="27" name="Picture"/>
            <a:graphic>
              <a:graphicData uri="http://schemas.openxmlformats.org/drawingml/2006/picture">
                <pic:pic>
                  <pic:nvPicPr>
                    <pic:cNvPr descr="/home/user/formation-Claude/figures/png/fig3_plan_factoriel_nb.png" id="28" name="Picture"/>
                    <pic:cNvPicPr>
                      <a:picLocks noChangeArrowheads="1" noChangeAspect="1"/>
                    </pic:cNvPicPr>
                  </pic:nvPicPr>
                  <pic:blipFill>
                    <a:blip r:embed="rId26"/>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Plan factoriel (ACM) et classes de stratégie</w:t>
      </w:r>
    </w:p>
    <w:p>
      <w:pPr>
        <w:pStyle w:val="BodyText"/>
      </w:pPr>
      <w:r>
        <w:rPr>
          <w:b/>
          <w:bCs/>
        </w:rPr>
        <w:t xml:space="preserve">Tableau 2 : Les cinq stratégies d’approvisionnement</w:t>
      </w:r>
    </w:p>
    <w:tbl>
      <w:tblPr>
        <w:tblStyle w:val="Table"/>
        <w:tblW w:type="pct" w:w="5000"/>
        <w:tblLayout w:type="fixed"/>
        <w:tblLook w:firstRow="1" w:lastRow="0" w:firstColumn="0" w:lastColumn="0" w:noHBand="0" w:noVBand="0" w:val="0020"/>
      </w:tblPr>
      <w:tblGrid>
        <w:gridCol w:w="1193"/>
        <w:gridCol w:w="650"/>
        <w:gridCol w:w="1518"/>
        <w:gridCol w:w="1627"/>
        <w:gridCol w:w="1735"/>
        <w:gridCol w:w="1193"/>
      </w:tblGrid>
      <w:tr>
        <w:trPr>
          <w:tblHeader w:val="on"/>
        </w:trPr>
        <w:tc>
          <w:tcPr/>
          <w:p>
            <w:pPr>
              <w:pStyle w:val="Compact"/>
            </w:pPr>
            <w:r>
              <w:t xml:space="preserve">Stratégie</w:t>
            </w:r>
          </w:p>
        </w:tc>
        <w:tc>
          <w:tcPr/>
          <w:p>
            <w:pPr>
              <w:pStyle w:val="Compact"/>
            </w:pPr>
            <w:r>
              <w:t xml:space="preserve">Part</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Généralistes</w:t>
            </w:r>
          </w:p>
        </w:tc>
        <w:tc>
          <w:tcPr/>
          <w:p>
            <w:pPr>
              <w:pStyle w:val="Compact"/>
            </w:pPr>
            <w:r>
              <w:t xml:space="preserve">61 %</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pPr>
            <w:r>
              <w:t xml:space="preserve">24 %</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Omnivores engagés</w:t>
            </w:r>
          </w:p>
        </w:tc>
        <w:tc>
          <w:tcPr/>
          <w:p>
            <w:pPr>
              <w:pStyle w:val="Compact"/>
            </w:pPr>
            <w:r>
              <w:t xml:space="preserve">8 %</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Multi-canal conventionnels</w:t>
            </w:r>
          </w:p>
        </w:tc>
        <w:tc>
          <w:tcPr/>
          <w:p>
            <w:pPr>
              <w:pStyle w:val="Compact"/>
            </w:pPr>
            <w:r>
              <w:t xml:space="preserve">5 %</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panier régulier conventionnel</w:t>
            </w:r>
          </w:p>
        </w:tc>
      </w:tr>
      <w:tr>
        <w:tc>
          <w:tcPr/>
          <w:p>
            <w:pPr>
              <w:pStyle w:val="Compact"/>
            </w:pPr>
            <w:r>
              <w:t xml:space="preserve">Hors-hypermarché</w:t>
            </w:r>
          </w:p>
        </w:tc>
        <w:tc>
          <w:tcPr/>
          <w:p>
            <w:pPr>
              <w:pStyle w:val="Compact"/>
            </w:pPr>
            <w:r>
              <w:t xml:space="preserve">2,5 %</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t xml:space="preserve">Les</w:t>
      </w:r>
      <w:r>
        <w:t xml:space="preserve"> </w:t>
      </w:r>
      <w:r>
        <w:rPr>
          <w:b/>
          <w:bCs/>
        </w:rPr>
        <w:t xml:space="preserve">généralistes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omnivores engagés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multi-canal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hors-hypermarché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bookmarkEnd w:id="29"/>
    <w:bookmarkStart w:id="36" w:name="X7f871b1800f415beac489a6ed1e968c0967dae2"/>
    <w:p>
      <w:pPr>
        <w:pStyle w:val="Heading2"/>
      </w:pPr>
      <w:r>
        <w:t xml:space="preserve">Qui achète en direct ? Des déterminants sociaux ténus</w:t>
      </w:r>
    </w:p>
    <w:p>
      <w:pPr>
        <w:pStyle w:val="FirstParagraph"/>
      </w:pPr>
      <w:r>
        <w:t xml:space="preserve">La régression logistique du recours à la vente directe (Figure 4) explique très peu de sa variance (pseudo-R² de McFadden = 0,022). Deux effets seulement ressortent nettement : appartenir aux cadres et professions libérales multiplie par 2,16 les chances de pratiquer la vente directe (p = 0,003), et un budget alimentaire élevé l’accroît modérément (odds-ratio = 1,18 par écart-type, p = 0,028) ; les professions intermédiaires sont également au-dessus de la référence (odds-ratio = 1,60, p = 0,027). En revanche, le sexe, l’âge et la taille d’agglomération n’ont pas d’effet significatif.</w:t>
      </w:r>
    </w:p>
    <w:p>
      <w:pPr>
        <w:pStyle w:val="CaptionedFigure"/>
      </w:pPr>
      <w:r>
        <w:drawing>
          <wp:inline>
            <wp:extent cx="5969000" cy="4243199"/>
            <wp:effectExtent b="0" l="0" r="0" t="0"/>
            <wp:docPr descr="Figure 4" title="" id="31" name="Picture"/>
            <a:graphic>
              <a:graphicData uri="http://schemas.openxmlformats.org/drawingml/2006/picture">
                <pic:pic>
                  <pic:nvPicPr>
                    <pic:cNvPr descr="/home/user/formation-Claude/figures/png/fig4_regression_or_nb.png" id="32" name="Picture"/>
                    <pic:cNvPicPr>
                      <a:picLocks noChangeArrowheads="1" noChangeAspect="1"/>
                    </pic:cNvPicPr>
                  </pic:nvPicPr>
                  <pic:blipFill>
                    <a:blip r:embed="rId30"/>
                    <a:stretch>
                      <a:fillRect/>
                    </a:stretch>
                  </pic:blipFill>
                  <pic:spPr bwMode="auto">
                    <a:xfrm>
                      <a:off x="0" y="0"/>
                      <a:ext cx="5969000" cy="4243199"/>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Déterminants de l’usage de la vente directe (odds-ratios)</w:t>
      </w:r>
    </w:p>
    <w:p>
      <w:pPr>
        <w:pStyle w:val="BodyText"/>
      </w:pPr>
      <w:r>
        <w:t xml:space="preserve">La faiblesse de ce pouvoir explicatif est en soi un résultat : la vente directe n’est pas le marqueur d’un groupe social circonscrit. Si les cadres y recourent un peu plus, l’essentiel de la pratique se distribue transversalement — comme l’illustre l’existence du groupe hors-hypermarché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5). La vente directe se joue sur le registre de la qualité et du sens, non sur celui de l’économie monétaire.</w:t>
      </w:r>
    </w:p>
    <w:p>
      <w:pPr>
        <w:pStyle w:val="CaptionedFigure"/>
      </w:pPr>
      <w:r>
        <w:drawing>
          <wp:inline>
            <wp:extent cx="5969000" cy="3501978"/>
            <wp:effectExtent b="0" l="0" r="0" t="0"/>
            <wp:docPr descr="Figure 5" title="" id="34" name="Picture"/>
            <a:graphic>
              <a:graphicData uri="http://schemas.openxmlformats.org/drawingml/2006/picture">
                <pic:pic>
                  <pic:nvPicPr>
                    <pic:cNvPr descr="/home/user/formation-Claude/figures/png/fig5_motivations_marche_nb.png" id="35" name="Picture"/>
                    <pic:cNvPicPr>
                      <a:picLocks noChangeArrowheads="1" noChangeAspect="1"/>
                    </pic:cNvPicPr>
                  </pic:nvPicPr>
                  <pic:blipFill>
                    <a:blip r:embed="rId33"/>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Motivations d’achat sur les marchés</w:t>
      </w:r>
    </w:p>
    <w:bookmarkEnd w:id="36"/>
    <w:bookmarkStart w:id="37" w:name="ce-que-les-acteurs-peuvent-en-faire"/>
    <w:p>
      <w:pPr>
        <w:pStyle w:val="Heading2"/>
      </w:pPr>
      <w:r>
        <w:t xml:space="preserve">Ce que les acteurs peuvent en faire</w:t>
      </w:r>
    </w:p>
    <w:p>
      <w:pPr>
        <w:pStyle w:val="FirstParagraph"/>
      </w:pPr>
      <w:r>
        <w:t xml:space="preserve">Ces résultats déplacent le diagnostic habituel et appellent des recommandations concrètes (Encadré 3).</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Le véritable levier de croissance n’est donc pas de « convertir » de nouveaux publics, mais de faire passer les ménages de l’</w:t>
      </w:r>
      <w:r>
        <w:rPr>
          <w:b/>
          <w:bCs/>
        </w:rPr>
        <w:t xml:space="preserve">essai occasionnel à l’usage installé</w:t>
      </w:r>
      <w:r>
        <w:t xml:space="preserve">. Un seul groupe sur cinq — les omnivores engagés — a vraiment franchi ce pas. Pour les producteurs et les réseaux de vente directe, cela oriente l’effort vers les dispositifs de régularité : abonnements et paniers récurrents, points de retrait sur les trajets domicile-travail, élargissement des gammes pour couvrir une plus grande part du panier, animation de la relation client.</w:t>
      </w:r>
    </w:p>
    <w:p>
      <w:pPr>
        <w:pStyle w:val="BodyText"/>
      </w:pPr>
      <w:r>
        <w:rPr>
          <w:b/>
          <w:bCs/>
        </w:rPr>
        <w:t xml:space="preserve">Lever les freins pratiques, pas les réticences.</w:t>
      </w:r>
      <w:r>
        <w:t xml:space="preserve"> </w:t>
      </w:r>
      <w:r>
        <w:t xml:space="preserve">Les motivations sont acquises (local, qualité, soutien) et les freins ne sont pas idéologiques mais logistiques : temps, accessibilité, régularité et diversité de l’offre (Feldmann et Hamm, 2015). Pour les pouvoirs publics et les collectivités — notamment dans le cadre des projets alimentaires territoriaux —, l’action utile porte moins sur la sensibilisation que sur l’</w:t>
      </w:r>
      <w:r>
        <w:rPr>
          <w:b/>
          <w:bCs/>
        </w:rPr>
        <w:t xml:space="preserve">infrastructure</w:t>
      </w:r>
      <w:r>
        <w:t xml:space="preserve"> </w:t>
      </w:r>
      <w:r>
        <w:t xml:space="preserve">: mutualisation de points de vente et de logistique, horaires élargis, présence dans les zones mal desservies, articulation avec la restauration collective.</w:t>
      </w:r>
    </w:p>
    <w:p>
      <w:pPr>
        <w:pStyle w:val="BodyText"/>
      </w:pPr>
      <w:r>
        <w:rPr>
          <w:b/>
          <w:bCs/>
        </w:rPr>
        <w:t xml:space="preserve">Cibler large, pas une niche.</w:t>
      </w:r>
      <w:r>
        <w:t xml:space="preserve"> </w:t>
      </w:r>
      <w:r>
        <w:t xml:space="preserve">La vente directe n’étant pas socialement clivante, il n’y a pas lieu de la réserver à un segment aisé et urbain. Les dispositifs peuvent viser tous les publics, y compris les budgets modestes — le profil hors-hypermarché montre qu’un approvisionnement de proximité à petit budget est possible.</w:t>
      </w:r>
    </w:p>
    <w:p>
      <w:pPr>
        <w:pStyle w:val="BodyText"/>
      </w:pPr>
      <w:r>
        <w:rPr>
          <w:b/>
          <w:bCs/>
        </w:rPr>
        <w:t xml:space="preserve">Communiquer « local et qualité », pas « pas cher ».</w:t>
      </w:r>
      <w:r>
        <w:t xml:space="preserve"> </w:t>
      </w:r>
      <w:r>
        <w:t xml:space="preserve">Le prix n’est ni le principal moteur ni le principal frein. La grande distribution, qui intègre de plus en plus de références locales, a intérêt à jouer la</w:t>
      </w:r>
      <w:r>
        <w:t xml:space="preserve"> </w:t>
      </w:r>
      <w:r>
        <w:rPr>
          <w:b/>
          <w:bCs/>
        </w:rPr>
        <w:t xml:space="preserve">complémentarité</w:t>
      </w:r>
      <w:r>
        <w:t xml:space="preserve"> </w:t>
      </w:r>
      <w:r>
        <w:t xml:space="preserve">(rayons de producteurs, traçabilité, mise en avant de l’origine) plutôt que la concurrence frontale sur le prix, sur un registre où la vente directe ne se bat pas.</w:t>
      </w:r>
    </w:p>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installé,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les budgets modestes ne sont pas exclus.</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37"/>
    <w:bookmarkStart w:id="38"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Les mesures sont</w:t>
      </w:r>
      <w:r>
        <w:t xml:space="preserve"> </w:t>
      </w:r>
      <w:r>
        <w:rPr>
          <w:b/>
          <w:bCs/>
        </w:rPr>
        <w:t xml:space="preserve">déclaratives</w:t>
      </w:r>
      <w:r>
        <w:t xml:space="preserve"> </w:t>
      </w:r>
      <w:r>
        <w:t xml:space="preserve">— fréquences et parts de budget reposent sur l’estimation des répondants. La part directe des achats réalisés sur les marchés n’étant pas isolable du budget « marché », le poids budgétaire total de la vente directe est légèrement sous-estimé. Enfin, la plus petite classe (hors-hypermarché) appelle la prudence dans l’interprétation de ses caractéristiques fines.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installé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38"/>
    <w:bookmarkStart w:id="39" w:name="références"/>
    <w:p>
      <w:pPr>
        <w:pStyle w:val="Heading2"/>
      </w:pPr>
      <w:r>
        <w:t xml:space="preserve">Références</w:t>
      </w:r>
    </w:p>
    <w:p>
      <w:pPr>
        <w:pStyle w:val="FirstParagraph"/>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Kneafsey M., Venn L., Schmutz U. et al. (2013),</w:t>
      </w:r>
      <w:r>
        <w:t xml:space="preserve"> </w:t>
      </w:r>
      <w:r>
        <w:rPr>
          <w:i/>
          <w:iCs/>
        </w:rPr>
        <w:t xml:space="preserve">Short food supply chains and local food systems in the EU: a state of play of their socio-economic characteristics</w:t>
      </w:r>
      <w:r>
        <w:t xml:space="preserve">, Luxembourg, Commission européenne (JRC Scientific and Policy Reports).</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39"/>
    <w:bookmarkEnd w:id="40"/>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Commission européenne) convergentes sur ce point ; voir Kneafsey et al. (2013) pour une synthèse socio-économique européenne.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2026-07-07T15:00:09Z</dcterms:created>
  <dcterms:modified xsi:type="dcterms:W3CDTF">2026-07-07T15:00:09Z</dcterms:modified>
</cp:coreProperties>
</file>

<file path=docProps/custom.xml><?xml version="1.0" encoding="utf-8"?>
<Properties xmlns="http://schemas.openxmlformats.org/officeDocument/2006/custom-properties" xmlns:vt="http://schemas.openxmlformats.org/officeDocument/2006/docPropsVTypes"/>
</file>