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B7FAB0" w14:textId="77777777" w:rsidR="00610160" w:rsidRPr="00EB6A03" w:rsidRDefault="00610160" w:rsidP="00610160">
      <w:pPr>
        <w:pStyle w:val="Titre2"/>
        <w:ind w:right="1184"/>
        <w:jc w:val="both"/>
        <w:rPr>
          <w:rFonts w:ascii="Times New Roman" w:hAnsi="Times New Roman" w:cs="Times New Roman"/>
          <w:i/>
          <w:iCs/>
          <w:color w:val="auto"/>
          <w:sz w:val="24"/>
          <w:szCs w:val="24"/>
        </w:rPr>
      </w:pPr>
      <w:r>
        <w:rPr>
          <w:rFonts w:ascii="Times New Roman" w:hAnsi="Times New Roman" w:cs="Times New Roman"/>
          <w:i/>
          <w:iCs/>
          <w:color w:val="auto"/>
          <w:sz w:val="24"/>
          <w:szCs w:val="24"/>
        </w:rPr>
        <w:t>Pourquoi combiner les canaux ? Motivations et fonctions</w:t>
      </w:r>
    </w:p>
    <w:p w14:paraId="7018F2BF" w14:textId="77777777" w:rsidR="00610160" w:rsidRDefault="00610160" w:rsidP="00610160">
      <w:pPr>
        <w:pStyle w:val="Corpsdetexte"/>
        <w:ind w:right="1184"/>
        <w:jc w:val="both"/>
        <w:rPr>
          <w:rFonts w:ascii="Times New Roman" w:hAnsi="Times New Roman" w:cs="Times New Roman"/>
        </w:rPr>
      </w:pPr>
      <w:r>
        <w:rPr>
          <w:rFonts w:ascii="Times New Roman" w:hAnsi="Times New Roman" w:cs="Times New Roman"/>
        </w:rPr>
        <w:t xml:space="preserve">Établir que les canaux sont complémentaires ne dit pas encore pourquoi un ménage donné choisit de les combiner. Une littérature distincte, centrée sur les motivations du cross-shopping alimentaire, apporte cet éclairage. </w:t>
      </w:r>
      <w:proofErr w:type="spellStart"/>
      <w:r>
        <w:rPr>
          <w:rFonts w:ascii="Times New Roman" w:hAnsi="Times New Roman" w:cs="Times New Roman"/>
        </w:rPr>
        <w:t>Hino</w:t>
      </w:r>
      <w:proofErr w:type="spellEnd"/>
      <w:r>
        <w:rPr>
          <w:rFonts w:ascii="Times New Roman" w:hAnsi="Times New Roman" w:cs="Times New Roman"/>
        </w:rPr>
        <w:t xml:space="preserve"> (2014) montre que le cross-shopping entre formats de distribution alimentaire répond à un usage sélectif de chaque format selon la fonction recherchée (produits frais, dépannage, achats de gros), plutôt qu’à une fidélité ou une infidélité générale à un format. </w:t>
      </w:r>
      <w:proofErr w:type="spellStart"/>
      <w:r>
        <w:rPr>
          <w:rFonts w:ascii="Times New Roman" w:hAnsi="Times New Roman" w:cs="Times New Roman"/>
        </w:rPr>
        <w:t>Vroegrijk</w:t>
      </w:r>
      <w:proofErr w:type="spellEnd"/>
      <w:r>
        <w:rPr>
          <w:rFonts w:ascii="Times New Roman" w:hAnsi="Times New Roman" w:cs="Times New Roman"/>
        </w:rPr>
        <w:t xml:space="preserve">, </w:t>
      </w:r>
      <w:proofErr w:type="spellStart"/>
      <w:r>
        <w:rPr>
          <w:rFonts w:ascii="Times New Roman" w:hAnsi="Times New Roman" w:cs="Times New Roman"/>
        </w:rPr>
        <w:t>Gijsbrechts</w:t>
      </w:r>
      <w:proofErr w:type="spellEnd"/>
      <w:r>
        <w:rPr>
          <w:rFonts w:ascii="Times New Roman" w:hAnsi="Times New Roman" w:cs="Times New Roman"/>
        </w:rPr>
        <w:t xml:space="preserve"> et Campo (2013) documentent un arbitrage voisin entre magasins de proximité, mobilisés pour des achats fréquents et de petit montant, et magasins éloignés, réservés aux achats de gros ; Melis et al. (2016) montrent, sur le canal en ligne, que l’ajout d’un canal peut élargir la part de budget captée par un distributeur plutôt que la redistribuer entre canaux existants, résultat qui prolonge au niveau du ménage les effets de complémentarité évoqués en section 2.2. Hai </w:t>
      </w:r>
      <w:proofErr w:type="spellStart"/>
      <w:r>
        <w:rPr>
          <w:rFonts w:ascii="Times New Roman" w:hAnsi="Times New Roman" w:cs="Times New Roman"/>
        </w:rPr>
        <w:t>Tran</w:t>
      </w:r>
      <w:proofErr w:type="spellEnd"/>
      <w:r>
        <w:rPr>
          <w:rFonts w:ascii="Times New Roman" w:hAnsi="Times New Roman" w:cs="Times New Roman"/>
        </w:rPr>
        <w:t xml:space="preserve"> et Sirieix (2020) déplacent le regard des attributs de l’enseigne vers les pratiques du consommateur pour expliquer ces combinaisons.</w:t>
      </w:r>
    </w:p>
    <w:p w14:paraId="08258E2A" w14:textId="77777777" w:rsidR="00610160" w:rsidRDefault="00610160" w:rsidP="00610160">
      <w:pPr>
        <w:pStyle w:val="Corpsdetexte"/>
        <w:ind w:right="1184"/>
        <w:jc w:val="both"/>
        <w:rPr>
          <w:rFonts w:ascii="Times New Roman" w:hAnsi="Times New Roman" w:cs="Times New Roman"/>
        </w:rPr>
      </w:pPr>
      <w:r>
        <w:rPr>
          <w:rFonts w:ascii="Times New Roman" w:hAnsi="Times New Roman" w:cs="Times New Roman"/>
        </w:rPr>
        <w:t xml:space="preserve">La théorie des buts (goal </w:t>
      </w:r>
      <w:proofErr w:type="spellStart"/>
      <w:r>
        <w:rPr>
          <w:rFonts w:ascii="Times New Roman" w:hAnsi="Times New Roman" w:cs="Times New Roman"/>
        </w:rPr>
        <w:t>theory</w:t>
      </w:r>
      <w:proofErr w:type="spellEnd"/>
      <w:r>
        <w:rPr>
          <w:rFonts w:ascii="Times New Roman" w:hAnsi="Times New Roman" w:cs="Times New Roman"/>
        </w:rPr>
        <w:t xml:space="preserve">) offre un second niveau d’explication. Harris, </w:t>
      </w:r>
      <w:proofErr w:type="spellStart"/>
      <w:r>
        <w:rPr>
          <w:rFonts w:ascii="Times New Roman" w:hAnsi="Times New Roman" w:cs="Times New Roman"/>
        </w:rPr>
        <w:t>Dall’Olmo</w:t>
      </w:r>
      <w:proofErr w:type="spellEnd"/>
      <w:r>
        <w:rPr>
          <w:rFonts w:ascii="Times New Roman" w:hAnsi="Times New Roman" w:cs="Times New Roman"/>
        </w:rPr>
        <w:t xml:space="preserve"> Riley et Hand (2018, 2021) montrent que la configuration du parcours d’achat multicanal d’un même ménage varie selon la hiérarchie de buts, abstraits (être un consommateur responsable) ou concrets (dépanner un repas), qui est active à un moment donné, et que cette hiérarchie évolue dans le temps pour un même individu. Appliqué à la vente directe, ce cadre suggère que le recours à ce canal ne dépend pas d’abord d’un profil de consommateur stable, mais d’une fonction ponctuelle (fraîcheur, lien au producteur, occasion) que ce canal remplit mieux que d’autres à un instant donné. Cette lecture motivationnelle et fonctionnelle du recours à la vente directe complète, sans s’y substituer, l’explication par le profil sociodémographique.</w:t>
      </w:r>
    </w:p>
    <w:p w14:paraId="23CB8FA4" w14:textId="77777777" w:rsidR="00610160" w:rsidRPr="00EB6A03" w:rsidRDefault="00610160" w:rsidP="00610160">
      <w:pPr>
        <w:pStyle w:val="Titre2"/>
        <w:ind w:right="1184"/>
        <w:jc w:val="both"/>
        <w:rPr>
          <w:rFonts w:ascii="Times New Roman" w:hAnsi="Times New Roman" w:cs="Times New Roman"/>
          <w:b/>
          <w:bCs/>
          <w:color w:val="auto"/>
          <w:sz w:val="24"/>
          <w:szCs w:val="24"/>
        </w:rPr>
      </w:pPr>
      <w:bookmarkStart w:id="0" w:name="_Toc233819568"/>
      <w:bookmarkStart w:id="1" w:name="hypothèses"/>
      <w:r>
        <w:rPr>
          <w:rFonts w:ascii="Times New Roman" w:hAnsi="Times New Roman" w:cs="Times New Roman"/>
          <w:b/>
          <w:bCs/>
          <w:color w:val="auto"/>
          <w:sz w:val="24"/>
          <w:szCs w:val="24"/>
        </w:rPr>
        <w:t>2.5 Hypothèses</w:t>
      </w:r>
      <w:bookmarkEnd w:id="0"/>
    </w:p>
    <w:p w14:paraId="53524AC3" w14:textId="1F1D7696" w:rsidR="00610160" w:rsidRPr="001A702B" w:rsidRDefault="00610160" w:rsidP="00610160">
      <w:pPr>
        <w:pStyle w:val="FirstParagraph"/>
        <w:ind w:right="1184"/>
        <w:jc w:val="both"/>
        <w:rPr>
          <w:rFonts w:ascii="Times New Roman" w:hAnsi="Times New Roman" w:cs="Times New Roman"/>
        </w:rPr>
      </w:pPr>
      <w:r>
        <w:rPr>
          <w:rFonts w:ascii="Times New Roman" w:hAnsi="Times New Roman" w:cs="Times New Roman"/>
        </w:rPr>
        <w:t>De ces deux cadres, la littérature sur la complémentarité des canaux et celle sur les motivations à les combiner (section 2.4), découlent deux hypothèses, que l’analyse empirique met à l’épreuve.</w:t>
      </w:r>
    </w:p>
    <w:p w14:paraId="170AFFEC" w14:textId="192B2328" w:rsidR="00610160" w:rsidRPr="001A702B" w:rsidRDefault="00610160" w:rsidP="00610160">
      <w:pPr>
        <w:numPr>
          <w:ilvl w:val="0"/>
          <w:numId w:val="1"/>
        </w:numPr>
        <w:ind w:right="1184"/>
        <w:jc w:val="both"/>
        <w:rPr>
          <w:rFonts w:ascii="Times New Roman" w:hAnsi="Times New Roman" w:cs="Times New Roman"/>
        </w:rPr>
      </w:pPr>
      <w:r>
        <w:rPr>
          <w:rFonts w:ascii="Times New Roman" w:hAnsi="Times New Roman" w:cs="Times New Roman"/>
          <w:b/>
          <w:bCs/>
        </w:rPr>
        <w:t xml:space="preserve">H1 : </w:t>
      </w:r>
      <w:r>
        <w:rPr>
          <w:rFonts w:ascii="Times New Roman" w:hAnsi="Times New Roman" w:cs="Times New Roman"/>
        </w:rPr>
        <w:t>Complémentarité, non substitution. Conformément aux résultats établis sur la non-cannibalisation entre canaux la vente directe occupe rarement la place de canal principal ; elle s’inscrit dans des stratégies de complémentarité ciblée, avec une diffusion potentiellement large mais une part de budget faible.</w:t>
      </w:r>
    </w:p>
    <w:p w14:paraId="1C08B57D" w14:textId="77777777" w:rsidR="00610160" w:rsidRPr="001A702B" w:rsidRDefault="00610160" w:rsidP="00610160">
      <w:pPr>
        <w:numPr>
          <w:ilvl w:val="0"/>
          <w:numId w:val="1"/>
        </w:numPr>
        <w:ind w:right="1184"/>
        <w:jc w:val="both"/>
        <w:rPr>
          <w:rFonts w:ascii="Times New Roman" w:hAnsi="Times New Roman" w:cs="Times New Roman"/>
        </w:rPr>
      </w:pPr>
      <w:r>
        <w:rPr>
          <w:rFonts w:ascii="Times New Roman" w:hAnsi="Times New Roman" w:cs="Times New Roman"/>
          <w:b/>
          <w:bCs/>
        </w:rPr>
        <w:t xml:space="preserve">H2 : </w:t>
      </w:r>
      <w:r>
        <w:rPr>
          <w:rFonts w:ascii="Times New Roman" w:hAnsi="Times New Roman" w:cs="Times New Roman"/>
        </w:rPr>
        <w:t xml:space="preserve">Transversalité sociale. Conformément à une lecture par les buts plutôt que par les profils (Harris, </w:t>
      </w:r>
      <w:proofErr w:type="spellStart"/>
      <w:r>
        <w:rPr>
          <w:rFonts w:ascii="Times New Roman" w:hAnsi="Times New Roman" w:cs="Times New Roman"/>
        </w:rPr>
        <w:t>Dall’Olmo</w:t>
      </w:r>
      <w:proofErr w:type="spellEnd"/>
      <w:r>
        <w:rPr>
          <w:rFonts w:ascii="Times New Roman" w:hAnsi="Times New Roman" w:cs="Times New Roman"/>
        </w:rPr>
        <w:t xml:space="preserve"> Riley, et Hand 2018, 2021), parce qu’elle remplit une fonction d’appoint accessible par de multiples lieux (dont les marchés) et mobilisable pour des buts ponctuels variés, la pratique de la vente directe est faiblement déterminée par le profil sociodémographique : elle traverse les catégories plutôt qu’elle ne distingue un groupe social.</w:t>
      </w:r>
    </w:p>
    <w:bookmarkEnd w:id="1"/>
    <w:p w14:paraId="15272B18" w14:textId="77777777" w:rsidR="00D25362" w:rsidRDefault="00D25362"/>
    <w:p w14:paraId="7E28998A" w14:textId="77777777" w:rsidR="00610160" w:rsidRDefault="00610160"/>
    <w:p w14:paraId="405C7227" w14:textId="77777777" w:rsidR="00610160" w:rsidRPr="00CC44A4" w:rsidRDefault="00610160" w:rsidP="00610160">
      <w:pPr>
        <w:pStyle w:val="Titre1"/>
        <w:ind w:right="1184"/>
        <w:jc w:val="both"/>
        <w:rPr>
          <w:rFonts w:ascii="Times New Roman" w:hAnsi="Times New Roman" w:cs="Times New Roman"/>
          <w:color w:val="auto"/>
          <w:sz w:val="24"/>
          <w:szCs w:val="24"/>
        </w:rPr>
      </w:pPr>
      <w:r>
        <w:rPr>
          <w:rFonts w:ascii="Times New Roman" w:hAnsi="Times New Roman" w:cs="Times New Roman"/>
          <w:color w:val="auto"/>
          <w:sz w:val="24"/>
          <w:szCs w:val="24"/>
        </w:rPr>
        <w:lastRenderedPageBreak/>
        <w:t>Discussion</w:t>
      </w:r>
    </w:p>
    <w:p w14:paraId="3594284C" w14:textId="77777777" w:rsidR="00610160" w:rsidRPr="00CC44A4" w:rsidRDefault="00610160" w:rsidP="00610160">
      <w:pPr>
        <w:pStyle w:val="Titre2"/>
        <w:ind w:right="1184"/>
        <w:jc w:val="both"/>
        <w:rPr>
          <w:rFonts w:ascii="Times New Roman" w:hAnsi="Times New Roman" w:cs="Times New Roman"/>
          <w:i/>
          <w:iCs/>
          <w:color w:val="auto"/>
          <w:sz w:val="24"/>
          <w:szCs w:val="24"/>
        </w:rPr>
      </w:pPr>
      <w:bookmarkStart w:id="2" w:name="_Toc233819581"/>
      <w:bookmarkStart w:id="3" w:name="la-vente-directe-comme-complément-diffus"/>
      <w:r>
        <w:rPr>
          <w:rFonts w:ascii="Times New Roman" w:hAnsi="Times New Roman" w:cs="Times New Roman"/>
          <w:i/>
          <w:iCs/>
          <w:color w:val="auto"/>
          <w:sz w:val="24"/>
          <w:szCs w:val="24"/>
        </w:rPr>
        <w:t>5.1 La vente directe comme complément diffus</w:t>
      </w:r>
      <w:bookmarkEnd w:id="2"/>
    </w:p>
    <w:p w14:paraId="0FDAB531" w14:textId="77777777" w:rsidR="00610160" w:rsidRPr="00CC44A4" w:rsidRDefault="00610160" w:rsidP="00610160">
      <w:pPr>
        <w:pStyle w:val="FirstParagraph"/>
        <w:ind w:right="1184"/>
        <w:jc w:val="both"/>
        <w:rPr>
          <w:rFonts w:ascii="Times New Roman" w:hAnsi="Times New Roman" w:cs="Times New Roman"/>
        </w:rPr>
      </w:pPr>
      <w:r>
        <w:rPr>
          <w:rFonts w:ascii="Times New Roman" w:hAnsi="Times New Roman" w:cs="Times New Roman"/>
        </w:rPr>
        <w:t xml:space="preserve">Le principal apport de cet article tient à la requalification de la place de la vente directe. Les travaux existants, centrés sur les adeptes ou sur les dispositifs eux-mêmes, pouvaient laisser penser à une pratique relativement circonscrite et engagée. Lue à l’échelle du portefeuille de canaux et sur données représentatives, la vente directe se révèle au contraire largement diffusée mais peu intensive : essayée par deux ménages sur trois, mobilisée régulièrement par moins d’un sur cinq, et marginale dans le budget. Elle fonctionne comme un complément ciblé, vraisemblablement adossé à certaines catégories de produits et à des occasions particulières, et non comme une alternative globale à la grande distribution. Ce constat rejoint l’idée, présente dans la littérature sur les réseaux alimentaires alternatifs, d’une coexistence plutôt que d’une rupture entre circuits (Goodman et </w:t>
      </w:r>
      <w:proofErr w:type="spellStart"/>
      <w:r>
        <w:rPr>
          <w:rFonts w:ascii="Times New Roman" w:hAnsi="Times New Roman" w:cs="Times New Roman"/>
        </w:rPr>
        <w:t>DuPuis</w:t>
      </w:r>
      <w:proofErr w:type="spellEnd"/>
      <w:r>
        <w:rPr>
          <w:rFonts w:ascii="Times New Roman" w:hAnsi="Times New Roman" w:cs="Times New Roman"/>
        </w:rPr>
        <w:t xml:space="preserve"> </w:t>
      </w:r>
      <w:proofErr w:type="gramStart"/>
      <w:r>
        <w:rPr>
          <w:rFonts w:ascii="Times New Roman" w:hAnsi="Times New Roman" w:cs="Times New Roman"/>
        </w:rPr>
        <w:t>2002;</w:t>
      </w:r>
      <w:proofErr w:type="gramEnd"/>
      <w:r>
        <w:rPr>
          <w:rFonts w:ascii="Times New Roman" w:hAnsi="Times New Roman" w:cs="Times New Roman"/>
        </w:rPr>
        <w:t xml:space="preserve"> Sage 2003), mais il la quantifie précisément du point de vue du consommateur.</w:t>
      </w:r>
    </w:p>
    <w:p w14:paraId="5465DA83" w14:textId="11962147" w:rsidR="00610160" w:rsidRPr="00CC44A4" w:rsidRDefault="00610160" w:rsidP="00610160">
      <w:pPr>
        <w:pStyle w:val="Corpsdetexte"/>
        <w:ind w:right="1184"/>
        <w:jc w:val="both"/>
        <w:rPr>
          <w:rFonts w:ascii="Times New Roman" w:hAnsi="Times New Roman" w:cs="Times New Roman"/>
        </w:rPr>
      </w:pPr>
      <w:r>
        <w:rPr>
          <w:rFonts w:ascii="Times New Roman" w:hAnsi="Times New Roman" w:cs="Times New Roman"/>
        </w:rPr>
        <w:t xml:space="preserve">Ce résultat rejoint surtout, de façon plus précise qu’une simple analogie, les résultats établis sur la complémentarité des canaux en marketing de la distribution: de même que l’ouverture d’un canal physique augmente le chiffre d’affaires total d’un distributeur plutôt que de cannibaliser ses autres canaux (Pauwels et </w:t>
      </w:r>
      <w:proofErr w:type="spellStart"/>
      <w:r>
        <w:rPr>
          <w:rFonts w:ascii="Times New Roman" w:hAnsi="Times New Roman" w:cs="Times New Roman"/>
        </w:rPr>
        <w:t>Neslin</w:t>
      </w:r>
      <w:proofErr w:type="spellEnd"/>
      <w:r>
        <w:rPr>
          <w:rFonts w:ascii="Times New Roman" w:hAnsi="Times New Roman" w:cs="Times New Roman"/>
        </w:rPr>
        <w:t xml:space="preserve"> 2015), la vente directe semble fonctionner, à l’échelle du ménage, comme un canal additionnel dont la fonction (fraîcheur, lien au producteur) ne recoupe pas celle de l’hypermarché, plutôt que comme un concurrent auquel il faudrait retirer du budget. La lecture par les buts (Harris, </w:t>
      </w:r>
      <w:proofErr w:type="spellStart"/>
      <w:r>
        <w:rPr>
          <w:rFonts w:ascii="Times New Roman" w:hAnsi="Times New Roman" w:cs="Times New Roman"/>
        </w:rPr>
        <w:t>Dall’Olmo</w:t>
      </w:r>
      <w:proofErr w:type="spellEnd"/>
      <w:r>
        <w:rPr>
          <w:rFonts w:ascii="Times New Roman" w:hAnsi="Times New Roman" w:cs="Times New Roman"/>
        </w:rPr>
        <w:t xml:space="preserve"> Riley, et Hand 2018, 2021) éclaire par ailleurs pourquoi cette complémentarité se traduit par un usage peu intensif : la vente directe répond à des buts ponctuels (une occasion, une envie de produits frais) plutôt qu’à un but stable et récurrent, ce qui explique qu’elle soit largement essayée sans devenir un canal d’approvisionnement régulier pour la majorité des ménages.</w:t>
      </w:r>
    </w:p>
    <w:p w14:paraId="627CB8E4" w14:textId="77777777" w:rsidR="00610160" w:rsidRPr="00CC44A4" w:rsidRDefault="00610160" w:rsidP="00610160">
      <w:pPr>
        <w:pStyle w:val="Titre2"/>
        <w:ind w:right="1184"/>
        <w:jc w:val="both"/>
        <w:rPr>
          <w:rFonts w:ascii="Times New Roman" w:hAnsi="Times New Roman" w:cs="Times New Roman"/>
          <w:i/>
          <w:iCs/>
          <w:color w:val="auto"/>
          <w:sz w:val="24"/>
          <w:szCs w:val="24"/>
        </w:rPr>
      </w:pPr>
      <w:bookmarkStart w:id="4" w:name="_Toc233819582"/>
      <w:bookmarkStart w:id="5" w:name="Xb1927cd501916c0e629b238992db577b94962c6"/>
      <w:bookmarkEnd w:id="3"/>
      <w:r>
        <w:rPr>
          <w:rFonts w:ascii="Times New Roman" w:hAnsi="Times New Roman" w:cs="Times New Roman"/>
          <w:i/>
          <w:iCs/>
          <w:color w:val="auto"/>
          <w:sz w:val="24"/>
          <w:szCs w:val="24"/>
        </w:rPr>
        <w:t>5.2 Une transversalité sociale qui interroge les politiques publiques</w:t>
      </w:r>
      <w:bookmarkEnd w:id="4"/>
    </w:p>
    <w:p w14:paraId="65CDF2D8" w14:textId="47876055" w:rsidR="00610160" w:rsidRPr="00CC44A4" w:rsidRDefault="00610160" w:rsidP="00610160">
      <w:pPr>
        <w:pStyle w:val="FirstParagraph"/>
        <w:ind w:right="1184"/>
        <w:jc w:val="both"/>
        <w:rPr>
          <w:rFonts w:ascii="Times New Roman" w:hAnsi="Times New Roman" w:cs="Times New Roman"/>
        </w:rPr>
      </w:pPr>
      <w:r>
        <w:rPr>
          <w:rFonts w:ascii="Times New Roman" w:hAnsi="Times New Roman" w:cs="Times New Roman"/>
        </w:rPr>
        <w:t>Le second apport concerne la faible détermination sociale de la pratique. Contrairement à une lecture distinctive qui réserverait les circuits courts à des catégories aisées et urbaines, nos résultats montrent une diffusion transversale, dont témoigne le petit groupe de ménages hors-hypermarché à budget modeste. La sur-représentation des cadres est réelle mais modérée, et le pouvoir explicatif global des variables sociodémographiques est faible. Ce résultat gagne à être lu à la lumière de la littérature sur les motivations à combiner les canaux (section 2.4) : si le recours à la vente directe dépend moins d’un profil que d’un but ponctuel activé dans certaines situations d’achat (</w:t>
      </w:r>
      <w:proofErr w:type="spellStart"/>
      <w:r>
        <w:rPr>
          <w:rFonts w:ascii="Times New Roman" w:hAnsi="Times New Roman" w:cs="Times New Roman"/>
        </w:rPr>
        <w:t>Hino</w:t>
      </w:r>
      <w:proofErr w:type="spellEnd"/>
      <w:r>
        <w:rPr>
          <w:rFonts w:ascii="Times New Roman" w:hAnsi="Times New Roman" w:cs="Times New Roman"/>
        </w:rPr>
        <w:t xml:space="preserve"> </w:t>
      </w:r>
      <w:proofErr w:type="gramStart"/>
      <w:r>
        <w:rPr>
          <w:rFonts w:ascii="Times New Roman" w:hAnsi="Times New Roman" w:cs="Times New Roman"/>
        </w:rPr>
        <w:t>2014;</w:t>
      </w:r>
      <w:proofErr w:type="gramEnd"/>
      <w:r>
        <w:rPr>
          <w:rFonts w:ascii="Times New Roman" w:hAnsi="Times New Roman" w:cs="Times New Roman"/>
        </w:rPr>
        <w:t xml:space="preserve"> Harris, </w:t>
      </w:r>
      <w:proofErr w:type="spellStart"/>
      <w:r>
        <w:rPr>
          <w:rFonts w:ascii="Times New Roman" w:hAnsi="Times New Roman" w:cs="Times New Roman"/>
        </w:rPr>
        <w:t>Dall’Olmo</w:t>
      </w:r>
      <w:proofErr w:type="spellEnd"/>
      <w:r>
        <w:rPr>
          <w:rFonts w:ascii="Times New Roman" w:hAnsi="Times New Roman" w:cs="Times New Roman"/>
        </w:rPr>
        <w:t xml:space="preserve"> Riley), alors sa faible détermination sociodémographique n’est pas une anomalie mais la conséquence logique de sa fonction. Ce résultat a une portée pour l’action publique : si la vente directe n’est pas l’apanage d’un groupe, les politiques de soutien aux circuits courts peuvent viser un public large, à condition de lever les freins pratiques (accessibilité, temps, régularité de l’offre) plutôt que de cibler une catégorie supposée acquise.</w:t>
      </w:r>
    </w:p>
    <w:p w14:paraId="28EA3784" w14:textId="77777777" w:rsidR="00610160" w:rsidRPr="00CC44A4" w:rsidRDefault="00610160" w:rsidP="00610160">
      <w:pPr>
        <w:pStyle w:val="Titre2"/>
        <w:ind w:right="1184"/>
        <w:jc w:val="both"/>
        <w:rPr>
          <w:rFonts w:ascii="Times New Roman" w:hAnsi="Times New Roman" w:cs="Times New Roman"/>
          <w:i/>
          <w:iCs/>
          <w:color w:val="auto"/>
          <w:sz w:val="24"/>
          <w:szCs w:val="24"/>
        </w:rPr>
      </w:pPr>
      <w:bookmarkStart w:id="6" w:name="_Toc233819583"/>
      <w:bookmarkStart w:id="7" w:name="X42bddffd3b8151c2ab10e23a331c071586deea7"/>
      <w:bookmarkEnd w:id="5"/>
      <w:r>
        <w:rPr>
          <w:rFonts w:ascii="Times New Roman" w:hAnsi="Times New Roman" w:cs="Times New Roman"/>
          <w:i/>
          <w:iCs/>
          <w:color w:val="auto"/>
          <w:sz w:val="24"/>
          <w:szCs w:val="24"/>
        </w:rPr>
        <w:lastRenderedPageBreak/>
        <w:t>5.3 Les stratégies d’approvisionnement comme grille de lecture</w:t>
      </w:r>
      <w:bookmarkEnd w:id="6"/>
    </w:p>
    <w:p w14:paraId="3C607DC6" w14:textId="77777777" w:rsidR="00610160" w:rsidRPr="00CC44A4" w:rsidRDefault="00610160" w:rsidP="00610160">
      <w:pPr>
        <w:pStyle w:val="FirstParagraph"/>
        <w:ind w:right="1184"/>
        <w:jc w:val="both"/>
        <w:rPr>
          <w:rFonts w:ascii="Times New Roman" w:hAnsi="Times New Roman" w:cs="Times New Roman"/>
        </w:rPr>
      </w:pPr>
      <w:r>
        <w:rPr>
          <w:rFonts w:ascii="Times New Roman" w:hAnsi="Times New Roman" w:cs="Times New Roman"/>
        </w:rPr>
        <w:t>La typologie en cinq classes illustre l’intérêt d’une approche par les portefeuilles. Elle déplace l’attention des individus vers les configurations d’usage : ce n’est pas tant le profil sociodémographique qui prédit la vente directe que la stratégie d’approvisionnement dans laquelle elle s’inscrit. Les omnivores engagés l’intègrent à un répertoire dense de canaux ; les captifs de la grande distribution s’en tiennent à distance ; les ménages hors-hypermarché en font un pivot par défaut. Cette grille pourrait être réinvestie pour d’autres canaux alternatifs (bio, vrac, anti-gaspillage) et pour suivre, dans le temps, les recompositions des répertoires d’achat.</w:t>
      </w:r>
    </w:p>
    <w:p w14:paraId="5CC5DEF5" w14:textId="2F8777EB" w:rsidR="00610160" w:rsidRPr="00CC44A4" w:rsidRDefault="00610160" w:rsidP="00610160">
      <w:pPr>
        <w:pStyle w:val="Corpsdetexte"/>
        <w:ind w:right="1184"/>
        <w:jc w:val="both"/>
        <w:rPr>
          <w:rFonts w:ascii="Times New Roman" w:hAnsi="Times New Roman" w:cs="Times New Roman"/>
        </w:rPr>
      </w:pPr>
      <w:r>
        <w:rPr>
          <w:rFonts w:ascii="Times New Roman" w:hAnsi="Times New Roman" w:cs="Times New Roman"/>
        </w:rPr>
        <w:t xml:space="preserve">Cette approche par les stratégies plutôt que par les canaux pris isolément rejoint la logique des travaux de </w:t>
      </w:r>
      <w:proofErr w:type="spellStart"/>
      <w:r>
        <w:rPr>
          <w:rFonts w:ascii="Times New Roman" w:hAnsi="Times New Roman" w:cs="Times New Roman"/>
        </w:rPr>
        <w:t>Hino</w:t>
      </w:r>
      <w:proofErr w:type="spellEnd"/>
      <w:r>
        <w:rPr>
          <w:rFonts w:ascii="Times New Roman" w:hAnsi="Times New Roman" w:cs="Times New Roman"/>
        </w:rPr>
        <w:t xml:space="preserve"> (2014) sur l’usage sélectif de formats alimentaires, qui montrent que les ménages n’adoptent pas un canal en bloc mais l’intègrent, ou non, à des routines d’achat déjà constituées, sous l’effet de contraintes matérielles et temporelles autant que de choix délibérés. Cette lecture situationnelle des combinaisons de canaux, que notre typologie objective à l’échelle d’un échantillon représentatif, fait écho à des travaux qualitatifs en cours sur les parcours d’approvisionnement alimentaire, qui documentent, au niveau individuel, la façon dont ces combinaisons se construisent et se recomposent au fil des situations d’achat.</w:t>
      </w:r>
    </w:p>
    <w:bookmarkEnd w:id="7"/>
    <w:p w14:paraId="2FEED6C8" w14:textId="77777777" w:rsidR="00610160" w:rsidRPr="008233D2" w:rsidRDefault="00610160" w:rsidP="00610160">
      <w:pPr>
        <w:pStyle w:val="Bibliographie"/>
        <w:ind w:right="1184"/>
        <w:jc w:val="both"/>
        <w:rPr>
          <w:rFonts w:ascii="Times New Roman" w:hAnsi="Times New Roman" w:cs="Times New Roman"/>
          <w:lang w:val="en-US"/>
        </w:rPr>
      </w:pPr>
      <w:r w:rsidRPr="00D3201F">
        <w:rPr>
          <w:rFonts w:ascii="Times New Roman" w:hAnsi="Times New Roman" w:cs="Times New Roman"/>
          <w:lang w:val="en-GB"/>
        </w:rPr>
        <w:t xml:space="preserve">Hino, Hikari. 2014. « Shopping at Different Food Retail Formats: Understanding Cross-Shopping </w:t>
      </w:r>
      <w:proofErr w:type="spellStart"/>
      <w:r w:rsidRPr="00D3201F">
        <w:rPr>
          <w:rFonts w:ascii="Times New Roman" w:hAnsi="Times New Roman" w:cs="Times New Roman"/>
          <w:lang w:val="en-GB"/>
        </w:rPr>
        <w:t>Behavior</w:t>
      </w:r>
      <w:proofErr w:type="spellEnd"/>
      <w:r w:rsidRPr="00D3201F">
        <w:rPr>
          <w:rFonts w:ascii="Times New Roman" w:hAnsi="Times New Roman" w:cs="Times New Roman"/>
          <w:lang w:val="en-GB"/>
        </w:rPr>
        <w:t xml:space="preserve"> through Retail Format Selective Use Patterns ». </w:t>
      </w:r>
      <w:r w:rsidRPr="008233D2">
        <w:rPr>
          <w:rFonts w:ascii="Times New Roman" w:hAnsi="Times New Roman" w:cs="Times New Roman"/>
          <w:i/>
          <w:iCs/>
          <w:lang w:val="en-US"/>
        </w:rPr>
        <w:t>European Journal of Marketing</w:t>
      </w:r>
      <w:r w:rsidRPr="008233D2">
        <w:rPr>
          <w:rFonts w:ascii="Times New Roman" w:hAnsi="Times New Roman" w:cs="Times New Roman"/>
          <w:lang w:val="en-US"/>
        </w:rPr>
        <w:t xml:space="preserve"> 48 (3/4): 674‑98.</w:t>
      </w:r>
    </w:p>
    <w:p w14:paraId="7B82EA6F" w14:textId="77777777" w:rsidR="00610160" w:rsidRPr="008233D2" w:rsidRDefault="00610160" w:rsidP="00610160">
      <w:pPr>
        <w:pStyle w:val="Bibliographie"/>
        <w:ind w:right="1184"/>
        <w:jc w:val="both"/>
        <w:rPr>
          <w:rFonts w:ascii="Times New Roman" w:hAnsi="Times New Roman" w:cs="Times New Roman"/>
          <w:lang w:val="en-US"/>
        </w:rPr>
      </w:pPr>
      <w:proofErr w:type="spellStart"/>
      <w:r w:rsidRPr="00610160">
        <w:rPr>
          <w:rFonts w:ascii="Times New Roman" w:hAnsi="Times New Roman" w:cs="Times New Roman"/>
          <w:lang w:val="en-US"/>
        </w:rPr>
        <w:t>Vroegrijk</w:t>
      </w:r>
      <w:proofErr w:type="spellEnd"/>
      <w:r w:rsidRPr="00610160">
        <w:rPr>
          <w:rFonts w:ascii="Times New Roman" w:hAnsi="Times New Roman" w:cs="Times New Roman"/>
          <w:lang w:val="en-US"/>
        </w:rPr>
        <w:t xml:space="preserve">, Mark, Els </w:t>
      </w:r>
      <w:proofErr w:type="spellStart"/>
      <w:r w:rsidRPr="00610160">
        <w:rPr>
          <w:rFonts w:ascii="Times New Roman" w:hAnsi="Times New Roman" w:cs="Times New Roman"/>
          <w:lang w:val="en-US"/>
        </w:rPr>
        <w:t>Gijsbrechts</w:t>
      </w:r>
      <w:proofErr w:type="spellEnd"/>
      <w:r w:rsidRPr="00610160">
        <w:rPr>
          <w:rFonts w:ascii="Times New Roman" w:hAnsi="Times New Roman" w:cs="Times New Roman"/>
          <w:lang w:val="en-US"/>
        </w:rPr>
        <w:t xml:space="preserve">, et Katia Campo. 2013. </w:t>
      </w:r>
      <w:r w:rsidRPr="00D3201F">
        <w:rPr>
          <w:rFonts w:ascii="Times New Roman" w:hAnsi="Times New Roman" w:cs="Times New Roman"/>
          <w:lang w:val="en-GB"/>
        </w:rPr>
        <w:t xml:space="preserve">« Close Encounter with the Hard Discounter: A Multiple-Store Shopping Perspective on the Impact of Local Hard-Discounter Entry ». </w:t>
      </w:r>
      <w:r w:rsidRPr="008233D2">
        <w:rPr>
          <w:rFonts w:ascii="Times New Roman" w:hAnsi="Times New Roman" w:cs="Times New Roman"/>
          <w:i/>
          <w:iCs/>
          <w:lang w:val="en-US"/>
        </w:rPr>
        <w:t>Journal of Marketing Research</w:t>
      </w:r>
      <w:r w:rsidRPr="008233D2">
        <w:rPr>
          <w:rFonts w:ascii="Times New Roman" w:hAnsi="Times New Roman" w:cs="Times New Roman"/>
          <w:lang w:val="en-US"/>
        </w:rPr>
        <w:t xml:space="preserve"> 50 (5): 606‑26.</w:t>
      </w:r>
    </w:p>
    <w:p w14:paraId="5318377C" w14:textId="77777777" w:rsidR="00610160" w:rsidRPr="008233D2" w:rsidRDefault="00610160" w:rsidP="00610160">
      <w:pPr>
        <w:pStyle w:val="Bibliographie"/>
        <w:ind w:right="1184"/>
        <w:jc w:val="both"/>
        <w:rPr>
          <w:rFonts w:ascii="Times New Roman" w:hAnsi="Times New Roman" w:cs="Times New Roman"/>
          <w:lang w:val="en-US"/>
        </w:rPr>
      </w:pPr>
      <w:proofErr w:type="spellStart"/>
      <w:r w:rsidRPr="00610160">
        <w:rPr>
          <w:rFonts w:ascii="Times New Roman" w:hAnsi="Times New Roman" w:cs="Times New Roman"/>
          <w:lang w:val="en-US"/>
        </w:rPr>
        <w:t>Melis</w:t>
      </w:r>
      <w:proofErr w:type="spellEnd"/>
      <w:r w:rsidRPr="00610160">
        <w:rPr>
          <w:rFonts w:ascii="Times New Roman" w:hAnsi="Times New Roman" w:cs="Times New Roman"/>
          <w:lang w:val="en-US"/>
        </w:rPr>
        <w:t xml:space="preserve">, Kristina, Katia Campo, Lien </w:t>
      </w:r>
      <w:proofErr w:type="spellStart"/>
      <w:r w:rsidRPr="00610160">
        <w:rPr>
          <w:rFonts w:ascii="Times New Roman" w:hAnsi="Times New Roman" w:cs="Times New Roman"/>
          <w:lang w:val="en-US"/>
        </w:rPr>
        <w:t>Lamey</w:t>
      </w:r>
      <w:proofErr w:type="spellEnd"/>
      <w:r w:rsidRPr="00610160">
        <w:rPr>
          <w:rFonts w:ascii="Times New Roman" w:hAnsi="Times New Roman" w:cs="Times New Roman"/>
          <w:lang w:val="en-US"/>
        </w:rPr>
        <w:t xml:space="preserve">, et Els Breugelmans. </w:t>
      </w:r>
      <w:r w:rsidRPr="00D3201F">
        <w:rPr>
          <w:rFonts w:ascii="Times New Roman" w:hAnsi="Times New Roman" w:cs="Times New Roman"/>
          <w:lang w:val="en-GB"/>
        </w:rPr>
        <w:t xml:space="preserve">2016. « A Bigger Slice of the Multichannel Grocery Pie: When Does Consumers’ Online Channel Use Expand Retailers’ Share of Wallet? » </w:t>
      </w:r>
      <w:r w:rsidRPr="008233D2">
        <w:rPr>
          <w:rFonts w:ascii="Times New Roman" w:hAnsi="Times New Roman" w:cs="Times New Roman"/>
          <w:i/>
          <w:iCs/>
          <w:lang w:val="en-US"/>
        </w:rPr>
        <w:t>Journal of Retailing</w:t>
      </w:r>
      <w:r w:rsidRPr="008233D2">
        <w:rPr>
          <w:rFonts w:ascii="Times New Roman" w:hAnsi="Times New Roman" w:cs="Times New Roman"/>
          <w:lang w:val="en-US"/>
        </w:rPr>
        <w:t xml:space="preserve"> 92 (3): 268‑86.</w:t>
      </w:r>
    </w:p>
    <w:p w14:paraId="38894791" w14:textId="77777777" w:rsidR="00610160" w:rsidRPr="00D3201F" w:rsidRDefault="00610160" w:rsidP="00610160">
      <w:pPr>
        <w:pStyle w:val="Bibliographie"/>
        <w:ind w:right="1184"/>
        <w:jc w:val="both"/>
        <w:rPr>
          <w:rFonts w:ascii="Times New Roman" w:hAnsi="Times New Roman" w:cs="Times New Roman"/>
          <w:lang w:val="en-GB"/>
        </w:rPr>
      </w:pPr>
      <w:r w:rsidRPr="00D3201F">
        <w:rPr>
          <w:rFonts w:ascii="Times New Roman" w:hAnsi="Times New Roman" w:cs="Times New Roman"/>
          <w:lang w:val="en-GB"/>
        </w:rPr>
        <w:t xml:space="preserve">Hai Tran, Van, et Lucie </w:t>
      </w:r>
      <w:proofErr w:type="spellStart"/>
      <w:r w:rsidRPr="00D3201F">
        <w:rPr>
          <w:rFonts w:ascii="Times New Roman" w:hAnsi="Times New Roman" w:cs="Times New Roman"/>
          <w:lang w:val="en-GB"/>
        </w:rPr>
        <w:t>Sirieix</w:t>
      </w:r>
      <w:proofErr w:type="spellEnd"/>
      <w:r w:rsidRPr="00D3201F">
        <w:rPr>
          <w:rFonts w:ascii="Times New Roman" w:hAnsi="Times New Roman" w:cs="Times New Roman"/>
          <w:lang w:val="en-GB"/>
        </w:rPr>
        <w:t xml:space="preserve">. 2020. « Shopping and Cross-Shopping Practices in Hanoi Vietnam: An Emerging Urban Market Context ». </w:t>
      </w:r>
      <w:r w:rsidRPr="00D3201F">
        <w:rPr>
          <w:rFonts w:ascii="Times New Roman" w:hAnsi="Times New Roman" w:cs="Times New Roman"/>
          <w:i/>
          <w:iCs/>
          <w:lang w:val="en-GB"/>
        </w:rPr>
        <w:t>Journal of Retailing and Consumer Services</w:t>
      </w:r>
      <w:r w:rsidRPr="00D3201F">
        <w:rPr>
          <w:rFonts w:ascii="Times New Roman" w:hAnsi="Times New Roman" w:cs="Times New Roman"/>
          <w:lang w:val="en-GB"/>
        </w:rPr>
        <w:t xml:space="preserve"> 56: 102178.</w:t>
      </w:r>
    </w:p>
    <w:p w14:paraId="058B62AA" w14:textId="77777777" w:rsidR="00610160" w:rsidRPr="00D3201F" w:rsidRDefault="00610160" w:rsidP="00610160">
      <w:pPr>
        <w:pStyle w:val="Bibliographie"/>
        <w:ind w:right="1184"/>
        <w:jc w:val="both"/>
        <w:rPr>
          <w:rFonts w:ascii="Times New Roman" w:hAnsi="Times New Roman" w:cs="Times New Roman"/>
          <w:lang w:val="en-GB"/>
        </w:rPr>
      </w:pPr>
      <w:r w:rsidRPr="00D3201F">
        <w:rPr>
          <w:rFonts w:ascii="Times New Roman" w:hAnsi="Times New Roman" w:cs="Times New Roman"/>
          <w:lang w:val="en-GB"/>
        </w:rPr>
        <w:t xml:space="preserve">Harris, Phil, Fiona </w:t>
      </w:r>
      <w:proofErr w:type="spellStart"/>
      <w:r w:rsidRPr="00D3201F">
        <w:rPr>
          <w:rFonts w:ascii="Times New Roman" w:hAnsi="Times New Roman" w:cs="Times New Roman"/>
          <w:lang w:val="en-GB"/>
        </w:rPr>
        <w:t>Dall’Olmo</w:t>
      </w:r>
      <w:proofErr w:type="spellEnd"/>
      <w:r w:rsidRPr="00D3201F">
        <w:rPr>
          <w:rFonts w:ascii="Times New Roman" w:hAnsi="Times New Roman" w:cs="Times New Roman"/>
          <w:lang w:val="en-GB"/>
        </w:rPr>
        <w:t xml:space="preserve"> Riley, et Chris Hand. 2018. « Understanding Multichannel Shopper Journey Configuration: An Application of Goal Theory ». </w:t>
      </w:r>
      <w:r w:rsidRPr="00D3201F">
        <w:rPr>
          <w:rFonts w:ascii="Times New Roman" w:hAnsi="Times New Roman" w:cs="Times New Roman"/>
          <w:i/>
          <w:iCs/>
          <w:lang w:val="en-GB"/>
        </w:rPr>
        <w:t>Journal of Retailing and Consumer Services</w:t>
      </w:r>
      <w:r w:rsidRPr="00D3201F">
        <w:rPr>
          <w:rFonts w:ascii="Times New Roman" w:hAnsi="Times New Roman" w:cs="Times New Roman"/>
          <w:lang w:val="en-GB"/>
        </w:rPr>
        <w:t xml:space="preserve"> 44: 108‑17.</w:t>
      </w:r>
    </w:p>
    <w:p w14:paraId="4F54D731" w14:textId="77777777" w:rsidR="00610160" w:rsidRPr="00D3201F" w:rsidRDefault="00610160" w:rsidP="00610160">
      <w:pPr>
        <w:pStyle w:val="Bibliographie"/>
        <w:ind w:right="1184"/>
        <w:jc w:val="both"/>
        <w:rPr>
          <w:rFonts w:ascii="Times New Roman" w:hAnsi="Times New Roman" w:cs="Times New Roman"/>
          <w:lang w:val="en-GB"/>
        </w:rPr>
      </w:pPr>
      <w:r w:rsidRPr="00D3201F">
        <w:rPr>
          <w:rFonts w:ascii="Times New Roman" w:hAnsi="Times New Roman" w:cs="Times New Roman"/>
          <w:lang w:val="en-GB"/>
        </w:rPr>
        <w:t xml:space="preserve">Harris, Phil, Fiona </w:t>
      </w:r>
      <w:proofErr w:type="spellStart"/>
      <w:r w:rsidRPr="00D3201F">
        <w:rPr>
          <w:rFonts w:ascii="Times New Roman" w:hAnsi="Times New Roman" w:cs="Times New Roman"/>
          <w:lang w:val="en-GB"/>
        </w:rPr>
        <w:t>Dall’Olmo</w:t>
      </w:r>
      <w:proofErr w:type="spellEnd"/>
      <w:r w:rsidRPr="00D3201F">
        <w:rPr>
          <w:rFonts w:ascii="Times New Roman" w:hAnsi="Times New Roman" w:cs="Times New Roman"/>
          <w:lang w:val="en-GB"/>
        </w:rPr>
        <w:t xml:space="preserve"> Riley, et Chris Hand. 2021. « Multichannel Shopping: The Effect of </w:t>
      </w:r>
      <w:proofErr w:type="gramStart"/>
      <w:r w:rsidRPr="00D3201F">
        <w:rPr>
          <w:rFonts w:ascii="Times New Roman" w:hAnsi="Times New Roman" w:cs="Times New Roman"/>
          <w:lang w:val="en-GB"/>
        </w:rPr>
        <w:t>Decision Making</w:t>
      </w:r>
      <w:proofErr w:type="gramEnd"/>
      <w:r w:rsidRPr="00D3201F">
        <w:rPr>
          <w:rFonts w:ascii="Times New Roman" w:hAnsi="Times New Roman" w:cs="Times New Roman"/>
          <w:lang w:val="en-GB"/>
        </w:rPr>
        <w:t xml:space="preserve"> Style on Shopper Journey Configuration and Satisfaction ». </w:t>
      </w:r>
      <w:r w:rsidRPr="00D3201F">
        <w:rPr>
          <w:rFonts w:ascii="Times New Roman" w:hAnsi="Times New Roman" w:cs="Times New Roman"/>
          <w:i/>
          <w:iCs/>
          <w:lang w:val="en-GB"/>
        </w:rPr>
        <w:t>Journal of Retailing and Consumer Services</w:t>
      </w:r>
      <w:r w:rsidRPr="00D3201F">
        <w:rPr>
          <w:rFonts w:ascii="Times New Roman" w:hAnsi="Times New Roman" w:cs="Times New Roman"/>
          <w:lang w:val="en-GB"/>
        </w:rPr>
        <w:t xml:space="preserve"> 58: 102286.</w:t>
      </w:r>
    </w:p>
    <w:p w14:paraId="735FE18A" w14:textId="29E124CA" w:rsidR="00610160" w:rsidRDefault="00610160">
      <w:pPr>
        <w:rPr>
          <w:rFonts w:ascii="Times New Roman" w:hAnsi="Times New Roman" w:cs="Times New Roman"/>
          <w:lang w:val="en-US"/>
        </w:rPr>
      </w:pPr>
      <w:r w:rsidRPr="00610160">
        <w:rPr>
          <w:rFonts w:ascii="Times New Roman" w:hAnsi="Times New Roman" w:cs="Times New Roman"/>
          <w:lang w:val="en-US"/>
        </w:rPr>
        <w:t xml:space="preserve">Pauwels, Koen, et Scott A. </w:t>
      </w:r>
      <w:proofErr w:type="spellStart"/>
      <w:r w:rsidRPr="00610160">
        <w:rPr>
          <w:rFonts w:ascii="Times New Roman" w:hAnsi="Times New Roman" w:cs="Times New Roman"/>
          <w:lang w:val="en-US"/>
        </w:rPr>
        <w:t>Neslin</w:t>
      </w:r>
      <w:proofErr w:type="spellEnd"/>
      <w:r w:rsidRPr="00610160">
        <w:rPr>
          <w:rFonts w:ascii="Times New Roman" w:hAnsi="Times New Roman" w:cs="Times New Roman"/>
          <w:lang w:val="en-US"/>
        </w:rPr>
        <w:t xml:space="preserve">. </w:t>
      </w:r>
      <w:r w:rsidRPr="00D3201F">
        <w:rPr>
          <w:rFonts w:ascii="Times New Roman" w:hAnsi="Times New Roman" w:cs="Times New Roman"/>
          <w:lang w:val="en-GB"/>
        </w:rPr>
        <w:t xml:space="preserve">2015. « Building </w:t>
      </w:r>
      <w:proofErr w:type="gramStart"/>
      <w:r w:rsidRPr="00D3201F">
        <w:rPr>
          <w:rFonts w:ascii="Times New Roman" w:hAnsi="Times New Roman" w:cs="Times New Roman"/>
          <w:lang w:val="en-GB"/>
        </w:rPr>
        <w:t>With</w:t>
      </w:r>
      <w:proofErr w:type="gramEnd"/>
      <w:r w:rsidRPr="00D3201F">
        <w:rPr>
          <w:rFonts w:ascii="Times New Roman" w:hAnsi="Times New Roman" w:cs="Times New Roman"/>
          <w:lang w:val="en-GB"/>
        </w:rPr>
        <w:t xml:space="preserve"> Bricks and Mortar: The Revenue Impact of Opening Physical Stores in a Multichannel Environment ». </w:t>
      </w:r>
      <w:r w:rsidRPr="008233D2">
        <w:rPr>
          <w:rFonts w:ascii="Times New Roman" w:hAnsi="Times New Roman" w:cs="Times New Roman"/>
          <w:i/>
          <w:iCs/>
          <w:lang w:val="en-US"/>
        </w:rPr>
        <w:t>Journal of Retailing</w:t>
      </w:r>
      <w:r w:rsidRPr="008233D2">
        <w:rPr>
          <w:rFonts w:ascii="Times New Roman" w:hAnsi="Times New Roman" w:cs="Times New Roman"/>
          <w:lang w:val="en-US"/>
        </w:rPr>
        <w:t xml:space="preserve"> 91 (2): 182‑97</w:t>
      </w:r>
    </w:p>
    <w:p w14:paraId="35977B1F" w14:textId="77777777" w:rsidR="00610160" w:rsidRPr="000D534B" w:rsidRDefault="00610160" w:rsidP="00610160">
      <w:pPr>
        <w:pStyle w:val="Bibliographie"/>
        <w:ind w:right="1184"/>
        <w:jc w:val="both"/>
        <w:rPr>
          <w:rFonts w:ascii="Times New Roman" w:hAnsi="Times New Roman" w:cs="Times New Roman"/>
          <w:lang w:val="fr-FR"/>
        </w:rPr>
      </w:pPr>
      <w:r w:rsidRPr="007715A7">
        <w:rPr>
          <w:rFonts w:ascii="Times New Roman" w:hAnsi="Times New Roman" w:cs="Times New Roman"/>
          <w:lang w:val="fr-FR"/>
        </w:rPr>
        <w:lastRenderedPageBreak/>
        <w:t xml:space="preserve">Goodman, David, et E. </w:t>
      </w:r>
      <w:proofErr w:type="spellStart"/>
      <w:r w:rsidRPr="007715A7">
        <w:rPr>
          <w:rFonts w:ascii="Times New Roman" w:hAnsi="Times New Roman" w:cs="Times New Roman"/>
          <w:lang w:val="fr-FR"/>
        </w:rPr>
        <w:t>Melanie</w:t>
      </w:r>
      <w:proofErr w:type="spellEnd"/>
      <w:r w:rsidRPr="007715A7">
        <w:rPr>
          <w:rFonts w:ascii="Times New Roman" w:hAnsi="Times New Roman" w:cs="Times New Roman"/>
          <w:lang w:val="fr-FR"/>
        </w:rPr>
        <w:t xml:space="preserve"> </w:t>
      </w:r>
      <w:proofErr w:type="spellStart"/>
      <w:r w:rsidRPr="007715A7">
        <w:rPr>
          <w:rFonts w:ascii="Times New Roman" w:hAnsi="Times New Roman" w:cs="Times New Roman"/>
          <w:lang w:val="fr-FR"/>
        </w:rPr>
        <w:t>DuPuis</w:t>
      </w:r>
      <w:proofErr w:type="spellEnd"/>
      <w:r w:rsidRPr="007715A7">
        <w:rPr>
          <w:rFonts w:ascii="Times New Roman" w:hAnsi="Times New Roman" w:cs="Times New Roman"/>
          <w:lang w:val="fr-FR"/>
        </w:rPr>
        <w:t xml:space="preserve">. </w:t>
      </w:r>
      <w:r>
        <w:rPr>
          <w:rFonts w:ascii="Times New Roman" w:hAnsi="Times New Roman" w:cs="Times New Roman"/>
          <w:lang w:val="en-US"/>
        </w:rPr>
        <w:t xml:space="preserve">2002. « Knowing food and growing food: Beyond the production–consumption debate in the sociology of agriculture ». </w:t>
      </w:r>
      <w:proofErr w:type="spellStart"/>
      <w:r>
        <w:rPr>
          <w:rFonts w:ascii="Times New Roman" w:hAnsi="Times New Roman" w:cs="Times New Roman"/>
          <w:i/>
          <w:iCs/>
          <w:lang w:val="fr-FR"/>
        </w:rPr>
        <w:t>Sociologia</w:t>
      </w:r>
      <w:proofErr w:type="spellEnd"/>
      <w:r>
        <w:rPr>
          <w:rFonts w:ascii="Times New Roman" w:hAnsi="Times New Roman" w:cs="Times New Roman"/>
          <w:i/>
          <w:iCs/>
          <w:lang w:val="fr-FR"/>
        </w:rPr>
        <w:t xml:space="preserve"> </w:t>
      </w:r>
      <w:proofErr w:type="spellStart"/>
      <w:r>
        <w:rPr>
          <w:rFonts w:ascii="Times New Roman" w:hAnsi="Times New Roman" w:cs="Times New Roman"/>
          <w:i/>
          <w:iCs/>
          <w:lang w:val="fr-FR"/>
        </w:rPr>
        <w:t>Ruralis</w:t>
      </w:r>
      <w:proofErr w:type="spellEnd"/>
      <w:r>
        <w:rPr>
          <w:rFonts w:ascii="Times New Roman" w:hAnsi="Times New Roman" w:cs="Times New Roman"/>
          <w:lang w:val="fr-FR"/>
        </w:rPr>
        <w:t xml:space="preserve"> 42 (1</w:t>
      </w:r>
      <w:proofErr w:type="gramStart"/>
      <w:r>
        <w:rPr>
          <w:rFonts w:ascii="Times New Roman" w:hAnsi="Times New Roman" w:cs="Times New Roman"/>
          <w:lang w:val="fr-FR"/>
        </w:rPr>
        <w:t>):</w:t>
      </w:r>
      <w:proofErr w:type="gramEnd"/>
      <w:r>
        <w:rPr>
          <w:rFonts w:ascii="Times New Roman" w:hAnsi="Times New Roman" w:cs="Times New Roman"/>
          <w:lang w:val="fr-FR"/>
        </w:rPr>
        <w:t xml:space="preserve"> 5‑22. </w:t>
      </w:r>
      <w:hyperlink r:id="rId5">
        <w:r>
          <w:rPr>
            <w:rStyle w:val="Lienhypertexte"/>
            <w:rFonts w:ascii="Times New Roman" w:hAnsi="Times New Roman" w:cs="Times New Roman"/>
            <w:lang w:val="fr-FR"/>
          </w:rPr>
          <w:t>https://doi.org/10.1111/1467-9523.00199</w:t>
        </w:r>
      </w:hyperlink>
      <w:r>
        <w:rPr>
          <w:rFonts w:ascii="Times New Roman" w:hAnsi="Times New Roman" w:cs="Times New Roman"/>
          <w:lang w:val="fr-FR"/>
        </w:rPr>
        <w:t>.</w:t>
      </w:r>
    </w:p>
    <w:p w14:paraId="6BBC65BA" w14:textId="77777777" w:rsidR="00610160" w:rsidRDefault="00610160"/>
    <w:sectPr w:rsidR="0061016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1"/>
    <w:multiLevelType w:val="multilevel"/>
    <w:tmpl w:val="7780E79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5132560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revisionView w:inkAnnotations="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160"/>
    <w:rsid w:val="0006723E"/>
    <w:rsid w:val="000D58D3"/>
    <w:rsid w:val="001B30FC"/>
    <w:rsid w:val="004D3126"/>
    <w:rsid w:val="00610160"/>
    <w:rsid w:val="00680B0E"/>
    <w:rsid w:val="00B04CE3"/>
    <w:rsid w:val="00D25362"/>
    <w:rsid w:val="00DB162A"/>
    <w:rsid w:val="00E86CBA"/>
    <w:rsid w:val="00F166BD"/>
    <w:rsid w:val="00F44CB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484E8"/>
  <w15:chartTrackingRefBased/>
  <w15:docId w15:val="{8E5B6B97-B933-4B39-826D-B3C5F4DA3E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0160"/>
    <w:pPr>
      <w:spacing w:after="200" w:line="240" w:lineRule="auto"/>
    </w:pPr>
    <w:rPr>
      <w:rFonts w:eastAsiaTheme="minorEastAsia"/>
      <w:kern w:val="0"/>
      <w:sz w:val="24"/>
      <w:szCs w:val="24"/>
      <w:lang w:val="fr" w:eastAsia="zh-CN"/>
      <w14:ligatures w14:val="none"/>
    </w:rPr>
  </w:style>
  <w:style w:type="paragraph" w:styleId="Titre1">
    <w:name w:val="heading 1"/>
    <w:basedOn w:val="Normal"/>
    <w:next w:val="Normal"/>
    <w:link w:val="Titre1Car"/>
    <w:uiPriority w:val="9"/>
    <w:qFormat/>
    <w:rsid w:val="006101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6101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610160"/>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610160"/>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610160"/>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610160"/>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10160"/>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10160"/>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10160"/>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10160"/>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610160"/>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610160"/>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610160"/>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610160"/>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61016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1016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1016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10160"/>
    <w:rPr>
      <w:rFonts w:eastAsiaTheme="majorEastAsia" w:cstheme="majorBidi"/>
      <w:color w:val="272727" w:themeColor="text1" w:themeTint="D8"/>
    </w:rPr>
  </w:style>
  <w:style w:type="paragraph" w:styleId="Titre">
    <w:name w:val="Title"/>
    <w:basedOn w:val="Normal"/>
    <w:next w:val="Normal"/>
    <w:link w:val="TitreCar"/>
    <w:uiPriority w:val="10"/>
    <w:qFormat/>
    <w:rsid w:val="00610160"/>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1016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10160"/>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1016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10160"/>
    <w:pPr>
      <w:spacing w:before="160"/>
      <w:jc w:val="center"/>
    </w:pPr>
    <w:rPr>
      <w:i/>
      <w:iCs/>
      <w:color w:val="404040" w:themeColor="text1" w:themeTint="BF"/>
    </w:rPr>
  </w:style>
  <w:style w:type="character" w:customStyle="1" w:styleId="CitationCar">
    <w:name w:val="Citation Car"/>
    <w:basedOn w:val="Policepardfaut"/>
    <w:link w:val="Citation"/>
    <w:uiPriority w:val="29"/>
    <w:rsid w:val="00610160"/>
    <w:rPr>
      <w:i/>
      <w:iCs/>
      <w:color w:val="404040" w:themeColor="text1" w:themeTint="BF"/>
    </w:rPr>
  </w:style>
  <w:style w:type="paragraph" w:styleId="Paragraphedeliste">
    <w:name w:val="List Paragraph"/>
    <w:basedOn w:val="Normal"/>
    <w:uiPriority w:val="34"/>
    <w:qFormat/>
    <w:rsid w:val="00610160"/>
    <w:pPr>
      <w:ind w:left="720"/>
      <w:contextualSpacing/>
    </w:pPr>
  </w:style>
  <w:style w:type="character" w:styleId="Accentuationintense">
    <w:name w:val="Intense Emphasis"/>
    <w:basedOn w:val="Policepardfaut"/>
    <w:uiPriority w:val="21"/>
    <w:qFormat/>
    <w:rsid w:val="00610160"/>
    <w:rPr>
      <w:i/>
      <w:iCs/>
      <w:color w:val="0F4761" w:themeColor="accent1" w:themeShade="BF"/>
    </w:rPr>
  </w:style>
  <w:style w:type="paragraph" w:styleId="Citationintense">
    <w:name w:val="Intense Quote"/>
    <w:basedOn w:val="Normal"/>
    <w:next w:val="Normal"/>
    <w:link w:val="CitationintenseCar"/>
    <w:uiPriority w:val="30"/>
    <w:qFormat/>
    <w:rsid w:val="006101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610160"/>
    <w:rPr>
      <w:i/>
      <w:iCs/>
      <w:color w:val="0F4761" w:themeColor="accent1" w:themeShade="BF"/>
    </w:rPr>
  </w:style>
  <w:style w:type="character" w:styleId="Rfrenceintense">
    <w:name w:val="Intense Reference"/>
    <w:basedOn w:val="Policepardfaut"/>
    <w:uiPriority w:val="32"/>
    <w:qFormat/>
    <w:rsid w:val="00610160"/>
    <w:rPr>
      <w:b/>
      <w:bCs/>
      <w:smallCaps/>
      <w:color w:val="0F4761" w:themeColor="accent1" w:themeShade="BF"/>
      <w:spacing w:val="5"/>
    </w:rPr>
  </w:style>
  <w:style w:type="paragraph" w:styleId="Corpsdetexte">
    <w:name w:val="Body Text"/>
    <w:basedOn w:val="Normal"/>
    <w:link w:val="CorpsdetexteCar"/>
    <w:qFormat/>
    <w:rsid w:val="00610160"/>
    <w:pPr>
      <w:spacing w:before="180" w:after="180"/>
    </w:pPr>
  </w:style>
  <w:style w:type="character" w:customStyle="1" w:styleId="CorpsdetexteCar">
    <w:name w:val="Corps de texte Car"/>
    <w:basedOn w:val="Policepardfaut"/>
    <w:link w:val="Corpsdetexte"/>
    <w:rsid w:val="00610160"/>
    <w:rPr>
      <w:rFonts w:eastAsiaTheme="minorEastAsia"/>
      <w:kern w:val="0"/>
      <w:sz w:val="24"/>
      <w:szCs w:val="24"/>
      <w:lang w:val="fr" w:eastAsia="zh-CN"/>
      <w14:ligatures w14:val="none"/>
    </w:rPr>
  </w:style>
  <w:style w:type="paragraph" w:customStyle="1" w:styleId="FirstParagraph">
    <w:name w:val="First Paragraph"/>
    <w:basedOn w:val="Corpsdetexte"/>
    <w:next w:val="Corpsdetexte"/>
    <w:qFormat/>
    <w:rsid w:val="00610160"/>
  </w:style>
  <w:style w:type="character" w:styleId="Marquedecommentaire">
    <w:name w:val="annotation reference"/>
    <w:basedOn w:val="Policepardfaut"/>
    <w:rsid w:val="00610160"/>
    <w:rPr>
      <w:sz w:val="16"/>
      <w:szCs w:val="16"/>
    </w:rPr>
  </w:style>
  <w:style w:type="paragraph" w:styleId="Bibliographie">
    <w:name w:val="Bibliography"/>
    <w:basedOn w:val="Normal"/>
    <w:qFormat/>
    <w:rsid w:val="00610160"/>
  </w:style>
  <w:style w:type="character" w:styleId="Lienhypertexte">
    <w:name w:val="Hyperlink"/>
    <w:basedOn w:val="Policepardfaut"/>
    <w:uiPriority w:val="99"/>
    <w:rsid w:val="00610160"/>
    <w:rPr>
      <w:i/>
      <w:color w:val="156082"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i.org/10.1111/1467-9523.00199" TargetMode="External"/><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26E5905B0D01A4480806B69DB8F042A" ma:contentTypeVersion="16" ma:contentTypeDescription="Crée un document." ma:contentTypeScope="" ma:versionID="d38a68ccc5eff3a1adb45d2ddb40d324">
  <xsd:schema xmlns:xsd="http://www.w3.org/2001/XMLSchema" xmlns:xs="http://www.w3.org/2001/XMLSchema" xmlns:p="http://schemas.microsoft.com/office/2006/metadata/properties" xmlns:ns2="72ec229b-343b-4d6f-9e02-34d4e1d436af" xmlns:ns3="9ad78caa-eddf-4845-a67d-c2d2a07015ed" targetNamespace="http://schemas.microsoft.com/office/2006/metadata/properties" ma:root="true" ma:fieldsID="d43e3f9c9e482d301501746f2495682d" ns2:_="" ns3:_="">
    <xsd:import namespace="72ec229b-343b-4d6f-9e02-34d4e1d436af"/>
    <xsd:import namespace="9ad78caa-eddf-4845-a67d-c2d2a07015e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2:MediaServiceObjectDetectorVersions" minOccurs="0"/>
                <xsd:element ref="ns2:MediaServiceSearchPropertie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ec229b-343b-4d6f-9e02-34d4e1d436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lcf76f155ced4ddcb4097134ff3c332f" ma:index="19" nillable="true" ma:taxonomy="true" ma:internalName="lcf76f155ced4ddcb4097134ff3c332f" ma:taxonomyFieldName="MediaServiceImageTags" ma:displayName="Balises d’images" ma:readOnly="false" ma:fieldId="{5cf76f15-5ced-4ddc-b409-7134ff3c332f}" ma:taxonomyMulti="true" ma:sspId="31244482-4b4c-4762-bda3-f65a43020ab8"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ad78caa-eddf-4845-a67d-c2d2a07015ed" elementFormDefault="qualified">
    <xsd:import namespace="http://schemas.microsoft.com/office/2006/documentManagement/types"/>
    <xsd:import namespace="http://schemas.microsoft.com/office/infopath/2007/PartnerControls"/>
    <xsd:element name="SharedWithUsers" ma:index="16"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Partagé avec détails" ma:internalName="SharedWithDetails" ma:readOnly="true">
      <xsd:simpleType>
        <xsd:restriction base="dms:Note">
          <xsd:maxLength value="255"/>
        </xsd:restriction>
      </xsd:simpleType>
    </xsd:element>
    <xsd:element name="TaxCatchAll" ma:index="20" nillable="true" ma:displayName="Taxonomy Catch All Column" ma:hidden="true" ma:list="{3a659c9b-ac72-45d4-8be5-6e576faa11d5}" ma:internalName="TaxCatchAll" ma:showField="CatchAllData" ma:web="9ad78caa-eddf-4845-a67d-c2d2a07015e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2ec229b-343b-4d6f-9e02-34d4e1d436af">
      <Terms xmlns="http://schemas.microsoft.com/office/infopath/2007/PartnerControls"/>
    </lcf76f155ced4ddcb4097134ff3c332f>
    <TaxCatchAll xmlns="9ad78caa-eddf-4845-a67d-c2d2a07015ed" xsi:nil="true"/>
  </documentManagement>
</p:properties>
</file>

<file path=customXml/itemProps1.xml><?xml version="1.0" encoding="utf-8"?>
<ds:datastoreItem xmlns:ds="http://schemas.openxmlformats.org/officeDocument/2006/customXml" ds:itemID="{6CFB35D7-9BF2-42A7-803D-D3D00D0C61D0}"/>
</file>

<file path=customXml/itemProps2.xml><?xml version="1.0" encoding="utf-8"?>
<ds:datastoreItem xmlns:ds="http://schemas.openxmlformats.org/officeDocument/2006/customXml" ds:itemID="{85923E01-F7BF-4B87-8D28-8492F1D6439D}"/>
</file>

<file path=customXml/itemProps3.xml><?xml version="1.0" encoding="utf-8"?>
<ds:datastoreItem xmlns:ds="http://schemas.openxmlformats.org/officeDocument/2006/customXml" ds:itemID="{39D0E64D-3CCD-43C8-B7EE-B4FA05CCB398}"/>
</file>

<file path=docProps/app.xml><?xml version="1.0" encoding="utf-8"?>
<Properties xmlns="http://schemas.openxmlformats.org/officeDocument/2006/extended-properties" xmlns:vt="http://schemas.openxmlformats.org/officeDocument/2006/docPropsVTypes">
  <Template>Normal</Template>
  <TotalTime>10</TotalTime>
  <Pages>4</Pages>
  <Words>1459</Words>
  <Characters>8027</Characters>
  <Application>Microsoft Office Word</Application>
  <DocSecurity>0</DocSecurity>
  <Lines>66</Lines>
  <Paragraphs>18</Paragraphs>
  <ScaleCrop>false</ScaleCrop>
  <HeadingPairs>
    <vt:vector size="2" baseType="variant">
      <vt:variant>
        <vt:lpstr>Titre</vt:lpstr>
      </vt:variant>
      <vt:variant>
        <vt:i4>1</vt:i4>
      </vt:variant>
    </vt:vector>
  </HeadingPairs>
  <TitlesOfParts>
    <vt:vector size="1" baseType="lpstr">
      <vt:lpstr/>
    </vt:vector>
  </TitlesOfParts>
  <Company>La Rochelle Université</Company>
  <LinksUpToDate>false</LinksUpToDate>
  <CharactersWithSpaces>9468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Catherine Herault-Fournier</dc:creator>
  <cp:keywords/>
  <dc:description/>
  <cp:lastModifiedBy>Catherine Herault-Fournier</cp:lastModifiedBy>
  <cp:revision>1</cp:revision>
  <dcterms:created xsi:type="dcterms:W3CDTF">2026-07-15T14:09:00Z</dcterms:created>
  <dcterms:modified xsi:type="dcterms:W3CDTF">2026-07-15T14:21:00Z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0x010100726E5905B0D01A4480806B69DB8F042A</vt:lpwstr>
  </property>
</Properties>
</file>