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35265931925142e8a4d08e2c3005461617d817"/>
    <w:p>
      <w:pPr>
        <w:pStyle w:val="Heading1"/>
      </w:pPr>
      <w:r>
        <w:t xml:space="preserve">Relecture ciblée « delta » — ajouts de littérature et Discussion</w:t>
      </w:r>
    </w:p>
    <w:p>
      <w:pPr>
        <w:pStyle w:val="FirstParagraph"/>
      </w:pPr>
      <w:r>
        <w:rPr>
          <w:b/>
          <w:bCs/>
        </w:rPr>
        <w:t xml:space="preserve">Manuscrit :</w:t>
      </w:r>
      <w:r>
        <w:t xml:space="preserve"> </w:t>
      </w:r>
      <w:r>
        <w:t xml:space="preserve">« Beaucoup l’essaient, peu l’adoptent » (version enrichie des apports AMT)</w:t>
      </w:r>
      <w:r>
        <w:t xml:space="preserve"> </w:t>
      </w:r>
      <w:r>
        <w:rPr>
          <w:b/>
          <w:bCs/>
        </w:rPr>
        <w:t xml:space="preserve">Périmètre :</w:t>
      </w:r>
      <w:r>
        <w:t xml:space="preserve"> </w:t>
      </w:r>
      <w:r>
        <w:t xml:space="preserve">le seul matériel</w:t>
      </w:r>
      <w:r>
        <w:t xml:space="preserve"> </w:t>
      </w:r>
      <w:r>
        <w:rPr>
          <w:b/>
          <w:bCs/>
        </w:rPr>
        <w:t xml:space="preserve">nouveau</w:t>
      </w:r>
      <w:r>
        <w:t xml:space="preserve"> </w:t>
      </w:r>
      <w:r>
        <w:t xml:space="preserve">— sous-section « Pourquoi les ménages combinent-ils les canaux ? » + section « Discussion des résultats » + 7 références. Le cœur empirique (données, chiffres, méthode, résultats), déjà validé aux Stades 3′ et 4.5,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rouvert.</w:t>
      </w:r>
      <w:r>
        <w:t xml:space="preserve"> </w:t>
      </w:r>
      <w:r>
        <w:rPr>
          <w:b/>
          <w:bCs/>
        </w:rPr>
        <w:t xml:space="preserve">Objectifs :</w:t>
      </w:r>
      <w:r>
        <w:t xml:space="preserve"> </w:t>
      </w:r>
      <w:r>
        <w:t xml:space="preserve">(1) fidélité des citations, (2) risque de sur-interprétation, (3) cohérence interne.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8 juillet 2026.</w:t>
      </w:r>
    </w:p>
    <w:p>
      <w:r>
        <w:pict>
          <v:rect style="width:0;height:1.5pt" o:hralign="center" o:hrstd="t" o:hr="t"/>
        </w:pict>
      </w:r>
    </w:p>
    <w:bookmarkStart w:id="9" w:name="X3988d79c30205d961de5899c5d3cafda7054245"/>
    <w:p>
      <w:pPr>
        <w:pStyle w:val="Heading2"/>
      </w:pPr>
      <w:r>
        <w:t xml:space="preserve">1. Fidélité des citations (les 7 références nouvelles)</w:t>
      </w:r>
    </w:p>
    <w:p>
      <w:pPr>
        <w:pStyle w:val="FirstParagraph"/>
      </w:pPr>
      <w:r>
        <w:t xml:space="preserve">Chaque source a été confrontée à ce que le manuscrit lui fait dire (et non seulement à son existence, déjà vérifiée).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2933"/>
        <w:gridCol w:w="2053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Claim du manuscrit</w:t>
            </w:r>
          </w:p>
        </w:tc>
        <w:tc>
          <w:tcPr/>
          <w:p>
            <w:pPr>
              <w:pStyle w:val="Compact"/>
            </w:pPr>
            <w:r>
              <w:t xml:space="preserve">Vérification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Vroegrijk et al. (2013)</w:t>
            </w:r>
          </w:p>
        </w:tc>
        <w:tc>
          <w:tcPr/>
          <w:p>
            <w:pPr>
              <w:pStyle w:val="Compact"/>
            </w:pPr>
            <w:r>
              <w:t xml:space="preserve">Ce sont les ménages déjà multi-enseignes qui adoptent un nouveau format en complément</w:t>
            </w:r>
          </w:p>
        </w:tc>
        <w:tc>
          <w:tcPr/>
          <w:p>
            <w:pPr>
              <w:pStyle w:val="Compact"/>
            </w:pPr>
            <w:r>
              <w:t xml:space="preserve">Résultat exact du papier (les mono-magasins ne basculent pas ; les multi-magasins voient le HD comme complémentaire)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fidèle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Melis et al. (2016)</w:t>
            </w:r>
          </w:p>
        </w:tc>
        <w:tc>
          <w:tcPr/>
          <w:p>
            <w:pPr>
              <w:pStyle w:val="Compact"/>
            </w:pPr>
            <w:r>
              <w:t xml:space="preserve">L’ajout d’un canal</w:t>
            </w:r>
            <w:r>
              <w:t xml:space="preserve"> </w:t>
            </w:r>
            <w:r>
              <w:rPr>
                <w:i/>
                <w:iCs/>
              </w:rPr>
              <w:t xml:space="preserve">peut</w:t>
            </w:r>
            <w:r>
              <w:t xml:space="preserve"> </w:t>
            </w:r>
            <w:r>
              <w:t xml:space="preserve">élargir la part de portefeuille plutôt que la redistribuer</w:t>
            </w:r>
          </w:p>
        </w:tc>
        <w:tc>
          <w:tcPr/>
          <w:p>
            <w:pPr>
              <w:pStyle w:val="Compact"/>
            </w:pPr>
            <w:r>
              <w:t xml:space="preserve">Papier conditionnel (« when does… ») ; hedge « peut » approprié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fidèle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Hino (2014)</w:t>
            </w:r>
          </w:p>
        </w:tc>
        <w:tc>
          <w:tcPr/>
          <w:p>
            <w:pPr>
              <w:pStyle w:val="Compact"/>
            </w:pPr>
            <w:r>
              <w:t xml:space="preserve">Usage sélectif des formats par fonction, non fidélité générale</w:t>
            </w:r>
          </w:p>
        </w:tc>
        <w:tc>
          <w:tcPr/>
          <w:p>
            <w:pPr>
              <w:pStyle w:val="Compact"/>
            </w:pPr>
            <w:r>
              <w:t xml:space="preserve">Cœur du papier (« selective use patterns »)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fidèle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Harris et al. (2018, 2021)</w:t>
            </w:r>
          </w:p>
        </w:tc>
        <w:tc>
          <w:tcPr/>
          <w:p>
            <w:pPr>
              <w:pStyle w:val="Compact"/>
            </w:pPr>
            <w:r>
              <w:t xml:space="preserve">Configuration du parcours selon la hiérarchie de buts (abstraits/concrets)</w:t>
            </w:r>
          </w:p>
        </w:tc>
        <w:tc>
          <w:tcPr/>
          <w:p>
            <w:pPr>
              <w:pStyle w:val="Compact"/>
            </w:pPr>
            <w:r>
              <w:t xml:space="preserve">Fidèle sur les niveaux d’abstraction —</w:t>
            </w:r>
            <w:r>
              <w:t xml:space="preserve"> </w:t>
            </w:r>
            <w:r>
              <w:rPr>
                <w:b/>
                <w:bCs/>
              </w:rPr>
              <w:t xml:space="preserve">mais</w:t>
            </w:r>
            <w:r>
              <w:t xml:space="preserve"> </w:t>
            </w:r>
            <w:r>
              <w:t xml:space="preserve">« évolue dans le temps » non établi (étude transversale, 76 parcours)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corrigé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Pauwels &amp; Neslin (2015)</w:t>
            </w:r>
          </w:p>
        </w:tc>
        <w:tc>
          <w:tcPr/>
          <w:p>
            <w:pPr>
              <w:pStyle w:val="Compact"/>
            </w:pPr>
            <w:r>
              <w:t xml:space="preserve">Ouverture de magasin : +20 % de CA « plutôt qu’elle ne cannibalise »</w:t>
            </w:r>
          </w:p>
        </w:tc>
        <w:tc>
          <w:tcPr/>
          <w:p>
            <w:pPr>
              <w:pStyle w:val="Compact"/>
            </w:pPr>
            <w:r>
              <w:t xml:space="preserve">Le CA net monte de 20 %</w:t>
            </w:r>
            <w:r>
              <w:t xml:space="preserve"> </w:t>
            </w:r>
            <w:r>
              <w:rPr>
                <w:b/>
                <w:bCs/>
              </w:rPr>
              <w:t xml:space="preserve">mais</w:t>
            </w:r>
            <w:r>
              <w:t xml:space="preserve"> </w:t>
            </w:r>
            <w:r>
              <w:t xml:space="preserve">il y a bien cannibalisation (catalogue), compensée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corrigé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 Tran &amp; Sirieix (2020)</w:t>
            </w:r>
          </w:p>
        </w:tc>
        <w:tc>
          <w:tcPr/>
          <w:p>
            <w:pPr>
              <w:pStyle w:val="Compact"/>
            </w:pPr>
            <w:r>
              <w:t xml:space="preserve">« Déplacent le regard des attributs vers les pratiques » (move théorique attribué)</w:t>
            </w:r>
          </w:p>
        </w:tc>
        <w:tc>
          <w:tcPr/>
          <w:p>
            <w:pPr>
              <w:pStyle w:val="Compact"/>
            </w:pPr>
            <w:r>
              <w:t xml:space="preserve">Papier descriptif de pratiques de cross-shopping (Hanoï) — le move théorique n’est pas explicitement le leur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allégé</w:t>
            </w:r>
          </w:p>
        </w:tc>
      </w:tr>
    </w:tbl>
    <w:p>
      <w:pPr>
        <w:pStyle w:val="BodyText"/>
      </w:pPr>
      <w:r>
        <w:rPr>
          <w:b/>
          <w:bCs/>
        </w:rPr>
        <w:t xml:space="preserve">Trois corrections appliquées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Pauwels &amp; Neslin</w:t>
      </w:r>
      <w:r>
        <w:t xml:space="preserve"> </w:t>
      </w:r>
      <w:r>
        <w:t xml:space="preserve">→ « la logique de complémentarité</w:t>
      </w:r>
      <w:r>
        <w:t xml:space="preserve"> </w:t>
      </w:r>
      <w:r>
        <w:rPr>
          <w:b/>
          <w:bCs/>
        </w:rPr>
        <w:t xml:space="preserve">l’emportant sur</w:t>
      </w:r>
      <w:r>
        <w:t xml:space="preserve"> </w:t>
      </w:r>
      <w:r>
        <w:t xml:space="preserve">la cannibalisation » (au lieu de « plutôt qu’elle ne cannibalise »). Fidèle : la cannibalisation existe, mais le solde net est positif.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Harris et al.</w:t>
      </w:r>
      <w:r>
        <w:t xml:space="preserve"> </w:t>
      </w:r>
      <w:r>
        <w:t xml:space="preserve">→ «</w:t>
      </w:r>
      <w:r>
        <w:t xml:space="preserve"> </w:t>
      </w:r>
      <w:r>
        <w:rPr>
          <w:b/>
          <w:bCs/>
        </w:rPr>
        <w:t xml:space="preserve">diffère d’une situation à l’autre</w:t>
      </w:r>
      <w:r>
        <w:t xml:space="preserve"> </w:t>
      </w:r>
      <w:r>
        <w:t xml:space="preserve">pour un même ménage » (au lieu de « évolue dans le temps »). Fidèle à l’hétérogénéité inter-contextes documentée, sans revendiquer une dynamique temporelle non testée.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Hai Tran &amp; Sirieix</w:t>
      </w:r>
      <w:r>
        <w:t xml:space="preserve"> </w:t>
      </w:r>
      <w:r>
        <w:t xml:space="preserve">→ «</w:t>
      </w:r>
      <w:r>
        <w:t xml:space="preserve"> </w:t>
      </w:r>
      <w:r>
        <w:rPr>
          <w:b/>
          <w:bCs/>
        </w:rPr>
        <w:t xml:space="preserve">documentent ces combinaisons du point de vue des pratiques d’achat</w:t>
      </w:r>
      <w:r>
        <w:t xml:space="preserve"> </w:t>
      </w:r>
      <w:r>
        <w:t xml:space="preserve">» (citation de soutien, sans move méta-théorique attribué).</w:t>
      </w:r>
    </w:p>
    <w:p>
      <w:pPr>
        <w:pStyle w:val="BodyText"/>
      </w:pPr>
      <w:r>
        <w:rPr>
          <w:b/>
          <w:bCs/>
        </w:rPr>
        <w:t xml:space="preserve">Rappel (corrections antérieures, au moment de l’intégration) :</w:t>
      </w:r>
      <w:r>
        <w:t xml:space="preserve"> </w:t>
      </w:r>
      <w:r>
        <w:t xml:space="preserve">deux prénoms d’auteur du document source rectifiés après vérification — Hino</w:t>
      </w:r>
      <w:r>
        <w:t xml:space="preserve"> </w:t>
      </w:r>
      <w:r>
        <w:rPr>
          <w:b/>
          <w:bCs/>
        </w:rPr>
        <w:t xml:space="preserve">Hayiel</w:t>
      </w:r>
      <w:r>
        <w:t xml:space="preserve"> </w:t>
      </w:r>
      <w:r>
        <w:t xml:space="preserve">(et non Hikari) ; Harris</w:t>
      </w:r>
      <w:r>
        <w:t xml:space="preserve"> </w:t>
      </w:r>
      <w:r>
        <w:rPr>
          <w:b/>
          <w:bCs/>
        </w:rPr>
        <w:t xml:space="preserve">Patricia</w:t>
      </w:r>
      <w:r>
        <w:t xml:space="preserve"> </w:t>
      </w:r>
      <w:r>
        <w:t xml:space="preserve">(et non Phil).</w:t>
      </w:r>
    </w:p>
    <w:bookmarkEnd w:id="9"/>
    <w:bookmarkStart w:id="10" w:name="risque-de-sur-interprétation"/>
    <w:p>
      <w:pPr>
        <w:pStyle w:val="Heading2"/>
      </w:pPr>
      <w:r>
        <w:t xml:space="preserve">2. Risque de sur-interprétation</w:t>
      </w:r>
    </w:p>
    <w:p>
      <w:pPr>
        <w:pStyle w:val="Compact"/>
        <w:numPr>
          <w:ilvl w:val="0"/>
          <w:numId w:val="1001"/>
        </w:numPr>
      </w:pPr>
      <w:r>
        <w:t xml:space="preserve">L’analogie distribution ↔ alimentation directe (Pauwels &amp; Neslin) est</w:t>
      </w:r>
      <w:r>
        <w:t xml:space="preserve"> </w:t>
      </w:r>
      <w:r>
        <w:rPr>
          <w:b/>
          <w:bCs/>
        </w:rPr>
        <w:t xml:space="preserve">explicitement présentée comme une analogie</w:t>
      </w:r>
      <w:r>
        <w:t xml:space="preserve"> </w:t>
      </w:r>
      <w:r>
        <w:t xml:space="preserve">(« De même que… », « à l’échelle du ménage »), non comme une équivalence — acceptable.</w:t>
      </w:r>
    </w:p>
    <w:p>
      <w:pPr>
        <w:pStyle w:val="Compact"/>
        <w:numPr>
          <w:ilvl w:val="0"/>
          <w:numId w:val="1001"/>
        </w:numPr>
      </w:pPr>
      <w:r>
        <w:t xml:space="preserve">La théorie des buts «</w:t>
      </w:r>
      <w:r>
        <w:t xml:space="preserve"> </w:t>
      </w:r>
      <w:r>
        <w:rPr>
          <w:b/>
          <w:bCs/>
        </w:rPr>
        <w:t xml:space="preserve">éclaire pourquoi</w:t>
      </w:r>
      <w:r>
        <w:t xml:space="preserve"> </w:t>
      </w:r>
      <w:r>
        <w:t xml:space="preserve">» l’usage est peu intensif : verbe modeste, pas de prétention explicative forte — acceptable.</w:t>
      </w:r>
    </w:p>
    <w:p>
      <w:pPr>
        <w:pStyle w:val="Compact"/>
        <w:numPr>
          <w:ilvl w:val="0"/>
          <w:numId w:val="1001"/>
        </w:numPr>
      </w:pPr>
      <w:r>
        <w:t xml:space="preserve">« Conséquence logique de sa fonction » est posé comme une</w:t>
      </w:r>
      <w:r>
        <w:t xml:space="preserve"> </w:t>
      </w:r>
      <w:r>
        <w:rPr>
          <w:b/>
          <w:bCs/>
        </w:rPr>
        <w:t xml:space="preserve">lecture</w:t>
      </w:r>
      <w:r>
        <w:t xml:space="preserve"> </w:t>
      </w:r>
      <w:r>
        <w:t xml:space="preserve">(« lu à la lumière de… »), non comme un fait démontré — acceptable.</w:t>
      </w:r>
    </w:p>
    <w:p>
      <w:pPr>
        <w:pStyle w:val="FirstParagraph"/>
      </w:pPr>
      <w:r>
        <w:t xml:space="preserve">Aucune sur-interprétation résiduelle après corrections.</w:t>
      </w:r>
    </w:p>
    <w:bookmarkEnd w:id="10"/>
    <w:bookmarkStart w:id="11" w:name="cohérence-interne"/>
    <w:p>
      <w:pPr>
        <w:pStyle w:val="Heading2"/>
      </w:pPr>
      <w:r>
        <w:t xml:space="preserve">3. Cohérence interne</w:t>
      </w:r>
    </w:p>
    <w:p>
      <w:pPr>
        <w:pStyle w:val="Compact"/>
        <w:numPr>
          <w:ilvl w:val="0"/>
          <w:numId w:val="1002"/>
        </w:numPr>
      </w:pPr>
      <w:r>
        <w:t xml:space="preserve">La Discussion ne réintroduit</w:t>
      </w:r>
      <w:r>
        <w:t xml:space="preserve"> </w:t>
      </w:r>
      <w:r>
        <w:rPr>
          <w:b/>
          <w:bCs/>
        </w:rPr>
        <w:t xml:space="preserve">aucun chiffre</w:t>
      </w:r>
      <w:r>
        <w:t xml:space="preserve"> </w:t>
      </w:r>
      <w:r>
        <w:t xml:space="preserve">absent des résultats (audit de traçabilité inchangé : 124/124).</w:t>
      </w:r>
    </w:p>
    <w:p>
      <w:pPr>
        <w:pStyle w:val="Compact"/>
        <w:numPr>
          <w:ilvl w:val="0"/>
          <w:numId w:val="1002"/>
        </w:numPr>
      </w:pPr>
      <w:r>
        <w:t xml:space="preserve">La nuance « le gradient diplôme ne vaut que pour l’essai, pas l’adoption » est</w:t>
      </w:r>
      <w:r>
        <w:t xml:space="preserve"> </w:t>
      </w:r>
      <w:r>
        <w:rPr>
          <w:b/>
          <w:bCs/>
        </w:rPr>
        <w:t xml:space="preserve">maintenue</w:t>
      </w:r>
      <w:r>
        <w:t xml:space="preserve"> </w:t>
      </w:r>
      <w:r>
        <w:t xml:space="preserve">dans la Discussion, cohérente avec la section déterminants et avec le résultat d’intégrité surfacé au Stade 4.</w:t>
      </w:r>
    </w:p>
    <w:p>
      <w:pPr>
        <w:pStyle w:val="Compact"/>
        <w:numPr>
          <w:ilvl w:val="0"/>
          <w:numId w:val="1002"/>
        </w:numPr>
      </w:pPr>
      <w:r>
        <w:t xml:space="preserve">Les trois sous-parties de la Discussion correspondent aux trois déplacements annoncés en introduction — pas de tension nouvelle.</w:t>
      </w:r>
    </w:p>
    <w:p>
      <w:r>
        <w:pict>
          <v:rect style="width:0;height:1.5pt" o:hralign="center" o:hrstd="t" o:hr="t"/>
        </w:pict>
      </w:r>
    </w:p>
    <w:bookmarkEnd w:id="11"/>
    <w:bookmarkStart w:id="12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Relecture ciblée : PASS après trois corrections de fidélité.</w:t>
      </w:r>
      <w:r>
        <w:t xml:space="preserve"> </w:t>
      </w:r>
      <w:r>
        <w:t xml:space="preserve">Les ajouts renforcent la contribution théorique sans introduire de sur-revendication. Aucun impact sur l’empirie (déjà validée). Contrôles post-correction :</w:t>
      </w:r>
      <w:r>
        <w:t xml:space="preserve"> </w:t>
      </w:r>
      <w:r>
        <w:rPr>
          <w:b/>
          <w:bCs/>
        </w:rPr>
        <w:t xml:space="preserve">7 986 mots</w:t>
      </w:r>
      <w:r>
        <w:t xml:space="preserve"> </w:t>
      </w:r>
      <w:r>
        <w:t xml:space="preserve">(&lt; 8 000),</w:t>
      </w:r>
      <w:r>
        <w:t xml:space="preserve"> </w:t>
      </w:r>
      <w:r>
        <w:rPr>
          <w:b/>
          <w:bCs/>
        </w:rPr>
        <w:t xml:space="preserve">29 références</w:t>
      </w:r>
      <w:r>
        <w:t xml:space="preserve"> </w:t>
      </w:r>
      <w:r>
        <w:t xml:space="preserve">(0 orpheline),</w:t>
      </w:r>
      <w:r>
        <w:t xml:space="preserve"> </w:t>
      </w:r>
      <w:r>
        <w:rPr>
          <w:b/>
          <w:bCs/>
        </w:rPr>
        <w:t xml:space="preserve">124/124</w:t>
      </w:r>
      <w:r>
        <w:t xml:space="preserve"> </w:t>
      </w:r>
      <w:r>
        <w:t xml:space="preserve">chiffres tracés.</w:t>
      </w:r>
    </w:p>
    <w:p>
      <w:pPr>
        <w:pStyle w:val="BodyText"/>
      </w:pPr>
      <w:r>
        <w:rPr>
          <w:i/>
          <w:iCs/>
        </w:rPr>
        <w:t xml:space="preserve">Note : cette relecture reste une vérification interne. Le matériel nouveau — comme le reste — sera jugé en dernier ressort par le comité de lecture de</w:t>
      </w:r>
      <w:r>
        <w:t xml:space="preserve"> </w:t>
      </w:r>
      <w:r>
        <w:t xml:space="preserve">Décisions Marketing.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Relecture ciblée produite par le pipeline ARS. Relecteur en lecture seule pour l’évaluation ; les corrections de fidélité ont été appliquées séparément au manuscrit.</w:t>
      </w:r>
    </w:p>
    <w:bookmarkEnd w:id="12"/>
    <w:bookmarkEnd w:id="13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360" w:lineRule="auto"/>
      <w:contextualSpacing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2026-07-15T14:52:17Z</dcterms:created>
  <dcterms:modified xsi:type="dcterms:W3CDTF">2026-07-15T14:52:17Z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