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Also claim quadratic dependency to linear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Universal approximator of sequence functions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Turing complete, preserving properties of quadratic, full attention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Benefits of O(1) global tokens (such as CLS) that attend to entire sequence as part of the sparse attention mechanism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handle sequences of length 8x what was previously possible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Improves performance on NLP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because attention isn’t complete, accuracy is still higher because more context?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Pretrain- fine tune paradigm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Attention lets each token to be processed in parallel which is better than LSTM or RNN which needs to be sequential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Sequence length is very limited due to quadratic requirement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like QA and document classification need longer sequences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for extracting contextual representations of genomic sequences like DNA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Promoter- region and chromatin profile prediction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wasn’t clear from the design if self attention was as effective as RNNS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attention does not obey sequence order as it is permutation equivariant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Resolved as someone showed transformers are expressive enough to capture all continuous sequence to sequence functions with a compact domain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Someone else shows they are Turing complete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 we achieve the empirical benefits of a fully quadratic self-attention scheme using fewer inner-products? Do these sparse attention mechanisms preserve the expressivity and flexibility of the original network?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Sparse attention mechanism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inspiration from graph sparsification methods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where proof for expressiveness breaks down when full- attention is relaxed to form proposed attention pattern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tokens attending on all parts of sequence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tokens attending to a set of local neighbor tokens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tokens attending to a set of random tokens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Embraces length of limitation of transformer and develops methods around it such as sliding window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some other mechanism to select a smaller subset of relevant contexts to feed in the transformer and optionally iterate, call transformer block multiple times with different contexts each time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 significant engineering effort and are hard to train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that do not require full attention, reducing memory and computation requirements (this paper)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12807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280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is a “sparse shift operator”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“Turing completeness”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Limitations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