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gen3-app-strategy-alignment"/>
    <w:p>
      <w:pPr>
        <w:pStyle w:val="Heading1"/>
      </w:pPr>
      <w:r>
        <w:t xml:space="preserve">Gen3 App — Strategy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 Objective</w:t>
            </w:r>
          </w:p>
        </w:tc>
        <w:tc>
          <w:tcPr/>
          <w:p>
            <w:pPr>
              <w:pStyle w:val="Compact"/>
            </w:pPr>
            <w:r>
              <w:t xml:space="preserve">How the App Delivers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Contact &amp; Recall Safety</w:t>
            </w:r>
            <w:r>
              <w:t xml:space="preserve"> </w:t>
            </w:r>
            <w:r>
              <w:t xml:space="preserve">— Direct contact with every registered customer for safety notices</w:t>
            </w:r>
          </w:p>
        </w:tc>
        <w:tc>
          <w:tcPr/>
          <w:p>
            <w:pPr>
              <w:pStyle w:val="Compact"/>
            </w:pPr>
            <w:r>
              <w:t xml:space="preserve">Mandatory registration at setup captures email/phone. Push notifications (FCM) reach all users instantly. Notification templates allow targeting by role, hardware version, or specific user.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Upsell &amp; Lifecycle Value</w:t>
            </w:r>
            <w:r>
              <w:t xml:space="preserve"> </w:t>
            </w:r>
            <w:r>
              <w:t xml:space="preserve">— Increase customer lifetime value through accessories, servicing, new scooters</w:t>
            </w:r>
          </w:p>
        </w:tc>
        <w:tc>
          <w:tcPr/>
          <w:p>
            <w:pPr>
              <w:pStyle w:val="Compact"/>
            </w:pPr>
            <w:r>
              <w:t xml:space="preserve">In-app Intercom messaging enables direct sales conversations. Push notification system supports promotional campaigns to segmented audiences.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Usage Confirmation &amp; Protection</w:t>
            </w:r>
            <w:r>
              <w:t xml:space="preserve"> </w:t>
            </w:r>
            <w:r>
              <w:t xml:space="preserve">— Confirm customers have read safety instructions before riding</w:t>
            </w:r>
          </w:p>
        </w:tc>
        <w:tc>
          <w:tcPr/>
          <w:p>
            <w:pPr>
              <w:pStyle w:val="Compact"/>
            </w:pPr>
            <w:r>
              <w:t xml:space="preserve">Terms &amp; Conditions system enforces acceptance before app use. Version-controlled T&amp;C with region/language support. Full audit trail (IP, device, time-to-read).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Future-Proofing for Leasing &amp; Connected Services</w:t>
            </w:r>
            <w:r>
              <w:t xml:space="preserve"> </w:t>
            </w:r>
            <w:r>
              <w:t xml:space="preserve">— Scooter lockout for finance defaults, usage-based services</w:t>
            </w:r>
          </w:p>
        </w:tc>
        <w:tc>
          <w:tcPr/>
          <w:p>
            <w:pPr>
              <w:pStyle w:val="Compact"/>
            </w:pPr>
            <w:r>
              <w:t xml:space="preserve">PIN-secured scooter lock/unlock via BLE. Remote lock capability per scooter. User-scooter ownership tracking in database.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 Integration</w:t>
            </w:r>
            <w:r>
              <w:t xml:space="preserve"> </w:t>
            </w:r>
            <w:r>
              <w:t xml:space="preserve">— BLE/Wi-Fi diagnostics, firmware updates, usage logging</w:t>
            </w:r>
          </w:p>
        </w:tc>
        <w:tc>
          <w:tcPr/>
          <w:p>
            <w:pPr>
              <w:pStyle w:val="Compact"/>
            </w:pPr>
            <w:r>
              <w:t xml:space="preserve">Full BLE telemetry (speed, battery, odometer, range). Over-the-air firmware updates. Telemetry logging to cloud on every connection. Headlight, cruise, and lock control via BLE commands.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App-First Support Experience</w:t>
            </w:r>
            <w:r>
              <w:t xml:space="preserve"> </w:t>
            </w:r>
            <w:r>
              <w:t xml:space="preserve">— Troubleshooting tools and issue tracking</w:t>
            </w:r>
          </w:p>
        </w:tc>
        <w:tc>
          <w:tcPr/>
          <w:p>
            <w:pPr>
              <w:pStyle w:val="Compact"/>
            </w:pPr>
            <w:r>
              <w:t xml:space="preserve">Intercom SDK with Fin AI agent for automated support. In-app message composer and conversation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 &amp; Early Warning System</w:t>
            </w:r>
            <w:r>
              <w:t xml:space="preserve"> </w:t>
            </w:r>
            <w:r>
              <w:t xml:space="preserve">— Field data to flag high-frequency issues pre-emptively</w:t>
            </w:r>
          </w:p>
        </w:tc>
        <w:tc>
          <w:tcPr/>
          <w:p>
            <w:pPr>
              <w:pStyle w:val="Compact"/>
            </w:pPr>
            <w:r>
              <w:t xml:space="preserve">Every BLE connection logs firmware versions, battery health (SOC, voltage, current, temperature), and odometer to Supabase. Data queryable by hardware version, region, and distributor.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Distributor-Led Global Expansion</w:t>
            </w:r>
            <w:r>
              <w:t xml:space="preserve"> </w:t>
            </w:r>
            <w:r>
              <w:t xml:space="preserve">— Scale through partners with minimal HQ overhead</w:t>
            </w:r>
          </w:p>
        </w:tc>
        <w:tc>
          <w:tcPr/>
          <w:p>
            <w:pPr>
              <w:pStyle w:val="Compact"/>
            </w:pPr>
            <w:r>
              <w:t xml:space="preserve">Distributor portal (web-admin) for scooter management, firmware uploads, and telemetry review. Role-based access (admin/manager/normal). Region-aware T&amp;C and notifications.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 Excellence &amp; Lean Operations</w:t>
            </w:r>
            <w:r>
              <w:t xml:space="preserve"> </w:t>
            </w:r>
            <w:r>
              <w:t xml:space="preserve">— Data-driven decisions, automation</w:t>
            </w:r>
          </w:p>
        </w:tc>
        <w:tc>
          <w:tcPr/>
          <w:p>
            <w:pPr>
              <w:pStyle w:val="Compact"/>
            </w:pPr>
            <w:r>
              <w:t xml:space="preserve">Automated firmware update notifications when new firmware is published. Notification templates with triggers (firmware update, scooter status, scheduled). Cloud-based scooter registry updated automatically on connection.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Testing &amp; QA</w:t>
            </w:r>
            <w:r>
              <w:t xml:space="preserve"> </w:t>
            </w:r>
            <w:r>
              <w:t xml:space="preserve">— Real-world usage data beyond lab testing</w:t>
            </w:r>
          </w:p>
        </w:tc>
        <w:tc>
          <w:tcPr/>
          <w:p>
            <w:pPr>
              <w:pStyle w:val="Compact"/>
            </w:pPr>
            <w:r>
              <w:t xml:space="preserve">Real-world telemetry from every connected scooter: ride patterns, battery degradation, environmental conditions. Data segmented by hardware version and geography.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 Advantage</w:t>
            </w:r>
            <w:r>
              <w:t xml:space="preserve"> </w:t>
            </w:r>
            <w:r>
              <w:t xml:space="preserve">— Every scooter sold improves economics</w:t>
            </w:r>
          </w:p>
        </w:tc>
        <w:tc>
          <w:tcPr/>
          <w:p>
            <w:pPr>
              <w:pStyle w:val="Compact"/>
            </w:pPr>
            <w:r>
              <w:t xml:space="preserve">App infrastructure scales at near-zero marginal cost. Estimated platform cost at 100K connections/month: ~£55–£95/month (see cost table below). Self-service support via Fin AI at £0.72/resolution vs ~£4–£11 for human-handled tickets.</w:t>
            </w:r>
          </w:p>
        </w:tc>
      </w:tr>
    </w:tbl>
    <w:bookmarkStart w:id="10" w:name="X23c45ad1788791f8e7a8764ced4673cf5a4218e"/>
    <w:p>
      <w:pPr>
        <w:pStyle w:val="Heading2"/>
      </w:pPr>
      <w:r>
        <w:t xml:space="preserve">Estimated Platform Costs at 100,000 Connections/Month</w:t>
      </w:r>
    </w:p>
    <w:p>
      <w:pPr>
        <w:pStyle w:val="FirstParagraph"/>
      </w:pPr>
      <w:r>
        <w:rPr>
          <w:i/>
          <w:iCs/>
        </w:rPr>
        <w:t xml:space="preserve">All costs converted at $1 = £0.73 (Feb 2026 rate). Services are billed in USD.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  <w:tc>
          <w:tcPr/>
          <w:p>
            <w:pPr>
              <w:pStyle w:val="Compact"/>
            </w:pPr>
            <w:r>
              <w:t xml:space="preserve">Usage at 100K Connections/Mo</w:t>
            </w:r>
          </w:p>
        </w:tc>
        <w:tc>
          <w:tcPr/>
          <w:p>
            <w:pPr>
              <w:pStyle w:val="Compact"/>
            </w:pPr>
            <w:r>
              <w:t xml:space="preserve">Est. Monthly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Pro</w:t>
            </w:r>
          </w:p>
        </w:tc>
        <w:tc>
          <w:tcPr/>
          <w:p>
            <w:pPr>
              <w:pStyle w:val="Compact"/>
            </w:pPr>
            <w:r>
              <w:t xml:space="preserve">Database, Edge Functions (2M included), 8GB storage included</w:t>
            </w:r>
          </w:p>
        </w:tc>
        <w:tc>
          <w:tcPr/>
          <w:p>
            <w:pPr>
              <w:pStyle w:val="Compact"/>
            </w:pPr>
            <w:r>
              <w:t xml:space="preserve">~400K Edge Function calls, ~100K telemetry 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Compute</w:t>
            </w:r>
          </w:p>
        </w:tc>
        <w:tc>
          <w:tcPr/>
          <w:p>
            <w:pPr>
              <w:pStyle w:val="Compact"/>
            </w:pPr>
            <w:r>
              <w:t xml:space="preserve">Dedicated Postgres instance</w:t>
            </w:r>
          </w:p>
        </w:tc>
        <w:tc>
          <w:tcPr/>
          <w:p>
            <w:pPr>
              <w:pStyle w:val="Compact"/>
            </w:pPr>
            <w:r>
              <w:t xml:space="preserve">May need upgrade at scale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£0–£37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Storage Overage</w:t>
            </w:r>
          </w:p>
        </w:tc>
        <w:tc>
          <w:tcPr/>
          <w:p>
            <w:pPr>
              <w:pStyle w:val="Compact"/>
            </w:pPr>
            <w:r>
              <w:t xml:space="preserve">Database storage beyond 8GB included (£0.09/GB)</w:t>
            </w:r>
          </w:p>
        </w:tc>
        <w:tc>
          <w:tcPr/>
          <w:p>
            <w:pPr>
              <w:pStyle w:val="Compact"/>
            </w:pPr>
            <w:r>
              <w:t xml:space="preserve">See storage growth table below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£0–£7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SendGrid</w:t>
            </w:r>
          </w:p>
        </w:tc>
        <w:tc>
          <w:tcPr/>
          <w:p>
            <w:pPr>
              <w:pStyle w:val="Compact"/>
            </w:pPr>
            <w:r>
              <w:t xml:space="preserve">Verification &amp; notification emails</w:t>
            </w:r>
          </w:p>
        </w:tc>
        <w:tc>
          <w:tcPr/>
          <w:p>
            <w:pPr>
              <w:pStyle w:val="Compact"/>
            </w:pPr>
            <w:r>
              <w:t xml:space="preserve">~10K emails (not every connection = new user)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£0–£15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 FCM</w:t>
            </w:r>
          </w:p>
        </w:tc>
        <w:tc>
          <w:tcPr/>
          <w:p>
            <w:pPr>
              <w:pStyle w:val="Compac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Unlimited — free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Intercom Essential</w:t>
            </w:r>
          </w:p>
        </w:tc>
        <w:tc>
          <w:tcPr/>
          <w:p>
            <w:pPr>
              <w:pStyle w:val="Compact"/>
            </w:pPr>
            <w:r>
              <w:t xml:space="preserve">In-app support + Fin AI</w:t>
            </w:r>
          </w:p>
        </w:tc>
        <w:tc>
          <w:tcPr/>
          <w:p>
            <w:pPr>
              <w:pStyle w:val="Compact"/>
            </w:pPr>
            <w:r>
              <w:t xml:space="preserve">1 seat + £0.72 per AI resolution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£21 + usage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total (excl. Fin AI resolutions)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~£55–£95/mo</w:t>
            </w:r>
          </w:p>
        </w:tc>
      </w:tr>
    </w:tbl>
    <w:bookmarkStart w:id="9" w:name="database-storage-growth"/>
    <w:p>
      <w:pPr>
        <w:pStyle w:val="Heading3"/>
      </w:pPr>
      <w:r>
        <w:t xml:space="preserve">Database Storage Growth</w:t>
      </w:r>
    </w:p>
    <w:p>
      <w:pPr>
        <w:pStyle w:val="FirstParagraph"/>
      </w:pPr>
      <w:r>
        <w:t xml:space="preserve">Each telemetry record is ~750 bytes. With indexes and overhead (~40%), effective storage per row is ~1 KB. Supabase Pro includes 8GB; overage is £0.09/GB.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Timeframe</w:t>
            </w:r>
          </w:p>
        </w:tc>
        <w:tc>
          <w:tcPr/>
          <w:p>
            <w:pPr>
              <w:pStyle w:val="Compact"/>
            </w:pPr>
            <w:r>
              <w:t xml:space="preserve">Telemetry Rows (cumulative)</w:t>
            </w:r>
          </w:p>
        </w:tc>
        <w:tc>
          <w:tcPr/>
          <w:p>
            <w:pPr>
              <w:pStyle w:val="Compact"/>
            </w:pPr>
            <w:r>
              <w:t xml:space="preserve">Est. DB Size (all tables + indexes)</w:t>
            </w:r>
          </w:p>
        </w:tc>
        <w:tc>
          <w:tcPr/>
          <w:p>
            <w:pPr>
              <w:pStyle w:val="Compact"/>
            </w:pPr>
            <w:r>
              <w:t xml:space="preserve">Storage Overage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1.2M</w:t>
            </w:r>
          </w:p>
        </w:tc>
        <w:tc>
          <w:tcPr/>
          <w:p>
            <w:pPr>
              <w:pStyle w:val="Compact"/>
            </w:pPr>
            <w:r>
              <w:t xml:space="preserve">~1.5 GB</w:t>
            </w:r>
          </w:p>
        </w:tc>
        <w:tc>
          <w:tcPr/>
          <w:p>
            <w:pPr>
              <w:pStyle w:val="Compact"/>
            </w:pPr>
            <w:r>
              <w:t xml:space="preserve">£0 (within 8GB)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2.4M</w:t>
            </w:r>
          </w:p>
        </w:tc>
        <w:tc>
          <w:tcPr/>
          <w:p>
            <w:pPr>
              <w:pStyle w:val="Compact"/>
            </w:pPr>
            <w:r>
              <w:t xml:space="preserve">~3.0 GB</w:t>
            </w:r>
          </w:p>
        </w:tc>
        <w:tc>
          <w:tcPr/>
          <w:p>
            <w:pPr>
              <w:pStyle w:val="Compact"/>
            </w:pPr>
            <w:r>
              <w:t xml:space="preserve">£0 (within 8GB)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3</w:t>
            </w:r>
          </w:p>
        </w:tc>
        <w:tc>
          <w:tcPr/>
          <w:p>
            <w:pPr>
              <w:pStyle w:val="Compact"/>
            </w:pPr>
            <w:r>
              <w:t xml:space="preserve">3.6M</w:t>
            </w:r>
          </w:p>
        </w:tc>
        <w:tc>
          <w:tcPr/>
          <w:p>
            <w:pPr>
              <w:pStyle w:val="Compact"/>
            </w:pPr>
            <w:r>
              <w:t xml:space="preserve">~4.5 GB</w:t>
            </w:r>
          </w:p>
        </w:tc>
        <w:tc>
          <w:tcPr/>
          <w:p>
            <w:pPr>
              <w:pStyle w:val="Compact"/>
            </w:pPr>
            <w:r>
              <w:t xml:space="preserve">£0 (within 8GB)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5</w:t>
            </w:r>
          </w:p>
        </w:tc>
        <w:tc>
          <w:tcPr/>
          <w:p>
            <w:pPr>
              <w:pStyle w:val="Compact"/>
            </w:pPr>
            <w:r>
              <w:t xml:space="preserve">6.0M</w:t>
            </w:r>
          </w:p>
        </w:tc>
        <w:tc>
          <w:tcPr/>
          <w:p>
            <w:pPr>
              <w:pStyle w:val="Compact"/>
            </w:pPr>
            <w:r>
              <w:t xml:space="preserve">~7.5 GB</w:t>
            </w:r>
          </w:p>
        </w:tc>
        <w:tc>
          <w:tcPr/>
          <w:p>
            <w:pPr>
              <w:pStyle w:val="Compact"/>
            </w:pPr>
            <w:r>
              <w:t xml:space="preserve">£0 (within 8GB)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5+</w:t>
            </w:r>
          </w:p>
        </w:tc>
        <w:tc>
          <w:tcPr/>
          <w:p>
            <w:pPr>
              <w:pStyle w:val="Compact"/>
            </w:pPr>
            <w:r>
              <w:t xml:space="preserve">&gt;6.0M</w:t>
            </w:r>
          </w:p>
        </w:tc>
        <w:tc>
          <w:tcPr/>
          <w:p>
            <w:pPr>
              <w:pStyle w:val="Compact"/>
            </w:pPr>
            <w:r>
              <w:t xml:space="preserve">&gt;8 GB</w:t>
            </w:r>
          </w:p>
        </w:tc>
        <w:tc>
          <w:tcPr/>
          <w:p>
            <w:pPr>
              <w:pStyle w:val="Compact"/>
            </w:pPr>
            <w:r>
              <w:t xml:space="preserve">~£0.09/GB/mo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These estimates assume 100K connections/month = 100K new telemetry rows/month. If the average scooter connects daily (e.g. 10K active scooters x 30 days = 300K rows/month), storage would grow 3x faster. At that rate, the 8GB limit would be reached in ~2 years, adding ~£1.50–£4/month in overage. Even at aggressive growth, storage costs remain negligible.</w:t>
      </w:r>
    </w:p>
    <w:p>
      <w:pPr>
        <w:pStyle w:val="BodyText"/>
      </w:pPr>
      <w:r>
        <w:rPr>
          <w:b/>
          <w:bCs/>
        </w:rPr>
        <w:t xml:space="preserve">Intercom Fin AI:</w:t>
      </w:r>
      <w:r>
        <w:t xml:space="preserve"> </w:t>
      </w:r>
      <w:r>
        <w:t xml:space="preserve">Resolutions are billed at £0.72 each. At low support volumes (e.g. 2% of users contact support, 70% resolved by AI) this adds ~£1,020/month. This is significantly cheaper than staffing human agents across multiple markets and languages.</w:t>
      </w:r>
    </w:p>
    <w:p>
      <w:pPr>
        <w:pStyle w:val="BodyText"/>
      </w:pPr>
      <w:r>
        <w:rPr>
          <w:b/>
          <w:bCs/>
        </w:rPr>
        <w:t xml:space="preserve">Cost per connection: ~£0.001 (infrastructure only) or ~£0.011 including AI support.</w:t>
      </w:r>
    </w:p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2026-02-12T09:50:48Z</dcterms:created>
  <dcterms:modified xsi:type="dcterms:W3CDTF">2026-02-12T09:50:48Z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