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10" w:line="24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貳、本文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926972</wp:posOffset>
                </wp:positionH>
                <wp:positionV relativeFrom="paragraph">
                  <wp:posOffset>6350</wp:posOffset>
                </wp:positionV>
                <wp:extent cx="1586220" cy="380369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3950" y="3245775"/>
                          <a:ext cx="1586220" cy="380369"/>
                          <a:chOff x="2953950" y="3245775"/>
                          <a:chExt cx="1850050" cy="4358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3045125" y="3250550"/>
                            <a:ext cx="1754100" cy="364200"/>
                          </a:xfrm>
                          <a:prstGeom prst="rect">
                            <a:avLst/>
                          </a:prstGeom>
                          <a:solidFill>
                            <a:srgbClr val="FBE4D5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2953975" y="3250550"/>
                            <a:ext cx="1754100" cy="43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BiauKai" w:cs="BiauKai" w:eastAsia="BiauKai" w:hAnsi="BiauKa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本文 3000-5000字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926972</wp:posOffset>
                </wp:positionH>
                <wp:positionV relativeFrom="paragraph">
                  <wp:posOffset>6350</wp:posOffset>
                </wp:positionV>
                <wp:extent cx="1586220" cy="380369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20" cy="3803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10" w:before="10" w:line="240" w:lineRule="auto"/>
        <w:rPr>
          <w:rFonts w:ascii="BiauKai" w:cs="BiauKai" w:eastAsia="BiauKai" w:hAnsi="BiauK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" w:before="10" w:line="276" w:lineRule="auto"/>
        <w:rPr>
          <w:rFonts w:ascii="BiauKai" w:cs="BiauKai" w:eastAsia="BiauKai" w:hAnsi="BiauKai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一、前言 </w:t>
      </w:r>
      <w:r w:rsidDel="00000000" w:rsidR="00000000" w:rsidRPr="00000000">
        <w:rPr>
          <w:rFonts w:ascii="BiauKai" w:cs="BiauKai" w:eastAsia="BiauKai" w:hAnsi="BiauKai"/>
          <w:b w:val="1"/>
          <w:bCs w:val="1"/>
          <w:color w:val="0000ff"/>
          <w:sz w:val="32"/>
          <w:szCs w:val="32"/>
          <w:rtl w:val="0"/>
        </w:rPr>
        <w:t xml:space="preserve">(研討緣起、問題背景等)</w:t>
      </w:r>
    </w:p>
    <w:p w:rsidR="00000000" w:rsidDel="00000000" w:rsidP="00000000" w:rsidRDefault="00000000" w:rsidRPr="00000000" w14:paraId="00000004">
      <w:pPr>
        <w:spacing w:after="10" w:before="10" w:line="276" w:lineRule="auto"/>
        <w:ind w:firstLine="720"/>
        <w:rPr>
          <w:rFonts w:ascii="BiauKai" w:cs="BiauKai" w:eastAsia="BiauKai" w:hAnsi="BiauKai"/>
          <w:sz w:val="28"/>
          <w:szCs w:val="28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28"/>
          <w:szCs w:val="28"/>
          <w:rtl w:val="0"/>
        </w:rPr>
        <w:t xml:space="preserve">在2020年，旅遊業遭遇到有史以來最嚴重的黑暗期，在</w:t>
      </w:r>
      <w:r w:rsidDel="00000000" w:rsidR="00000000" w:rsidRPr="00000000">
        <w:rPr>
          <w:rFonts w:ascii="BiauKai" w:cs="BiauKai" w:eastAsia="BiauKai" w:hAnsi="BiauKai"/>
          <w:b w:val="1"/>
          <w:bCs w:val="1"/>
          <w:sz w:val="28"/>
          <w:szCs w:val="28"/>
          <w:rtl w:val="0"/>
        </w:rPr>
        <w:t xml:space="preserve">Covid狹著超高死亡率及超強傳染力的”優勢下”，各國政府莫不聞風喪膽，驚心膽跳，祭出史上最嚴厲的管制措施—居家隔離，也連帶使國內旅客人次大幅銳減至史上冰點—137百萬人。直至新疫苗莫、AZ、BNT相繼問世，疫情逐漸受到控制後，各國政府開始逐步解封，放寬邊境出入境限制，使旅遊業開始出現一絲曙光。居家隔離禁令解除後，全球景氣也逐漸復甦，2023年全球旅遊市場出現了「報復式旅遊」熱潮，來台旅客逐漸上升。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根據民航局的統計，2025年台灣國內外整體航空客運量約857萬人次。</w:t>
      </w:r>
    </w:p>
    <w:p w:rsidR="00000000" w:rsidDel="00000000" w:rsidP="00000000" w:rsidRDefault="00000000" w:rsidRPr="00000000" w14:paraId="00000005">
      <w:pPr>
        <w:spacing w:after="10" w:line="240" w:lineRule="auto"/>
        <w:ind w:firstLine="72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4738688" cy="270782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738688" cy="2707821"/>
                          <a:chOff x="152400" y="152400"/>
                          <a:chExt cx="6553200" cy="37339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199" cy="3733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738688" cy="270782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38688" cy="27078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" w:line="240" w:lineRule="auto"/>
        <w:ind w:left="0" w:firstLine="0"/>
        <w:rPr>
          <w:rFonts w:ascii="BiauKai" w:cs="BiauKai" w:eastAsia="BiauKai" w:hAnsi="BiauKai"/>
          <w:sz w:val="28"/>
          <w:szCs w:val="28"/>
        </w:rPr>
      </w:pPr>
      <w:r w:rsidDel="00000000" w:rsidR="00000000" w:rsidRPr="00000000">
        <w:rPr>
          <w:sz w:val="25"/>
          <w:szCs w:val="25"/>
          <w:rtl w:val="0"/>
        </w:rPr>
        <w:tab/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從旅客來台人次分析，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日本遊客最多，約148 萬人次，占17.3%；其次是</w:t>
      </w: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 xml:space="preserve">港澳人士，約131 萬人，占15.3%；最後是韓國旅客，約 101 萬人，占比 11.9%。</w:t>
      </w:r>
    </w:p>
    <w:p w:rsidR="00000000" w:rsidDel="00000000" w:rsidP="00000000" w:rsidRDefault="00000000" w:rsidRPr="00000000" w14:paraId="00000007">
      <w:pPr>
        <w:spacing w:after="10" w:lineRule="auto"/>
        <w:rPr>
          <w:rFonts w:ascii="BiauKai" w:cs="BiauKai" w:eastAsia="BiauKai" w:hAnsi="BiauKai"/>
          <w:sz w:val="28"/>
          <w:szCs w:val="28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</w:t>
      </w:r>
      <w:r w:rsidDel="00000000" w:rsidR="00000000" w:rsidRPr="00000000">
        <w:rPr>
          <w:sz w:val="25"/>
          <w:szCs w:val="25"/>
        </w:rPr>
        <mc:AlternateContent>
          <mc:Choice Requires="wpg">
            <w:drawing>
              <wp:inline distB="114300" distT="114300" distL="114300" distR="114300">
                <wp:extent cx="4457819" cy="2980777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457819" cy="2980777"/>
                          <a:chOff x="152400" y="152400"/>
                          <a:chExt cx="6553225" cy="4371475"/>
                        </a:xfrm>
                      </wpg:grpSpPr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553200" cy="4371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57819" cy="2980777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819" cy="298077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="240" w:lineRule="auto"/>
        <w:ind w:left="0" w:firstLine="0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sz w:val="28"/>
          <w:szCs w:val="28"/>
          <w:rtl w:val="0"/>
        </w:rPr>
        <w:tab/>
        <w:t xml:space="preserve">以下本組將深入探討國內通關制度的優勢及劣勢並與各國相互比較。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二、問題分析</w:t>
      </w:r>
    </w:p>
    <w:p w:rsidR="00000000" w:rsidDel="00000000" w:rsidP="00000000" w:rsidRDefault="00000000" w:rsidRPr="00000000" w14:paraId="0000000A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(一) </w:t>
      </w:r>
    </w:p>
    <w:p w:rsidR="00000000" w:rsidDel="00000000" w:rsidP="00000000" w:rsidRDefault="00000000" w:rsidRPr="00000000" w14:paraId="0000000B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1、</w:t>
      </w:r>
    </w:p>
    <w:p w:rsidR="00000000" w:rsidDel="00000000" w:rsidP="00000000" w:rsidRDefault="00000000" w:rsidRPr="00000000" w14:paraId="0000000C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(1)</w:t>
      </w:r>
    </w:p>
    <w:p w:rsidR="00000000" w:rsidDel="00000000" w:rsidP="00000000" w:rsidRDefault="00000000" w:rsidRPr="00000000" w14:paraId="0000000D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 ①</w:t>
      </w:r>
    </w:p>
    <w:p w:rsidR="00000000" w:rsidDel="00000000" w:rsidP="00000000" w:rsidRDefault="00000000" w:rsidRPr="00000000" w14:paraId="0000000E">
      <w:pPr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三、因應方案</w:t>
      </w:r>
    </w:p>
    <w:p w:rsidR="00000000" w:rsidDel="00000000" w:rsidP="00000000" w:rsidRDefault="00000000" w:rsidRPr="00000000" w14:paraId="00000010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(一) </w:t>
      </w:r>
    </w:p>
    <w:p w:rsidR="00000000" w:rsidDel="00000000" w:rsidP="00000000" w:rsidRDefault="00000000" w:rsidRPr="00000000" w14:paraId="00000011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1、</w:t>
      </w:r>
    </w:p>
    <w:p w:rsidR="00000000" w:rsidDel="00000000" w:rsidP="00000000" w:rsidRDefault="00000000" w:rsidRPr="00000000" w14:paraId="00000012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(1)</w:t>
      </w:r>
    </w:p>
    <w:p w:rsidR="00000000" w:rsidDel="00000000" w:rsidP="00000000" w:rsidRDefault="00000000" w:rsidRPr="00000000" w14:paraId="00000013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 ①</w:t>
      </w:r>
    </w:p>
    <w:p w:rsidR="00000000" w:rsidDel="00000000" w:rsidP="00000000" w:rsidRDefault="00000000" w:rsidRPr="00000000" w14:paraId="00000014">
      <w:pPr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四、結語</w:t>
      </w:r>
    </w:p>
    <w:p w:rsidR="00000000" w:rsidDel="00000000" w:rsidP="00000000" w:rsidRDefault="00000000" w:rsidRPr="00000000" w14:paraId="00000016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(一) </w:t>
      </w:r>
    </w:p>
    <w:p w:rsidR="00000000" w:rsidDel="00000000" w:rsidP="00000000" w:rsidRDefault="00000000" w:rsidRPr="00000000" w14:paraId="00000017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1、</w:t>
      </w:r>
    </w:p>
    <w:p w:rsidR="00000000" w:rsidDel="00000000" w:rsidP="00000000" w:rsidRDefault="00000000" w:rsidRPr="00000000" w14:paraId="00000018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(1)</w:t>
      </w:r>
    </w:p>
    <w:p w:rsidR="00000000" w:rsidDel="00000000" w:rsidP="00000000" w:rsidRDefault="00000000" w:rsidRPr="00000000" w14:paraId="00000019">
      <w:pPr>
        <w:spacing w:after="10" w:lineRule="auto"/>
        <w:rPr>
          <w:rFonts w:ascii="BiauKai" w:cs="BiauKai" w:eastAsia="BiauKai" w:hAnsi="BiauKai"/>
          <w:b w:val="1"/>
          <w:bCs w:val="1"/>
          <w:sz w:val="32"/>
          <w:szCs w:val="32"/>
        </w:rPr>
      </w:pPr>
      <w:r w:rsidDel="00000000" w:rsidR="00000000" w:rsidRPr="00000000">
        <w:rPr>
          <w:rFonts w:ascii="BiauKai" w:cs="BiauKai" w:eastAsia="BiauKai" w:hAnsi="BiauKai"/>
          <w:b w:val="1"/>
          <w:bCs w:val="1"/>
          <w:sz w:val="32"/>
          <w:szCs w:val="32"/>
          <w:rtl w:val="0"/>
        </w:rPr>
        <w:t xml:space="preserve"> ①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295275</wp:posOffset>
                </wp:positionH>
                <wp:positionV relativeFrom="paragraph">
                  <wp:posOffset>100530</wp:posOffset>
                </wp:positionV>
                <wp:extent cx="6510338" cy="343829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5300" y="2798400"/>
                          <a:ext cx="6510338" cy="3438295"/>
                          <a:chOff x="405300" y="2798400"/>
                          <a:chExt cx="8282350" cy="43700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410075" y="2803175"/>
                            <a:ext cx="7821900" cy="4085400"/>
                          </a:xfrm>
                          <a:prstGeom prst="rect">
                            <a:avLst/>
                          </a:prstGeom>
                          <a:solidFill>
                            <a:srgbClr val="FBE4D5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531550" y="2803175"/>
                            <a:ext cx="8156100" cy="436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版面格式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說明設定相關版面格式: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一、版面設定: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A4直式橫書，雙面印刷，左側雙針裝訂。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上下左右息界：均為2.5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(請依照下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公分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頁碼：頁尾置中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字形:均採標楷體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二、標題格式: 包括：摘要、本文、參考書目及附件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行距：單行間跑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前、後段距離: 0.5列(以示區隔)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字體:16號字(加粗)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三、內文格式: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行距: 單行間距。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字體:14號字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295275</wp:posOffset>
                </wp:positionH>
                <wp:positionV relativeFrom="paragraph">
                  <wp:posOffset>100530</wp:posOffset>
                </wp:positionV>
                <wp:extent cx="6510338" cy="343829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0338" cy="3438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iauK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