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705E2" w14:textId="77777777" w:rsidR="007564B5" w:rsidRPr="007564B5" w:rsidRDefault="007564B5" w:rsidP="007564B5">
      <w:pPr>
        <w:spacing w:beforeLines="50" w:before="180" w:afterLines="50" w:after="180"/>
        <w:rPr>
          <w:b/>
          <w:bCs/>
          <w:sz w:val="32"/>
          <w:szCs w:val="32"/>
        </w:rPr>
      </w:pPr>
      <w:r w:rsidRPr="007564B5">
        <w:rPr>
          <w:b/>
          <w:bCs/>
          <w:sz w:val="32"/>
          <w:szCs w:val="32"/>
        </w:rPr>
        <w:t>旅客通關制度之探討</w:t>
      </w:r>
    </w:p>
    <w:p w14:paraId="720A2D36" w14:textId="702BAFA2" w:rsidR="007564B5" w:rsidRPr="007564B5" w:rsidRDefault="007564B5" w:rsidP="007564B5">
      <w:pPr>
        <w:jc w:val="both"/>
      </w:pPr>
      <w:r w:rsidRPr="00FD2F68">
        <w:t>旅客通關制度</w:t>
      </w:r>
      <w:r w:rsidRPr="007564B5">
        <w:t>是國境管理與貿易安全的第一道防線，其核心目的在於</w:t>
      </w:r>
      <w:r w:rsidRPr="007564B5">
        <w:rPr>
          <w:b/>
          <w:bCs/>
        </w:rPr>
        <w:t>平衡「通關便利化」與「國境邊防安全」</w:t>
      </w:r>
      <w:r w:rsidRPr="007564B5">
        <w:t>（包含緝私、防疫、反恐與防範洗錢等）。</w:t>
      </w:r>
    </w:p>
    <w:p w14:paraId="0B75522D" w14:textId="61BFC01D" w:rsidR="007564B5" w:rsidRDefault="007564B5" w:rsidP="007564B5">
      <w:pPr>
        <w:jc w:val="both"/>
      </w:pPr>
      <w:r w:rsidRPr="007564B5">
        <w:t>隨著全球旅遊與跨境商務的高速復甦，2026年各國的旅客通關制度已正式邁入</w:t>
      </w:r>
      <w:r w:rsidRPr="007564B5">
        <w:rPr>
          <w:b/>
          <w:bCs/>
        </w:rPr>
        <w:t>「智慧化、風險前端化、非接觸式」</w:t>
      </w:r>
      <w:r w:rsidRPr="007564B5">
        <w:t>的全新變革期。以下從制度演變、國際核心機制、科技應用趨勢以及目前面臨的挑戰，對旅客通關制度進行深度探討</w:t>
      </w:r>
      <w:r>
        <w:rPr>
          <w:rFonts w:hint="eastAsia"/>
        </w:rPr>
        <w:t>。</w:t>
      </w:r>
    </w:p>
    <w:p w14:paraId="11081C8A" w14:textId="77777777" w:rsidR="007564B5" w:rsidRPr="007564B5" w:rsidRDefault="007564B5" w:rsidP="007564B5">
      <w:pPr>
        <w:rPr>
          <w:rFonts w:hint="eastAsia"/>
        </w:rPr>
      </w:pPr>
    </w:p>
    <w:p w14:paraId="5D899A39" w14:textId="02EE5BCC" w:rsidR="00A64B4E" w:rsidRDefault="00A64B4E" w:rsidP="00A64B4E">
      <w:pPr>
        <w:pStyle w:val="a9"/>
        <w:numPr>
          <w:ilvl w:val="0"/>
          <w:numId w:val="5"/>
        </w:numPr>
        <w:jc w:val="both"/>
      </w:pPr>
      <w:r w:rsidRPr="00A64B4E">
        <w:t>旅客通關的核心機制與分工標準的國際入境通關流程主要由兩個截然不同的核心體系組成，兩者各司其職，構築成兩大關卡：</w:t>
      </w:r>
    </w:p>
    <w:p w14:paraId="1BD8FE0C" w14:textId="77777777" w:rsidR="00A64B4E" w:rsidRDefault="00A64B4E" w:rsidP="00A64B4E">
      <w:pPr>
        <w:pStyle w:val="a9"/>
        <w:numPr>
          <w:ilvl w:val="0"/>
          <w:numId w:val="6"/>
        </w:numPr>
        <w:jc w:val="both"/>
      </w:pPr>
      <w:r w:rsidRPr="00A64B4E">
        <w:rPr>
          <w:b/>
          <w:bCs/>
        </w:rPr>
        <w:t>入境審查（Immigration / Passport Control）</w:t>
      </w:r>
      <w:r w:rsidRPr="00A64B4E">
        <w:t>： 由移民官負責，主要任務是查驗護照、確認旅客的入境資格、停留目的與合規性，防範非法移民或潛在的安全威脅。</w:t>
      </w:r>
    </w:p>
    <w:p w14:paraId="2C2FF1E3" w14:textId="77777777" w:rsidR="00A64B4E" w:rsidRDefault="00A64B4E" w:rsidP="00A64B4E">
      <w:pPr>
        <w:pStyle w:val="a9"/>
        <w:numPr>
          <w:ilvl w:val="0"/>
          <w:numId w:val="6"/>
        </w:numPr>
        <w:jc w:val="both"/>
      </w:pPr>
      <w:r w:rsidRPr="00A64B4E">
        <w:rPr>
          <w:b/>
          <w:bCs/>
        </w:rPr>
        <w:t>海關申報與查驗（Customs）</w:t>
      </w:r>
      <w:r w:rsidRPr="00A64B4E">
        <w:t>： 由海關官員負責，主要針對旅客隨身及託運行李進行檢查，針對違禁品、管制藥物、動植物檢疫品項以及超額應稅物品進行課稅或裁罰。</w:t>
      </w:r>
    </w:p>
    <w:p w14:paraId="0ABB955A" w14:textId="595D65A0" w:rsidR="00A64B4E" w:rsidRDefault="00A64B4E" w:rsidP="00A64B4E">
      <w:pPr>
        <w:pStyle w:val="a9"/>
        <w:numPr>
          <w:ilvl w:val="0"/>
          <w:numId w:val="5"/>
        </w:numPr>
        <w:jc w:val="both"/>
      </w:pPr>
      <w:r w:rsidRPr="00A64B4E">
        <w:t>國際通行的海關查驗模式為了在「全面檢查導致機場癱瘓」與「完全</w:t>
      </w:r>
      <w:r>
        <w:rPr>
          <w:rFonts w:hint="eastAsia"/>
        </w:rPr>
        <w:t xml:space="preserve"> </w:t>
      </w:r>
    </w:p>
    <w:p w14:paraId="682A5BE6" w14:textId="77777777" w:rsidR="00A64B4E" w:rsidRDefault="00A64B4E" w:rsidP="00A64B4E">
      <w:pPr>
        <w:pStyle w:val="a9"/>
        <w:ind w:left="672"/>
        <w:jc w:val="both"/>
      </w:pPr>
      <w:r w:rsidRPr="00A64B4E">
        <w:t>放任導致國境失守」之間取得平衡，各國海關發展出以下兩種主要制度：</w:t>
      </w:r>
    </w:p>
    <w:p w14:paraId="40B7E7B1" w14:textId="77777777" w:rsidR="00955F14" w:rsidRPr="00955F14" w:rsidRDefault="00A64B4E" w:rsidP="00955F14">
      <w:pPr>
        <w:pStyle w:val="a9"/>
        <w:numPr>
          <w:ilvl w:val="0"/>
          <w:numId w:val="7"/>
        </w:numPr>
        <w:jc w:val="both"/>
      </w:pPr>
      <w:r w:rsidRPr="00955F14">
        <w:rPr>
          <w:b/>
          <w:bCs/>
        </w:rPr>
        <w:lastRenderedPageBreak/>
        <w:t>紅綠線選擇性申報制度（Red / Green Channel）</w:t>
      </w:r>
    </w:p>
    <w:p w14:paraId="763E434A" w14:textId="1EEB375F" w:rsidR="00A64B4E" w:rsidRDefault="00A64B4E" w:rsidP="00955F14">
      <w:pPr>
        <w:pStyle w:val="a9"/>
        <w:ind w:left="1296"/>
        <w:jc w:val="both"/>
      </w:pPr>
      <w:r w:rsidRPr="00A64B4E">
        <w:t>這是最普及的自主化通關模式（我國自1998年起全面實施）。綠線通道（免申報檯）： 攜帶行李符合免稅限額（如台灣現行規定自用物品3.5萬元新台幣以內）、無違禁品且無其他應申報事項的旅客通行。海關採「隨機機動抽查」方式落實管理。紅線通道（應申報檯）： 攜帶超額菸酒（如台灣現行菸1條、酒1.5公升上限）、動植物產品、管制藥品、或超額現金現鈔（等值超過1萬美元外幣或10萬新台幣等）的旅客，必須主動填寫申報單走此通道。</w:t>
      </w:r>
    </w:p>
    <w:p w14:paraId="3E61A354" w14:textId="77777777" w:rsidR="00955F14" w:rsidRPr="00955F14" w:rsidRDefault="00A64B4E" w:rsidP="00955F14">
      <w:pPr>
        <w:pStyle w:val="a9"/>
        <w:numPr>
          <w:ilvl w:val="0"/>
          <w:numId w:val="7"/>
        </w:numPr>
        <w:jc w:val="both"/>
        <w:rPr>
          <w:b/>
          <w:bCs/>
        </w:rPr>
      </w:pPr>
      <w:r w:rsidRPr="00955F14">
        <w:rPr>
          <w:b/>
          <w:bCs/>
        </w:rPr>
        <w:t>事前自主申報與全面行李X光過濾</w:t>
      </w:r>
    </w:p>
    <w:p w14:paraId="507A606A" w14:textId="6A404345" w:rsidR="00A64B4E" w:rsidRDefault="00A64B4E" w:rsidP="00955F14">
      <w:pPr>
        <w:pStyle w:val="a9"/>
        <w:ind w:left="1296"/>
        <w:jc w:val="both"/>
      </w:pPr>
      <w:r w:rsidRPr="00A64B4E">
        <w:t>部分國家或特定高風險時期（如防範非洲豬瘟、重大走私），海關會採取「全面託運行李X光預檢」制度（如台灣目前的入境行李防線），將查驗點前移至行李轉盤前，大幅縮減現場人工開箱的時間。</w:t>
      </w:r>
    </w:p>
    <w:p w14:paraId="00CE77D7" w14:textId="4FF5067E" w:rsidR="00321241" w:rsidRDefault="00A64B4E" w:rsidP="00321241">
      <w:pPr>
        <w:pStyle w:val="a9"/>
        <w:numPr>
          <w:ilvl w:val="0"/>
          <w:numId w:val="5"/>
        </w:numPr>
        <w:jc w:val="both"/>
      </w:pPr>
      <w:r w:rsidRPr="00A64B4E">
        <w:t xml:space="preserve">2026年全球旅客通關的三大創新趨勢 </w:t>
      </w:r>
    </w:p>
    <w:p w14:paraId="2EAB4921" w14:textId="18CC4940" w:rsidR="00321241" w:rsidRDefault="00321241" w:rsidP="00321241">
      <w:pPr>
        <w:pStyle w:val="a9"/>
        <w:ind w:left="672"/>
        <w:jc w:val="both"/>
      </w:pPr>
      <w:r w:rsidRPr="00A64B4E">
        <w:t>趨勢一：風險管理「前端化」（電子旅行授權系統的普及）過去的通關審查多在抵達國境時進行，這常造成機場壅塞，且高風險旅客若遭拒簽，遣返成本極高。近年各國加速轉向「出發前審查」：歐盟 ETIAS 系統（預計2026年第四季全面啟用）：免簽國家旅客赴申根區前，必須</w:t>
      </w:r>
      <w:r w:rsidRPr="00A64B4E">
        <w:lastRenderedPageBreak/>
        <w:t>先線上登錄資料並獲取電子旅行授權。日本 JESTA 系統（積極籌設中）：比照美國 ESTA 模式，對免簽旅客進行行前職業、目的與風險評估，未通過授權者航空公司可拒絕登機。泰國</w:t>
      </w:r>
      <w:r w:rsidR="006C431E">
        <w:rPr>
          <w:rFonts w:hint="eastAsia"/>
        </w:rPr>
        <w:t>(</w:t>
      </w:r>
      <w:r w:rsidRPr="00A64B4E">
        <w:t>TDAC</w:t>
      </w:r>
      <w:r w:rsidR="006C431E">
        <w:rPr>
          <w:rFonts w:hint="eastAsia"/>
        </w:rPr>
        <w:t>)</w:t>
      </w:r>
      <w:r w:rsidRPr="00A64B4E">
        <w:t>、新加坡</w:t>
      </w:r>
      <w:r w:rsidR="006C431E">
        <w:rPr>
          <w:rFonts w:hint="eastAsia"/>
        </w:rPr>
        <w:t>(</w:t>
      </w:r>
      <w:r w:rsidRPr="00A64B4E">
        <w:t>SG Arrival Card</w:t>
      </w:r>
      <w:r w:rsidR="006C431E">
        <w:rPr>
          <w:rFonts w:hint="eastAsia"/>
        </w:rPr>
        <w:t>)</w:t>
      </w:r>
      <w:r w:rsidRPr="00A64B4E">
        <w:t>全面推行數位入境卡，強制要求抵達前3天內完成線上健康與財稅申報。</w:t>
      </w:r>
    </w:p>
    <w:p w14:paraId="7C214057" w14:textId="77777777" w:rsidR="00321241" w:rsidRDefault="00321241" w:rsidP="00321241">
      <w:pPr>
        <w:pStyle w:val="a9"/>
        <w:ind w:left="672"/>
        <w:jc w:val="both"/>
      </w:pPr>
      <w:r w:rsidRPr="00A64B4E">
        <w:t>趨勢二：非接觸式與「一碼通關」的智慧硬體整合生物識別技術（臉部辨識、虹膜掃描）與電子報關的深度融合，實現了通關自動化：Visit Japan Web（VJW）的進化</w:t>
      </w:r>
      <w:r>
        <w:rPr>
          <w:rFonts w:hint="eastAsia"/>
        </w:rPr>
        <w:t>，</w:t>
      </w:r>
      <w:r w:rsidRPr="00A64B4E">
        <w:t>2026年更新後的介面已將「</w:t>
      </w:r>
      <w:r w:rsidRPr="00FD2F68">
        <w:rPr>
          <w:b/>
          <w:bCs/>
        </w:rPr>
        <w:t>檢疫、入境審查、海關申報</w:t>
      </w:r>
      <w:r w:rsidRPr="00A64B4E">
        <w:t xml:space="preserve">」整合成單一入境 QR Code。旅客在福岡、關西、羽田、成田等機場，可透過「二合一自助通關機（Joint Kiosk）」一次完成移民與海關資料讀取。自動通關（e-Gate）互惠：持有中華民國護照的旅客，目前已可在美、韓、澳、義、德、星、日、英等10個主要國家享受自動通關，免去傳統人工排隊之苦。 </w:t>
      </w:r>
    </w:p>
    <w:p w14:paraId="132FFE32" w14:textId="0684FC7A" w:rsidR="00321241" w:rsidRPr="00321241" w:rsidRDefault="00321241" w:rsidP="00321241">
      <w:pPr>
        <w:pStyle w:val="a9"/>
        <w:ind w:left="672"/>
        <w:jc w:val="both"/>
        <w:rPr>
          <w:rFonts w:hint="eastAsia"/>
        </w:rPr>
      </w:pPr>
      <w:r w:rsidRPr="00A64B4E">
        <w:t>趨勢三：稅制與通關流程的聯動改革為了防止外國旅客「免稅品境內轉賣」的逃稅亂象，通關制度與稅務稽查的結合更加緊密。例如日本自2026年起推行免稅新制，全面改採「</w:t>
      </w:r>
      <w:r w:rsidRPr="00FD2F68">
        <w:rPr>
          <w:b/>
          <w:bCs/>
        </w:rPr>
        <w:t>先付後退</w:t>
      </w:r>
      <w:r w:rsidRPr="00A64B4E">
        <w:t>」模式。旅客在市區購物須先支付含稅價，離境時由海關電子系統確認商品確實攜帶出境後，才會正式核發退稅款，這使得「海關出境查驗」成為稅務防守的核心環節。</w:t>
      </w:r>
    </w:p>
    <w:p w14:paraId="04022846" w14:textId="5D25AC8D" w:rsidR="00766459" w:rsidRPr="00955F14" w:rsidRDefault="00766459" w:rsidP="00955F14">
      <w:pPr>
        <w:pStyle w:val="a9"/>
        <w:numPr>
          <w:ilvl w:val="0"/>
          <w:numId w:val="5"/>
        </w:numPr>
        <w:jc w:val="both"/>
        <w:rPr>
          <w:rFonts w:hint="eastAsia"/>
        </w:rPr>
      </w:pPr>
    </w:p>
    <w:tbl>
      <w:tblPr>
        <w:tblStyle w:val="af4"/>
        <w:tblW w:w="0" w:type="auto"/>
        <w:tblLook w:val="04A0" w:firstRow="1" w:lastRow="0" w:firstColumn="1" w:lastColumn="0" w:noHBand="0" w:noVBand="1"/>
      </w:tblPr>
      <w:tblGrid>
        <w:gridCol w:w="3020"/>
        <w:gridCol w:w="3020"/>
        <w:gridCol w:w="3020"/>
      </w:tblGrid>
      <w:tr w:rsidR="00766459" w14:paraId="5878F16E" w14:textId="77777777" w:rsidTr="00766459">
        <w:tc>
          <w:tcPr>
            <w:tcW w:w="3020" w:type="dxa"/>
          </w:tcPr>
          <w:p w14:paraId="0382E2CB" w14:textId="2F852EDB" w:rsidR="00766459" w:rsidRPr="00766459" w:rsidRDefault="00766459" w:rsidP="00766459">
            <w:pPr>
              <w:widowControl/>
              <w:spacing w:line="500" w:lineRule="exact"/>
              <w:jc w:val="both"/>
              <w:rPr>
                <w:rFonts w:ascii="Arial" w:eastAsia="新細明體" w:hAnsi="Arial" w:cs="Arial" w:hint="eastAsia"/>
              </w:rPr>
            </w:pPr>
            <w:r w:rsidRPr="00766459">
              <w:rPr>
                <w:rFonts w:ascii="Arial" w:hAnsi="Arial" w:cs="Arial"/>
              </w:rPr>
              <w:t>探討面向</w:t>
            </w:r>
          </w:p>
        </w:tc>
        <w:tc>
          <w:tcPr>
            <w:tcW w:w="3020" w:type="dxa"/>
          </w:tcPr>
          <w:p w14:paraId="4F43278A" w14:textId="1CFB95BF" w:rsidR="00766459" w:rsidRDefault="00766459" w:rsidP="00766459">
            <w:pPr>
              <w:spacing w:line="500" w:lineRule="exact"/>
              <w:jc w:val="both"/>
              <w:rPr>
                <w:rFonts w:hint="eastAsia"/>
              </w:rPr>
            </w:pPr>
            <w:r w:rsidRPr="00766459">
              <w:t>核心挑戰與瓶頸</w:t>
            </w:r>
          </w:p>
        </w:tc>
        <w:tc>
          <w:tcPr>
            <w:tcW w:w="3020" w:type="dxa"/>
          </w:tcPr>
          <w:p w14:paraId="5E50AFE6" w14:textId="3F81380B" w:rsidR="00766459" w:rsidRDefault="00766459" w:rsidP="00766459">
            <w:pPr>
              <w:spacing w:line="500" w:lineRule="exact"/>
              <w:jc w:val="both"/>
              <w:rPr>
                <w:rFonts w:hint="eastAsia"/>
              </w:rPr>
            </w:pPr>
            <w:r w:rsidRPr="00766459">
              <w:t>現行優化對策</w:t>
            </w:r>
          </w:p>
        </w:tc>
      </w:tr>
      <w:tr w:rsidR="00766459" w14:paraId="375DCA5C" w14:textId="77777777" w:rsidTr="00766459">
        <w:tc>
          <w:tcPr>
            <w:tcW w:w="3020" w:type="dxa"/>
          </w:tcPr>
          <w:p w14:paraId="32D2F1DD" w14:textId="1C0DE4FF" w:rsidR="00766459" w:rsidRDefault="00766459" w:rsidP="00766459">
            <w:pPr>
              <w:spacing w:line="500" w:lineRule="exact"/>
              <w:jc w:val="both"/>
              <w:rPr>
                <w:rFonts w:hint="eastAsia"/>
              </w:rPr>
            </w:pPr>
            <w:r w:rsidRPr="00766459">
              <w:t>便利與安全的拉鋸</w:t>
            </w:r>
          </w:p>
        </w:tc>
        <w:tc>
          <w:tcPr>
            <w:tcW w:w="3020" w:type="dxa"/>
          </w:tcPr>
          <w:p w14:paraId="61956A26" w14:textId="4CD10980" w:rsidR="00766459" w:rsidRDefault="00766459" w:rsidP="00766459">
            <w:pPr>
              <w:spacing w:line="500" w:lineRule="exact"/>
              <w:jc w:val="both"/>
              <w:rPr>
                <w:rFonts w:hint="eastAsia"/>
              </w:rPr>
            </w:pPr>
            <w:r w:rsidRPr="00766459">
              <w:t>通關查驗過嚴會導致旅客不便、排隊時間過長，損及觀光形象；放寬則容易造成走私、防疫漏洞。</w:t>
            </w:r>
          </w:p>
        </w:tc>
        <w:tc>
          <w:tcPr>
            <w:tcW w:w="3020" w:type="dxa"/>
          </w:tcPr>
          <w:p w14:paraId="3C161CDB" w14:textId="11565341" w:rsidR="00766459" w:rsidRDefault="00766459" w:rsidP="00766459">
            <w:pPr>
              <w:spacing w:line="500" w:lineRule="exact"/>
              <w:jc w:val="both"/>
              <w:rPr>
                <w:rFonts w:hint="eastAsia"/>
              </w:rPr>
            </w:pPr>
            <w:r w:rsidRPr="00766459">
              <w:t xml:space="preserve">導入 </w:t>
            </w:r>
            <w:r w:rsidRPr="00766459">
              <w:rPr>
                <w:b/>
                <w:bCs/>
              </w:rPr>
              <w:t>AEO（優質企業）與信任旅客計畫</w:t>
            </w:r>
            <w:r w:rsidRPr="00766459">
              <w:t>，透過大數據對低風險旅客進行「綠線免感通關」，集中人力嚴查高風險對象。</w:t>
            </w:r>
          </w:p>
        </w:tc>
      </w:tr>
      <w:tr w:rsidR="00766459" w14:paraId="4408D0C4" w14:textId="77777777" w:rsidTr="00766459">
        <w:tc>
          <w:tcPr>
            <w:tcW w:w="3020" w:type="dxa"/>
          </w:tcPr>
          <w:p w14:paraId="24290C3B" w14:textId="790875AB" w:rsidR="00766459" w:rsidRDefault="00766459" w:rsidP="00766459">
            <w:pPr>
              <w:spacing w:line="500" w:lineRule="exact"/>
              <w:jc w:val="both"/>
              <w:rPr>
                <w:rFonts w:hint="eastAsia"/>
              </w:rPr>
            </w:pPr>
            <w:r w:rsidRPr="00766459">
              <w:t>新型走私與檢疫亂象</w:t>
            </w:r>
          </w:p>
        </w:tc>
        <w:tc>
          <w:tcPr>
            <w:tcW w:w="3020" w:type="dxa"/>
          </w:tcPr>
          <w:p w14:paraId="55C700FC" w14:textId="20550C0A" w:rsidR="00766459" w:rsidRDefault="00766459" w:rsidP="00766459">
            <w:pPr>
              <w:spacing w:line="500" w:lineRule="exact"/>
              <w:jc w:val="both"/>
              <w:rPr>
                <w:rFonts w:hint="eastAsia"/>
              </w:rPr>
            </w:pPr>
            <w:r w:rsidRPr="00766459">
              <w:t>精準走私、新興管制藥品（如電子菸、管制非處方藥）以及境外帶入肉製品（如伴手禮、真空包裝食品）的違規率居高不下。</w:t>
            </w:r>
          </w:p>
        </w:tc>
        <w:tc>
          <w:tcPr>
            <w:tcW w:w="3020" w:type="dxa"/>
          </w:tcPr>
          <w:p w14:paraId="4E7D9D4F" w14:textId="4F299991" w:rsidR="00766459" w:rsidRDefault="00766459" w:rsidP="00766459">
            <w:pPr>
              <w:spacing w:line="500" w:lineRule="exact"/>
              <w:jc w:val="both"/>
              <w:rPr>
                <w:rFonts w:hint="eastAsia"/>
              </w:rPr>
            </w:pPr>
            <w:r w:rsidRPr="00766459">
              <w:t>提高「未申報裁罰金額」</w:t>
            </w:r>
            <w:r>
              <w:rPr>
                <w:rFonts w:hint="eastAsia"/>
              </w:rPr>
              <w:t xml:space="preserve"> </w:t>
            </w:r>
            <w:r w:rsidRPr="00766459">
              <w:t>（如超量菸酒沒入並加重罰鍰），並透過多國語言宣導「誠實申報免罰，不確定就走紅線」的觀念。</w:t>
            </w:r>
          </w:p>
        </w:tc>
      </w:tr>
      <w:tr w:rsidR="00766459" w14:paraId="1B1F1AC1" w14:textId="77777777" w:rsidTr="00766459">
        <w:tc>
          <w:tcPr>
            <w:tcW w:w="3020" w:type="dxa"/>
          </w:tcPr>
          <w:p w14:paraId="213DCCB7" w14:textId="5DD0CD77" w:rsidR="00766459" w:rsidRDefault="00766459" w:rsidP="00766459">
            <w:pPr>
              <w:spacing w:line="500" w:lineRule="exact"/>
              <w:jc w:val="both"/>
              <w:rPr>
                <w:rFonts w:hint="eastAsia"/>
              </w:rPr>
            </w:pPr>
            <w:r w:rsidRPr="00766459">
              <w:t>資訊安全與隱私爭議</w:t>
            </w:r>
          </w:p>
        </w:tc>
        <w:tc>
          <w:tcPr>
            <w:tcW w:w="3020" w:type="dxa"/>
          </w:tcPr>
          <w:p w14:paraId="5AE35654" w14:textId="21CE10EB" w:rsidR="00766459" w:rsidRDefault="00766459" w:rsidP="00766459">
            <w:pPr>
              <w:spacing w:line="500" w:lineRule="exact"/>
              <w:jc w:val="both"/>
              <w:rPr>
                <w:rFonts w:hint="eastAsia"/>
              </w:rPr>
            </w:pPr>
            <w:r w:rsidRPr="00766459">
              <w:t>跨國界的 APIS（旅客預報資訊系統）及各國推行的行前審查系統，涉及跨國、跨機關的大量個人生物特徵與隱私數據外洩風險。</w:t>
            </w:r>
          </w:p>
        </w:tc>
        <w:tc>
          <w:tcPr>
            <w:tcW w:w="3020" w:type="dxa"/>
          </w:tcPr>
          <w:p w14:paraId="5E73CA27" w14:textId="5DE628CD" w:rsidR="00766459" w:rsidRDefault="00766459" w:rsidP="00766459">
            <w:pPr>
              <w:spacing w:line="500" w:lineRule="exact"/>
              <w:jc w:val="both"/>
              <w:rPr>
                <w:rFonts w:hint="eastAsia"/>
              </w:rPr>
            </w:pPr>
            <w:r w:rsidRPr="00766459">
              <w:t>嚴格遵循國際民航組織（ICAO）與世界海關組織（WCO）的資訊安全框架，推動去中心化的數據加密驗證機制。</w:t>
            </w:r>
          </w:p>
        </w:tc>
      </w:tr>
    </w:tbl>
    <w:p w14:paraId="6B4E00E8" w14:textId="3260DA4D" w:rsidR="00766459" w:rsidRDefault="00766459" w:rsidP="00955F14">
      <w:pPr>
        <w:jc w:val="both"/>
      </w:pPr>
    </w:p>
    <w:p w14:paraId="48A38B06" w14:textId="77777777" w:rsidR="00766459" w:rsidRDefault="00766459">
      <w:pPr>
        <w:widowControl/>
        <w:spacing w:after="160" w:line="278" w:lineRule="auto"/>
      </w:pPr>
      <w:r>
        <w:br w:type="page"/>
      </w:r>
    </w:p>
    <w:p w14:paraId="0E4A3034" w14:textId="558884BE" w:rsidR="00766459" w:rsidRPr="00DF2DFE" w:rsidRDefault="00766459" w:rsidP="00766459">
      <w:pPr>
        <w:spacing w:beforeLines="50" w:before="180" w:afterLines="50" w:after="180"/>
        <w:rPr>
          <w:b/>
          <w:bCs/>
        </w:rPr>
      </w:pPr>
      <w:r w:rsidRPr="00DF2DFE">
        <w:rPr>
          <w:rFonts w:hint="eastAsia"/>
          <w:b/>
          <w:bCs/>
        </w:rPr>
        <w:lastRenderedPageBreak/>
        <w:t>參考文獻</w:t>
      </w:r>
    </w:p>
    <w:p w14:paraId="269A71C2" w14:textId="77777777" w:rsidR="00321241" w:rsidRDefault="00766459" w:rsidP="00321241">
      <w:pPr>
        <w:pStyle w:val="a9"/>
        <w:numPr>
          <w:ilvl w:val="0"/>
          <w:numId w:val="8"/>
        </w:numPr>
        <w:jc w:val="both"/>
      </w:pPr>
      <w:r w:rsidRPr="00766459">
        <w:t>世界海關組織 (WCO)</w:t>
      </w:r>
      <w:r w:rsidR="00321241" w:rsidRPr="00321241">
        <w:t xml:space="preserve"> </w:t>
      </w:r>
    </w:p>
    <w:p w14:paraId="7F2610D3" w14:textId="02A59D91" w:rsidR="00321241" w:rsidRDefault="00321241" w:rsidP="006C431E">
      <w:pPr>
        <w:pStyle w:val="a9"/>
        <w:numPr>
          <w:ilvl w:val="1"/>
          <w:numId w:val="8"/>
        </w:numPr>
        <w:ind w:left="1434" w:hanging="357"/>
        <w:jc w:val="both"/>
      </w:pPr>
      <w:r w:rsidRPr="00321241">
        <w:t xml:space="preserve">World Customs Organization. (2026). </w:t>
      </w:r>
      <w:r w:rsidRPr="00321241">
        <w:rPr>
          <w:i/>
          <w:iCs/>
        </w:rPr>
        <w:t>The WCO Data Model at 30: Celebrating Three Decades of Data Interoperability</w:t>
      </w:r>
      <w:r w:rsidRPr="00321241">
        <w:t xml:space="preserve">. </w:t>
      </w:r>
      <w:hyperlink r:id="rId7" w:tgtFrame="_blank" w:history="1">
        <w:r w:rsidRPr="00321241">
          <w:rPr>
            <w:rStyle w:val="ae"/>
            <w:b/>
            <w:bCs/>
          </w:rPr>
          <w:t>WCO Newsroom</w:t>
        </w:r>
      </w:hyperlink>
      <w:r w:rsidRPr="00321241">
        <w:t>.</w:t>
      </w:r>
    </w:p>
    <w:p w14:paraId="531D9193" w14:textId="1E39AB08" w:rsidR="006C431E" w:rsidRDefault="006C431E" w:rsidP="006C431E">
      <w:pPr>
        <w:pStyle w:val="a9"/>
        <w:numPr>
          <w:ilvl w:val="1"/>
          <w:numId w:val="8"/>
        </w:numPr>
        <w:ind w:left="1434" w:hanging="357"/>
        <w:jc w:val="both"/>
      </w:pPr>
      <w:r w:rsidRPr="006C431E">
        <w:t xml:space="preserve">World Customs Organization. (2026). </w:t>
      </w:r>
      <w:r w:rsidRPr="006C431E">
        <w:rPr>
          <w:i/>
          <w:iCs/>
        </w:rPr>
        <w:t xml:space="preserve">The Authorized Economic Operator (AEO) and Risk Management Technical Assistance </w:t>
      </w:r>
      <w:proofErr w:type="spellStart"/>
      <w:r w:rsidRPr="006C431E">
        <w:rPr>
          <w:i/>
          <w:iCs/>
        </w:rPr>
        <w:t>Programme</w:t>
      </w:r>
      <w:proofErr w:type="spellEnd"/>
      <w:r w:rsidRPr="006C431E">
        <w:rPr>
          <w:i/>
          <w:iCs/>
        </w:rPr>
        <w:t xml:space="preserve"> (Phase V)</w:t>
      </w:r>
      <w:r w:rsidRPr="006C431E">
        <w:t xml:space="preserve">. </w:t>
      </w:r>
      <w:hyperlink r:id="rId8" w:tgtFrame="_blank" w:history="1">
        <w:r w:rsidRPr="006C431E">
          <w:rPr>
            <w:rStyle w:val="ae"/>
            <w:b/>
            <w:bCs/>
          </w:rPr>
          <w:t>WCO ATFP Framework</w:t>
        </w:r>
      </w:hyperlink>
      <w:r w:rsidRPr="006C431E">
        <w:t>.</w:t>
      </w:r>
    </w:p>
    <w:p w14:paraId="2C0938CE" w14:textId="685A3222" w:rsidR="006C431E" w:rsidRDefault="006C431E" w:rsidP="006C431E">
      <w:pPr>
        <w:pStyle w:val="a9"/>
        <w:numPr>
          <w:ilvl w:val="1"/>
          <w:numId w:val="8"/>
        </w:numPr>
        <w:ind w:left="1434" w:hanging="357"/>
        <w:jc w:val="both"/>
      </w:pPr>
      <w:r w:rsidRPr="006C431E">
        <w:t xml:space="preserve">World Customs Organization. (2026). </w:t>
      </w:r>
      <w:r w:rsidRPr="006C431E">
        <w:rPr>
          <w:i/>
          <w:iCs/>
        </w:rPr>
        <w:t>Guidance on National Committees on Trade Facilitation (NCTF)</w:t>
      </w:r>
      <w:r w:rsidRPr="006C431E">
        <w:t xml:space="preserve">. </w:t>
      </w:r>
      <w:hyperlink r:id="rId9" w:tgtFrame="_blank" w:history="1">
        <w:r w:rsidRPr="006C431E">
          <w:rPr>
            <w:rStyle w:val="ae"/>
            <w:b/>
            <w:bCs/>
          </w:rPr>
          <w:t>WCO Instruments and Tools</w:t>
        </w:r>
      </w:hyperlink>
    </w:p>
    <w:p w14:paraId="0AE2BB5C" w14:textId="7B1B71E0" w:rsidR="006C431E" w:rsidRPr="006C431E" w:rsidRDefault="006C431E" w:rsidP="006C431E">
      <w:pPr>
        <w:pStyle w:val="a9"/>
        <w:numPr>
          <w:ilvl w:val="0"/>
          <w:numId w:val="8"/>
        </w:numPr>
        <w:jc w:val="both"/>
        <w:rPr>
          <w:rFonts w:hint="eastAsia"/>
        </w:rPr>
      </w:pPr>
      <w:r w:rsidRPr="006C431E">
        <w:t>國際民航組織 (ICAO)</w:t>
      </w:r>
    </w:p>
    <w:p w14:paraId="0E13CF54" w14:textId="77777777" w:rsidR="006C431E" w:rsidRDefault="006C431E" w:rsidP="006C431E">
      <w:pPr>
        <w:pStyle w:val="a9"/>
        <w:numPr>
          <w:ilvl w:val="1"/>
          <w:numId w:val="8"/>
        </w:numPr>
        <w:jc w:val="both"/>
      </w:pPr>
      <w:r w:rsidRPr="006C431E">
        <w:t xml:space="preserve">International Civil Aviation Organization. (2025). </w:t>
      </w:r>
      <w:r w:rsidRPr="006C431E">
        <w:rPr>
          <w:i/>
          <w:iCs/>
        </w:rPr>
        <w:t>Annex 9 to the Convention on International Civil Aviation: Facilitation (FAL)</w:t>
      </w:r>
      <w:r w:rsidRPr="006C431E">
        <w:t xml:space="preserve">. </w:t>
      </w:r>
      <w:hyperlink r:id="rId10" w:tgtFrame="_blank" w:history="1">
        <w:r w:rsidRPr="006C431E">
          <w:rPr>
            <w:rStyle w:val="ae"/>
            <w:b/>
            <w:bCs/>
          </w:rPr>
          <w:t>ICAO Facilitation Programmes</w:t>
        </w:r>
      </w:hyperlink>
      <w:r w:rsidRPr="006C431E">
        <w:t>.</w:t>
      </w:r>
    </w:p>
    <w:p w14:paraId="6065467D" w14:textId="77777777" w:rsidR="006C431E" w:rsidRPr="006C431E" w:rsidRDefault="006C431E" w:rsidP="006C431E">
      <w:pPr>
        <w:pStyle w:val="a9"/>
        <w:numPr>
          <w:ilvl w:val="1"/>
          <w:numId w:val="8"/>
        </w:numPr>
        <w:jc w:val="both"/>
      </w:pPr>
      <w:r w:rsidRPr="006C431E">
        <w:t xml:space="preserve">International Civil Aviation Organization. (2025). </w:t>
      </w:r>
      <w:r w:rsidRPr="006C431E">
        <w:rPr>
          <w:i/>
          <w:iCs/>
        </w:rPr>
        <w:t xml:space="preserve">ICAO </w:t>
      </w:r>
      <w:proofErr w:type="spellStart"/>
      <w:r w:rsidRPr="006C431E">
        <w:rPr>
          <w:i/>
          <w:iCs/>
        </w:rPr>
        <w:t>Traveller</w:t>
      </w:r>
      <w:proofErr w:type="spellEnd"/>
      <w:r w:rsidRPr="006C431E">
        <w:rPr>
          <w:i/>
          <w:iCs/>
        </w:rPr>
        <w:t xml:space="preserve"> Identification </w:t>
      </w:r>
      <w:proofErr w:type="spellStart"/>
      <w:r w:rsidRPr="006C431E">
        <w:rPr>
          <w:i/>
          <w:iCs/>
        </w:rPr>
        <w:t>Programme</w:t>
      </w:r>
      <w:proofErr w:type="spellEnd"/>
      <w:r w:rsidRPr="006C431E">
        <w:rPr>
          <w:i/>
          <w:iCs/>
        </w:rPr>
        <w:t xml:space="preserve"> (TRIP) and Public Key Directory (PKD) Strategic Plan</w:t>
      </w:r>
      <w:r w:rsidRPr="006C431E">
        <w:t xml:space="preserve">. </w:t>
      </w:r>
      <w:hyperlink r:id="rId11" w:tgtFrame="_blank" w:history="1">
        <w:r w:rsidRPr="006C431E">
          <w:rPr>
            <w:rStyle w:val="ae"/>
            <w:b/>
            <w:bCs/>
          </w:rPr>
          <w:t>ICAO Strategic Goals</w:t>
        </w:r>
      </w:hyperlink>
      <w:r w:rsidRPr="006C431E">
        <w:t>.</w:t>
      </w:r>
    </w:p>
    <w:p w14:paraId="54031DA6" w14:textId="77777777" w:rsidR="006C431E" w:rsidRPr="006C431E" w:rsidRDefault="006C431E" w:rsidP="006C431E">
      <w:pPr>
        <w:pStyle w:val="a9"/>
        <w:numPr>
          <w:ilvl w:val="1"/>
          <w:numId w:val="8"/>
        </w:numPr>
        <w:jc w:val="both"/>
      </w:pPr>
      <w:r w:rsidRPr="006C431E">
        <w:lastRenderedPageBreak/>
        <w:t xml:space="preserve">International Civil Aviation Organization. (2025). </w:t>
      </w:r>
      <w:r w:rsidRPr="006C431E">
        <w:rPr>
          <w:i/>
          <w:iCs/>
        </w:rPr>
        <w:t>Security and Facilitation Measures for an End‐to‐End Passenger Journey</w:t>
      </w:r>
      <w:r w:rsidRPr="006C431E">
        <w:t xml:space="preserve">. </w:t>
      </w:r>
      <w:hyperlink r:id="rId12" w:tgtFrame="_blank" w:history="1">
        <w:r w:rsidRPr="006C431E">
          <w:rPr>
            <w:rStyle w:val="ae"/>
            <w:b/>
            <w:bCs/>
          </w:rPr>
          <w:t>ICAO Tech Guidelines</w:t>
        </w:r>
      </w:hyperlink>
      <w:r w:rsidRPr="006C431E">
        <w:t>.</w:t>
      </w:r>
    </w:p>
    <w:p w14:paraId="70797BDD" w14:textId="289E2A61" w:rsidR="006C431E" w:rsidRDefault="006C431E" w:rsidP="006C431E">
      <w:pPr>
        <w:pStyle w:val="a9"/>
        <w:numPr>
          <w:ilvl w:val="0"/>
          <w:numId w:val="8"/>
        </w:numPr>
        <w:jc w:val="both"/>
      </w:pPr>
      <w:r w:rsidRPr="006C431E">
        <w:t>財政部關務署（2026）。《</w:t>
      </w:r>
      <w:hyperlink r:id="rId13" w:tgtFrame="_blank" w:history="1">
        <w:r w:rsidRPr="006C431E">
          <w:rPr>
            <w:rStyle w:val="ae"/>
            <w:b/>
            <w:bCs/>
          </w:rPr>
          <w:t>入境旅客攜帶行李物品報驗稅放辦法</w:t>
        </w:r>
      </w:hyperlink>
      <w:r w:rsidRPr="006C431E">
        <w:t>》</w:t>
      </w:r>
    </w:p>
    <w:p w14:paraId="41B6F5A4" w14:textId="17587217" w:rsidR="006C431E" w:rsidRDefault="00FD2F68" w:rsidP="006C431E">
      <w:pPr>
        <w:pStyle w:val="a9"/>
        <w:numPr>
          <w:ilvl w:val="0"/>
          <w:numId w:val="8"/>
        </w:numPr>
        <w:jc w:val="both"/>
      </w:pPr>
      <w:r w:rsidRPr="00FD2F68">
        <w:t>財政部臺北關（2026）。〈</w:t>
      </w:r>
      <w:hyperlink r:id="rId14" w:tgtFrame="_blank" w:history="1">
        <w:r w:rsidRPr="00FD2F68">
          <w:rPr>
            <w:rStyle w:val="ae"/>
            <w:b/>
            <w:bCs/>
          </w:rPr>
          <w:t>入境旅客在哪些情況下需要申報？</w:t>
        </w:r>
      </w:hyperlink>
      <w:r w:rsidRPr="00FD2F68">
        <w:t>〉</w:t>
      </w:r>
    </w:p>
    <w:p w14:paraId="57D6B7C7" w14:textId="6CEA7C8C" w:rsidR="00FD2F68" w:rsidRDefault="00FD2F68" w:rsidP="006C431E">
      <w:pPr>
        <w:pStyle w:val="a9"/>
        <w:numPr>
          <w:ilvl w:val="0"/>
          <w:numId w:val="8"/>
        </w:numPr>
        <w:jc w:val="both"/>
      </w:pPr>
      <w:r w:rsidRPr="00FD2F68">
        <w:t>中華民國法務部、財政部（2026）。《</w:t>
      </w:r>
      <w:hyperlink r:id="rId15" w:tgtFrame="_blank" w:history="1">
        <w:r w:rsidRPr="00FD2F68">
          <w:rPr>
            <w:rStyle w:val="ae"/>
            <w:b/>
            <w:bCs/>
          </w:rPr>
          <w:t>洗錢防制法</w:t>
        </w:r>
      </w:hyperlink>
      <w:r w:rsidRPr="00FD2F68">
        <w:t>》</w:t>
      </w:r>
    </w:p>
    <w:p w14:paraId="3376455A" w14:textId="5ABC0394" w:rsidR="00FD2F68" w:rsidRDefault="00FD2F68" w:rsidP="006C431E">
      <w:pPr>
        <w:pStyle w:val="a9"/>
        <w:numPr>
          <w:ilvl w:val="0"/>
          <w:numId w:val="8"/>
        </w:numPr>
        <w:jc w:val="both"/>
      </w:pPr>
      <w:r w:rsidRPr="00FD2F68">
        <w:t>財政部關務署（2022）。〈</w:t>
      </w:r>
      <w:hyperlink r:id="rId16" w:tgtFrame="_blank" w:history="1">
        <w:r w:rsidRPr="00FD2F68">
          <w:rPr>
            <w:rStyle w:val="ae"/>
            <w:b/>
            <w:bCs/>
          </w:rPr>
          <w:t>海關重申入境旅客攜帶行李物品應依規定主動申報以免受罰</w:t>
        </w:r>
      </w:hyperlink>
      <w:r w:rsidRPr="00FD2F68">
        <w:t>〉</w:t>
      </w:r>
    </w:p>
    <w:p w14:paraId="50ED501F" w14:textId="103A1927" w:rsidR="00FD2F68" w:rsidRPr="00955F14" w:rsidRDefault="00FD2F68" w:rsidP="006C431E">
      <w:pPr>
        <w:pStyle w:val="a9"/>
        <w:numPr>
          <w:ilvl w:val="0"/>
          <w:numId w:val="8"/>
        </w:numPr>
        <w:jc w:val="both"/>
        <w:rPr>
          <w:rFonts w:hint="eastAsia"/>
        </w:rPr>
      </w:pPr>
      <w:r w:rsidRPr="00FD2F68">
        <w:t>農業部防檢署（2019）。《</w:t>
      </w:r>
      <w:hyperlink r:id="rId17" w:tgtFrame="_blank" w:history="1">
        <w:r w:rsidRPr="00FD2F68">
          <w:rPr>
            <w:rStyle w:val="ae"/>
            <w:b/>
            <w:bCs/>
          </w:rPr>
          <w:t>非洲豬瘟中央災害應變中心邊境管制與高風險地區違規旅客裁罰基準及執行逐字紀錄</w:t>
        </w:r>
      </w:hyperlink>
      <w:r w:rsidRPr="00FD2F68">
        <w:t>》</w:t>
      </w:r>
    </w:p>
    <w:sectPr w:rsidR="00FD2F68" w:rsidRPr="00955F14" w:rsidSect="007564B5">
      <w:footerReference w:type="default" r:id="rId18"/>
      <w:pgSz w:w="11906" w:h="16838"/>
      <w:pgMar w:top="1418" w:right="1418" w:bottom="1418"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FA1FF" w14:textId="77777777" w:rsidR="0068281A" w:rsidRDefault="0068281A" w:rsidP="007564B5">
      <w:r>
        <w:separator/>
      </w:r>
    </w:p>
  </w:endnote>
  <w:endnote w:type="continuationSeparator" w:id="0">
    <w:p w14:paraId="430CC74D" w14:textId="77777777" w:rsidR="0068281A" w:rsidRDefault="0068281A" w:rsidP="00756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4455154"/>
      <w:docPartObj>
        <w:docPartGallery w:val="Page Numbers (Bottom of Page)"/>
        <w:docPartUnique/>
      </w:docPartObj>
    </w:sdtPr>
    <w:sdtContent>
      <w:p w14:paraId="281BC92A" w14:textId="3B66670F" w:rsidR="007564B5" w:rsidRDefault="007564B5">
        <w:pPr>
          <w:pStyle w:val="af2"/>
          <w:jc w:val="center"/>
        </w:pPr>
        <w:r>
          <w:fldChar w:fldCharType="begin"/>
        </w:r>
        <w:r>
          <w:instrText>PAGE   \* MERGEFORMAT</w:instrText>
        </w:r>
        <w:r>
          <w:fldChar w:fldCharType="separate"/>
        </w:r>
        <w:r>
          <w:rPr>
            <w:lang w:val="zh-TW"/>
          </w:rPr>
          <w:t>2</w:t>
        </w:r>
        <w:r>
          <w:fldChar w:fldCharType="end"/>
        </w:r>
      </w:p>
    </w:sdtContent>
  </w:sdt>
  <w:p w14:paraId="6D904A27" w14:textId="77777777" w:rsidR="007564B5" w:rsidRDefault="007564B5">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362A5" w14:textId="77777777" w:rsidR="0068281A" w:rsidRDefault="0068281A" w:rsidP="007564B5">
      <w:r>
        <w:separator/>
      </w:r>
    </w:p>
  </w:footnote>
  <w:footnote w:type="continuationSeparator" w:id="0">
    <w:p w14:paraId="77B689CF" w14:textId="77777777" w:rsidR="0068281A" w:rsidRDefault="0068281A" w:rsidP="007564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04C45"/>
    <w:multiLevelType w:val="multilevel"/>
    <w:tmpl w:val="7A6AA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BE788C"/>
    <w:multiLevelType w:val="hybridMultilevel"/>
    <w:tmpl w:val="17A8D712"/>
    <w:lvl w:ilvl="0" w:tplc="5EBCD44C">
      <w:start w:val="1"/>
      <w:numFmt w:val="taiwaneseCountingThousand"/>
      <w:lvlText w:val="%1、"/>
      <w:lvlJc w:val="left"/>
      <w:pPr>
        <w:ind w:left="672" w:hanging="67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7CB56B8"/>
    <w:multiLevelType w:val="multilevel"/>
    <w:tmpl w:val="12A6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22F92"/>
    <w:multiLevelType w:val="multilevel"/>
    <w:tmpl w:val="690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5816EB"/>
    <w:multiLevelType w:val="hybridMultilevel"/>
    <w:tmpl w:val="DF1E4084"/>
    <w:lvl w:ilvl="0" w:tplc="04090013">
      <w:start w:val="1"/>
      <w:numFmt w:val="upperRoman"/>
      <w:lvlText w:val="%1."/>
      <w:lvlJc w:val="left"/>
      <w:pPr>
        <w:ind w:left="1152" w:hanging="480"/>
      </w:pPr>
    </w:lvl>
    <w:lvl w:ilvl="1" w:tplc="04090019" w:tentative="1">
      <w:start w:val="1"/>
      <w:numFmt w:val="ideographTraditional"/>
      <w:lvlText w:val="%2、"/>
      <w:lvlJc w:val="left"/>
      <w:pPr>
        <w:ind w:left="1632" w:hanging="480"/>
      </w:pPr>
    </w:lvl>
    <w:lvl w:ilvl="2" w:tplc="0409001B" w:tentative="1">
      <w:start w:val="1"/>
      <w:numFmt w:val="lowerRoman"/>
      <w:lvlText w:val="%3."/>
      <w:lvlJc w:val="right"/>
      <w:pPr>
        <w:ind w:left="2112" w:hanging="480"/>
      </w:pPr>
    </w:lvl>
    <w:lvl w:ilvl="3" w:tplc="0409000F" w:tentative="1">
      <w:start w:val="1"/>
      <w:numFmt w:val="decimal"/>
      <w:lvlText w:val="%4."/>
      <w:lvlJc w:val="left"/>
      <w:pPr>
        <w:ind w:left="2592" w:hanging="480"/>
      </w:pPr>
    </w:lvl>
    <w:lvl w:ilvl="4" w:tplc="04090019" w:tentative="1">
      <w:start w:val="1"/>
      <w:numFmt w:val="ideographTraditional"/>
      <w:lvlText w:val="%5、"/>
      <w:lvlJc w:val="left"/>
      <w:pPr>
        <w:ind w:left="3072" w:hanging="480"/>
      </w:pPr>
    </w:lvl>
    <w:lvl w:ilvl="5" w:tplc="0409001B" w:tentative="1">
      <w:start w:val="1"/>
      <w:numFmt w:val="lowerRoman"/>
      <w:lvlText w:val="%6."/>
      <w:lvlJc w:val="right"/>
      <w:pPr>
        <w:ind w:left="3552" w:hanging="480"/>
      </w:pPr>
    </w:lvl>
    <w:lvl w:ilvl="6" w:tplc="0409000F" w:tentative="1">
      <w:start w:val="1"/>
      <w:numFmt w:val="decimal"/>
      <w:lvlText w:val="%7."/>
      <w:lvlJc w:val="left"/>
      <w:pPr>
        <w:ind w:left="4032" w:hanging="480"/>
      </w:pPr>
    </w:lvl>
    <w:lvl w:ilvl="7" w:tplc="04090019" w:tentative="1">
      <w:start w:val="1"/>
      <w:numFmt w:val="ideographTraditional"/>
      <w:lvlText w:val="%8、"/>
      <w:lvlJc w:val="left"/>
      <w:pPr>
        <w:ind w:left="4512" w:hanging="480"/>
      </w:pPr>
    </w:lvl>
    <w:lvl w:ilvl="8" w:tplc="0409001B" w:tentative="1">
      <w:start w:val="1"/>
      <w:numFmt w:val="lowerRoman"/>
      <w:lvlText w:val="%9."/>
      <w:lvlJc w:val="right"/>
      <w:pPr>
        <w:ind w:left="4992" w:hanging="480"/>
      </w:pPr>
    </w:lvl>
  </w:abstractNum>
  <w:abstractNum w:abstractNumId="5" w15:restartNumberingAfterBreak="0">
    <w:nsid w:val="66B45A85"/>
    <w:multiLevelType w:val="multilevel"/>
    <w:tmpl w:val="E338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076F33"/>
    <w:multiLevelType w:val="multilevel"/>
    <w:tmpl w:val="12A6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235D51"/>
    <w:multiLevelType w:val="hybridMultilevel"/>
    <w:tmpl w:val="69AA24FC"/>
    <w:lvl w:ilvl="0" w:tplc="04090013">
      <w:start w:val="1"/>
      <w:numFmt w:val="upperRoman"/>
      <w:lvlText w:val="%1."/>
      <w:lvlJc w:val="left"/>
      <w:pPr>
        <w:ind w:left="1296" w:hanging="480"/>
      </w:pPr>
    </w:lvl>
    <w:lvl w:ilvl="1" w:tplc="04090019" w:tentative="1">
      <w:start w:val="1"/>
      <w:numFmt w:val="ideographTraditional"/>
      <w:lvlText w:val="%2、"/>
      <w:lvlJc w:val="left"/>
      <w:pPr>
        <w:ind w:left="1776" w:hanging="480"/>
      </w:pPr>
    </w:lvl>
    <w:lvl w:ilvl="2" w:tplc="0409001B" w:tentative="1">
      <w:start w:val="1"/>
      <w:numFmt w:val="lowerRoman"/>
      <w:lvlText w:val="%3."/>
      <w:lvlJc w:val="right"/>
      <w:pPr>
        <w:ind w:left="2256" w:hanging="480"/>
      </w:pPr>
    </w:lvl>
    <w:lvl w:ilvl="3" w:tplc="0409000F" w:tentative="1">
      <w:start w:val="1"/>
      <w:numFmt w:val="decimal"/>
      <w:lvlText w:val="%4."/>
      <w:lvlJc w:val="left"/>
      <w:pPr>
        <w:ind w:left="2736" w:hanging="480"/>
      </w:pPr>
    </w:lvl>
    <w:lvl w:ilvl="4" w:tplc="04090019" w:tentative="1">
      <w:start w:val="1"/>
      <w:numFmt w:val="ideographTraditional"/>
      <w:lvlText w:val="%5、"/>
      <w:lvlJc w:val="left"/>
      <w:pPr>
        <w:ind w:left="3216" w:hanging="480"/>
      </w:pPr>
    </w:lvl>
    <w:lvl w:ilvl="5" w:tplc="0409001B" w:tentative="1">
      <w:start w:val="1"/>
      <w:numFmt w:val="lowerRoman"/>
      <w:lvlText w:val="%6."/>
      <w:lvlJc w:val="right"/>
      <w:pPr>
        <w:ind w:left="3696" w:hanging="480"/>
      </w:pPr>
    </w:lvl>
    <w:lvl w:ilvl="6" w:tplc="0409000F" w:tentative="1">
      <w:start w:val="1"/>
      <w:numFmt w:val="decimal"/>
      <w:lvlText w:val="%7."/>
      <w:lvlJc w:val="left"/>
      <w:pPr>
        <w:ind w:left="4176" w:hanging="480"/>
      </w:pPr>
    </w:lvl>
    <w:lvl w:ilvl="7" w:tplc="04090019" w:tentative="1">
      <w:start w:val="1"/>
      <w:numFmt w:val="ideographTraditional"/>
      <w:lvlText w:val="%8、"/>
      <w:lvlJc w:val="left"/>
      <w:pPr>
        <w:ind w:left="4656" w:hanging="480"/>
      </w:pPr>
    </w:lvl>
    <w:lvl w:ilvl="8" w:tplc="0409001B" w:tentative="1">
      <w:start w:val="1"/>
      <w:numFmt w:val="lowerRoman"/>
      <w:lvlText w:val="%9."/>
      <w:lvlJc w:val="right"/>
      <w:pPr>
        <w:ind w:left="5136" w:hanging="480"/>
      </w:pPr>
    </w:lvl>
  </w:abstractNum>
  <w:abstractNum w:abstractNumId="8" w15:restartNumberingAfterBreak="0">
    <w:nsid w:val="7D771F1E"/>
    <w:multiLevelType w:val="multilevel"/>
    <w:tmpl w:val="12A6C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485748">
    <w:abstractNumId w:val="0"/>
  </w:num>
  <w:num w:numId="2" w16cid:durableId="1087308807">
    <w:abstractNumId w:val="2"/>
  </w:num>
  <w:num w:numId="3" w16cid:durableId="2045330265">
    <w:abstractNumId w:val="3"/>
  </w:num>
  <w:num w:numId="4" w16cid:durableId="1821340602">
    <w:abstractNumId w:val="5"/>
  </w:num>
  <w:num w:numId="5" w16cid:durableId="1534228652">
    <w:abstractNumId w:val="1"/>
  </w:num>
  <w:num w:numId="6" w16cid:durableId="1431588123">
    <w:abstractNumId w:val="4"/>
  </w:num>
  <w:num w:numId="7" w16cid:durableId="1943805255">
    <w:abstractNumId w:val="7"/>
  </w:num>
  <w:num w:numId="8" w16cid:durableId="2015036639">
    <w:abstractNumId w:val="8"/>
  </w:num>
  <w:num w:numId="9" w16cid:durableId="12721277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4B5"/>
    <w:rsid w:val="002461D4"/>
    <w:rsid w:val="00321241"/>
    <w:rsid w:val="004C4545"/>
    <w:rsid w:val="0068281A"/>
    <w:rsid w:val="006C431E"/>
    <w:rsid w:val="007564B5"/>
    <w:rsid w:val="00766459"/>
    <w:rsid w:val="00955F14"/>
    <w:rsid w:val="00A64B4E"/>
    <w:rsid w:val="00B82ACF"/>
    <w:rsid w:val="00F602F5"/>
    <w:rsid w:val="00FD2F6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8C109"/>
  <w15:chartTrackingRefBased/>
  <w15:docId w15:val="{435F1956-69CD-45B7-8991-543B50F23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64B5"/>
    <w:pPr>
      <w:widowControl w:val="0"/>
      <w:spacing w:after="0" w:line="240" w:lineRule="auto"/>
    </w:pPr>
    <w:rPr>
      <w:rFonts w:ascii="標楷體" w:eastAsia="標楷體" w:hAnsi="標楷體"/>
      <w:sz w:val="28"/>
      <w:szCs w:val="28"/>
      <w14:ligatures w14:val="none"/>
    </w:rPr>
  </w:style>
  <w:style w:type="paragraph" w:styleId="1">
    <w:name w:val="heading 1"/>
    <w:basedOn w:val="a"/>
    <w:next w:val="a"/>
    <w:link w:val="10"/>
    <w:uiPriority w:val="9"/>
    <w:qFormat/>
    <w:rsid w:val="007564B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564B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564B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564B5"/>
    <w:pPr>
      <w:keepNext/>
      <w:keepLines/>
      <w:spacing w:before="160" w:after="40"/>
      <w:outlineLvl w:val="3"/>
    </w:pPr>
    <w:rPr>
      <w:rFonts w:eastAsiaTheme="majorEastAsia" w:cstheme="majorBidi"/>
      <w:color w:val="0F4761" w:themeColor="accent1" w:themeShade="BF"/>
    </w:rPr>
  </w:style>
  <w:style w:type="paragraph" w:styleId="5">
    <w:name w:val="heading 5"/>
    <w:basedOn w:val="a"/>
    <w:next w:val="a"/>
    <w:link w:val="50"/>
    <w:uiPriority w:val="9"/>
    <w:semiHidden/>
    <w:unhideWhenUsed/>
    <w:qFormat/>
    <w:rsid w:val="007564B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564B5"/>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564B5"/>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564B5"/>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564B5"/>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564B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7564B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7564B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7564B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7564B5"/>
    <w:rPr>
      <w:rFonts w:eastAsiaTheme="majorEastAsia" w:cstheme="majorBidi"/>
      <w:color w:val="0F4761" w:themeColor="accent1" w:themeShade="BF"/>
    </w:rPr>
  </w:style>
  <w:style w:type="character" w:customStyle="1" w:styleId="60">
    <w:name w:val="標題 6 字元"/>
    <w:basedOn w:val="a0"/>
    <w:link w:val="6"/>
    <w:uiPriority w:val="9"/>
    <w:semiHidden/>
    <w:rsid w:val="007564B5"/>
    <w:rPr>
      <w:rFonts w:eastAsiaTheme="majorEastAsia" w:cstheme="majorBidi"/>
      <w:color w:val="595959" w:themeColor="text1" w:themeTint="A6"/>
    </w:rPr>
  </w:style>
  <w:style w:type="character" w:customStyle="1" w:styleId="70">
    <w:name w:val="標題 7 字元"/>
    <w:basedOn w:val="a0"/>
    <w:link w:val="7"/>
    <w:uiPriority w:val="9"/>
    <w:semiHidden/>
    <w:rsid w:val="007564B5"/>
    <w:rPr>
      <w:rFonts w:eastAsiaTheme="majorEastAsia" w:cstheme="majorBidi"/>
      <w:color w:val="595959" w:themeColor="text1" w:themeTint="A6"/>
    </w:rPr>
  </w:style>
  <w:style w:type="character" w:customStyle="1" w:styleId="80">
    <w:name w:val="標題 8 字元"/>
    <w:basedOn w:val="a0"/>
    <w:link w:val="8"/>
    <w:uiPriority w:val="9"/>
    <w:semiHidden/>
    <w:rsid w:val="007564B5"/>
    <w:rPr>
      <w:rFonts w:eastAsiaTheme="majorEastAsia" w:cstheme="majorBidi"/>
      <w:color w:val="272727" w:themeColor="text1" w:themeTint="D8"/>
    </w:rPr>
  </w:style>
  <w:style w:type="character" w:customStyle="1" w:styleId="90">
    <w:name w:val="標題 9 字元"/>
    <w:basedOn w:val="a0"/>
    <w:link w:val="9"/>
    <w:uiPriority w:val="9"/>
    <w:semiHidden/>
    <w:rsid w:val="007564B5"/>
    <w:rPr>
      <w:rFonts w:eastAsiaTheme="majorEastAsia" w:cstheme="majorBidi"/>
      <w:color w:val="272727" w:themeColor="text1" w:themeTint="D8"/>
    </w:rPr>
  </w:style>
  <w:style w:type="paragraph" w:styleId="a3">
    <w:name w:val="Title"/>
    <w:basedOn w:val="a"/>
    <w:next w:val="a"/>
    <w:link w:val="a4"/>
    <w:uiPriority w:val="10"/>
    <w:qFormat/>
    <w:rsid w:val="007564B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564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64B5"/>
    <w:pPr>
      <w:numPr>
        <w:ilvl w:val="1"/>
      </w:numPr>
      <w:jc w:val="center"/>
    </w:pPr>
    <w:rPr>
      <w:rFonts w:asciiTheme="majorHAnsi" w:eastAsiaTheme="majorEastAsia" w:hAnsiTheme="majorHAnsi" w:cstheme="majorBidi"/>
      <w:color w:val="595959" w:themeColor="text1" w:themeTint="A6"/>
      <w:spacing w:val="15"/>
    </w:rPr>
  </w:style>
  <w:style w:type="character" w:customStyle="1" w:styleId="a6">
    <w:name w:val="副標題 字元"/>
    <w:basedOn w:val="a0"/>
    <w:link w:val="a5"/>
    <w:uiPriority w:val="11"/>
    <w:rsid w:val="007564B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64B5"/>
    <w:pPr>
      <w:spacing w:before="160"/>
      <w:jc w:val="center"/>
    </w:pPr>
    <w:rPr>
      <w:i/>
      <w:iCs/>
      <w:color w:val="404040" w:themeColor="text1" w:themeTint="BF"/>
    </w:rPr>
  </w:style>
  <w:style w:type="character" w:customStyle="1" w:styleId="a8">
    <w:name w:val="引文 字元"/>
    <w:basedOn w:val="a0"/>
    <w:link w:val="a7"/>
    <w:uiPriority w:val="29"/>
    <w:rsid w:val="007564B5"/>
    <w:rPr>
      <w:i/>
      <w:iCs/>
      <w:color w:val="404040" w:themeColor="text1" w:themeTint="BF"/>
    </w:rPr>
  </w:style>
  <w:style w:type="paragraph" w:styleId="a9">
    <w:name w:val="List Paragraph"/>
    <w:basedOn w:val="a"/>
    <w:uiPriority w:val="34"/>
    <w:qFormat/>
    <w:rsid w:val="007564B5"/>
    <w:pPr>
      <w:ind w:left="720"/>
      <w:contextualSpacing/>
    </w:pPr>
  </w:style>
  <w:style w:type="character" w:styleId="aa">
    <w:name w:val="Intense Emphasis"/>
    <w:basedOn w:val="a0"/>
    <w:uiPriority w:val="21"/>
    <w:qFormat/>
    <w:rsid w:val="007564B5"/>
    <w:rPr>
      <w:i/>
      <w:iCs/>
      <w:color w:val="0F4761" w:themeColor="accent1" w:themeShade="BF"/>
    </w:rPr>
  </w:style>
  <w:style w:type="paragraph" w:styleId="ab">
    <w:name w:val="Intense Quote"/>
    <w:basedOn w:val="a"/>
    <w:next w:val="a"/>
    <w:link w:val="ac"/>
    <w:uiPriority w:val="30"/>
    <w:qFormat/>
    <w:rsid w:val="00756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564B5"/>
    <w:rPr>
      <w:i/>
      <w:iCs/>
      <w:color w:val="0F4761" w:themeColor="accent1" w:themeShade="BF"/>
    </w:rPr>
  </w:style>
  <w:style w:type="character" w:styleId="ad">
    <w:name w:val="Intense Reference"/>
    <w:basedOn w:val="a0"/>
    <w:uiPriority w:val="32"/>
    <w:qFormat/>
    <w:rsid w:val="007564B5"/>
    <w:rPr>
      <w:b/>
      <w:bCs/>
      <w:smallCaps/>
      <w:color w:val="0F4761" w:themeColor="accent1" w:themeShade="BF"/>
      <w:spacing w:val="5"/>
    </w:rPr>
  </w:style>
  <w:style w:type="character" w:styleId="ae">
    <w:name w:val="Hyperlink"/>
    <w:basedOn w:val="a0"/>
    <w:uiPriority w:val="99"/>
    <w:unhideWhenUsed/>
    <w:rsid w:val="007564B5"/>
    <w:rPr>
      <w:color w:val="467886" w:themeColor="hyperlink"/>
      <w:u w:val="single"/>
    </w:rPr>
  </w:style>
  <w:style w:type="character" w:styleId="af">
    <w:name w:val="Unresolved Mention"/>
    <w:basedOn w:val="a0"/>
    <w:uiPriority w:val="99"/>
    <w:semiHidden/>
    <w:unhideWhenUsed/>
    <w:rsid w:val="007564B5"/>
    <w:rPr>
      <w:color w:val="605E5C"/>
      <w:shd w:val="clear" w:color="auto" w:fill="E1DFDD"/>
    </w:rPr>
  </w:style>
  <w:style w:type="paragraph" w:styleId="af0">
    <w:name w:val="header"/>
    <w:basedOn w:val="a"/>
    <w:link w:val="af1"/>
    <w:uiPriority w:val="99"/>
    <w:unhideWhenUsed/>
    <w:rsid w:val="007564B5"/>
    <w:pPr>
      <w:tabs>
        <w:tab w:val="center" w:pos="4153"/>
        <w:tab w:val="right" w:pos="8306"/>
      </w:tabs>
      <w:snapToGrid w:val="0"/>
    </w:pPr>
    <w:rPr>
      <w:sz w:val="20"/>
      <w:szCs w:val="20"/>
    </w:rPr>
  </w:style>
  <w:style w:type="character" w:customStyle="1" w:styleId="af1">
    <w:name w:val="頁首 字元"/>
    <w:basedOn w:val="a0"/>
    <w:link w:val="af0"/>
    <w:uiPriority w:val="99"/>
    <w:rsid w:val="007564B5"/>
    <w:rPr>
      <w:rFonts w:ascii="標楷體" w:eastAsia="標楷體" w:hAnsi="標楷體"/>
      <w:sz w:val="20"/>
      <w:szCs w:val="20"/>
      <w14:ligatures w14:val="none"/>
    </w:rPr>
  </w:style>
  <w:style w:type="paragraph" w:styleId="af2">
    <w:name w:val="footer"/>
    <w:basedOn w:val="a"/>
    <w:link w:val="af3"/>
    <w:uiPriority w:val="99"/>
    <w:unhideWhenUsed/>
    <w:rsid w:val="007564B5"/>
    <w:pPr>
      <w:tabs>
        <w:tab w:val="center" w:pos="4153"/>
        <w:tab w:val="right" w:pos="8306"/>
      </w:tabs>
      <w:snapToGrid w:val="0"/>
    </w:pPr>
    <w:rPr>
      <w:sz w:val="20"/>
      <w:szCs w:val="20"/>
    </w:rPr>
  </w:style>
  <w:style w:type="character" w:customStyle="1" w:styleId="af3">
    <w:name w:val="頁尾 字元"/>
    <w:basedOn w:val="a0"/>
    <w:link w:val="af2"/>
    <w:uiPriority w:val="99"/>
    <w:rsid w:val="007564B5"/>
    <w:rPr>
      <w:rFonts w:ascii="標楷體" w:eastAsia="標楷體" w:hAnsi="標楷體"/>
      <w:sz w:val="20"/>
      <w:szCs w:val="20"/>
      <w14:ligatures w14:val="none"/>
    </w:rPr>
  </w:style>
  <w:style w:type="table" w:styleId="af4">
    <w:name w:val="Table Grid"/>
    <w:basedOn w:val="a1"/>
    <w:uiPriority w:val="39"/>
    <w:rsid w:val="007664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coomd.org/en/media/newsroom/2026/march/the-wco-and-the-uk-announce-phase-v-of-the-atfp.aspx" TargetMode="External"/><Relationship Id="rId13" Type="http://schemas.openxmlformats.org/officeDocument/2006/relationships/hyperlink" Target="https://law-out.mof.gov.tw/LawContent.aspx?id=FL006260"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wcoomd.org/en/media/newsroom/2026/july/the-wco-data-model-at-30-wco-celebrates-three-decades-of-data-interoperability.aspx" TargetMode="External"/><Relationship Id="rId12" Type="http://schemas.openxmlformats.org/officeDocument/2006/relationships/hyperlink" Target="https://www.icao.int/filebrowser/download/89660?fid=89660" TargetMode="External"/><Relationship Id="rId17" Type="http://schemas.openxmlformats.org/officeDocument/2006/relationships/hyperlink" Target="https://asf.aphia.gov.tw/redirect_files.php?id=24913&amp;file_name=EuWGPlusQJPZNL58F7YwXN0KWGPlusem2NWGPlusgfWWGSlashcsBGvaIs7r2XQWGEqualP585lEdWGPluss3MA90pYLddan8aHsbsACpD5qV0nL3kEME6l9FNppGhXOhRg7KCFmUFvT" TargetMode="External"/><Relationship Id="rId2" Type="http://schemas.openxmlformats.org/officeDocument/2006/relationships/styles" Target="styles.xml"/><Relationship Id="rId16" Type="http://schemas.openxmlformats.org/officeDocument/2006/relationships/hyperlink" Target="https://www.mof.gov.tw/singlehtml/384fb3077bb349ea973e7fc6f13b6974?cntId=e2b8fb4b6d6b4decb61f62571e4d2c7c"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nitingaviation.com/news/seamless-mobility/icaos-strategic-goals-explained-delivering-seamless-accessible-and-reliable-mobility-for-all/" TargetMode="External"/><Relationship Id="rId5" Type="http://schemas.openxmlformats.org/officeDocument/2006/relationships/footnotes" Target="footnotes.xml"/><Relationship Id="rId15" Type="http://schemas.openxmlformats.org/officeDocument/2006/relationships/hyperlink" Target="https://web.customs.gov.tw/taipei/singlehtml/3394?cntId=cus2_3394_3394_1359" TargetMode="External"/><Relationship Id="rId10" Type="http://schemas.openxmlformats.org/officeDocument/2006/relationships/hyperlink" Target="https://www.icao.int/facilitation-programmes/Annex9"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coomd.org/en/topics/facilitation/instrument-and-tools/tools/national-committee-on-trade-facilitation.aspx" TargetMode="External"/><Relationship Id="rId14" Type="http://schemas.openxmlformats.org/officeDocument/2006/relationships/hyperlink" Target="https://web.customs.gov.tw/taipei/singlehtml/3130?cntId=cus2_157042_3130"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6</Pages>
  <Words>661</Words>
  <Characters>3774</Characters>
  <Application>Microsoft Office Word</Application>
  <DocSecurity>0</DocSecurity>
  <Lines>31</Lines>
  <Paragraphs>8</Paragraphs>
  <ScaleCrop>false</ScaleCrop>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育棠 許</dc:creator>
  <cp:keywords/>
  <dc:description/>
  <cp:lastModifiedBy>育棠 許</cp:lastModifiedBy>
  <cp:revision>1</cp:revision>
  <dcterms:created xsi:type="dcterms:W3CDTF">2026-09-01T15:30:00Z</dcterms:created>
  <dcterms:modified xsi:type="dcterms:W3CDTF">2026-09-01T16:36:00Z</dcterms:modified>
</cp:coreProperties>
</file>