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旅客通關制度之探討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貳、本文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 二、問題分析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   (一)引言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      因應近期國人較常前往國家日本、法國、泰國及美國的入境規範與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      相關手續資訊。針對日本，重點介紹了 Visit Japan Web 線上服務， 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      可用於預先申報入境、海關及免稅流程；而在歐美地區，則提醒注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    意法國最新啟用的 EES 系統與轉機規定，以及美國的 ESTA 授權與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  免稅額度。對於泰國旅遊，文中強調了 TDAC 電子入境卡的申請要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  求、免簽待遇及相關財力證明。旨在協助旅客掌握最新的簽證政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  策、電子化通關流程與入出境安全須知。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(二) 比較各國通關制度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   1. 台灣的旅客通關制度:</w:t>
      </w:r>
    </w:p>
    <w:p w:rsidR="00000000" w:rsidDel="00000000" w:rsidP="00000000" w:rsidRDefault="00000000" w:rsidRPr="00000000" w14:paraId="0000000E">
      <w:pPr>
        <w:ind w:left="720" w:firstLine="0"/>
        <w:rPr/>
      </w:pPr>
      <w:r w:rsidDel="00000000" w:rsidR="00000000" w:rsidRPr="00000000">
        <w:rPr>
          <w:rtl w:val="0"/>
        </w:rPr>
        <w:t xml:space="preserve">        (1)紅綠線通關制度： 採行「紅線（應申報）」與「綠線（免申</w:t>
      </w:r>
    </w:p>
    <w:p w:rsidR="00000000" w:rsidDel="00000000" w:rsidP="00000000" w:rsidRDefault="00000000" w:rsidRPr="00000000" w14:paraId="0000000F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           報）」檯通關，旨在兼顧通關效率與行李                    </w:t>
      </w:r>
    </w:p>
    <w:p w:rsidR="00000000" w:rsidDel="00000000" w:rsidP="00000000" w:rsidRDefault="00000000" w:rsidRPr="00000000" w14:paraId="00000010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           檢查。</w:t>
      </w:r>
    </w:p>
    <w:p w:rsidR="00000000" w:rsidDel="00000000" w:rsidP="00000000" w:rsidRDefault="00000000" w:rsidRPr="00000000" w14:paraId="00000011">
      <w:pPr>
        <w:ind w:left="720" w:firstLine="0"/>
        <w:rPr/>
      </w:pPr>
      <w:r w:rsidDel="00000000" w:rsidR="00000000" w:rsidRPr="00000000">
        <w:rPr>
          <w:rtl w:val="0"/>
        </w:rPr>
        <w:t xml:space="preserve">        (2)通關程序流程： 旅客需依序經過疾管署、移民署、動植物</w:t>
      </w:r>
    </w:p>
    <w:p w:rsidR="00000000" w:rsidDel="00000000" w:rsidP="00000000" w:rsidRDefault="00000000" w:rsidRPr="00000000" w14:paraId="00000012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         防疫檢疫署及海關等四個單位的管轄程序。</w:t>
      </w:r>
    </w:p>
    <w:p w:rsidR="00000000" w:rsidDel="00000000" w:rsidP="00000000" w:rsidRDefault="00000000" w:rsidRPr="00000000" w14:paraId="00000013">
      <w:pPr>
        <w:ind w:left="720" w:firstLine="0"/>
        <w:rPr/>
      </w:pPr>
      <w:r w:rsidDel="00000000" w:rsidR="00000000" w:rsidRPr="00000000">
        <w:rPr>
          <w:rtl w:val="0"/>
        </w:rPr>
        <w:t xml:space="preserve">        (3)特定人員禮遇： 設有國賓、特別、一般或商務等不同等級</w:t>
      </w:r>
    </w:p>
    <w:p w:rsidR="00000000" w:rsidDel="00000000" w:rsidP="00000000" w:rsidRDefault="00000000" w:rsidRPr="00000000" w14:paraId="00000014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         的禮遇通關作業規定。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   2. 各國利用數位技術轉型通關制度數位化，舉例如下：</w:t>
      </w:r>
    </w:p>
    <w:p w:rsidR="00000000" w:rsidDel="00000000" w:rsidP="00000000" w:rsidRDefault="00000000" w:rsidRPr="00000000" w14:paraId="00000016">
      <w:pPr>
        <w:ind w:left="720" w:firstLine="0"/>
        <w:rPr/>
      </w:pPr>
      <w:r w:rsidDel="00000000" w:rsidR="00000000" w:rsidRPr="00000000">
        <w:rPr>
          <w:rtl w:val="0"/>
        </w:rPr>
        <w:t xml:space="preserve">        (1)日本（Visit Japan Web）： 統一了入境審查與海關申報的二</w:t>
      </w:r>
    </w:p>
    <w:p w:rsidR="00000000" w:rsidDel="00000000" w:rsidP="00000000" w:rsidRDefault="00000000" w:rsidRPr="00000000" w14:paraId="00000017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                 維碼（QR Code），提供一站式的網</w:t>
      </w:r>
    </w:p>
    <w:p w:rsidR="00000000" w:rsidDel="00000000" w:rsidP="00000000" w:rsidRDefault="00000000" w:rsidRPr="00000000" w14:paraId="00000018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                 上服務，減少紙本作業。</w:t>
      </w:r>
    </w:p>
    <w:p w:rsidR="00000000" w:rsidDel="00000000" w:rsidP="00000000" w:rsidRDefault="00000000" w:rsidRPr="00000000" w14:paraId="00000019">
      <w:pPr>
        <w:ind w:left="720" w:firstLine="0"/>
        <w:rPr/>
      </w:pPr>
      <w:r w:rsidDel="00000000" w:rsidR="00000000" w:rsidRPr="00000000">
        <w:rPr>
          <w:rtl w:val="0"/>
        </w:rPr>
        <w:t xml:space="preserve">        (2)泰國（TDAC 與 THIM） 實施泰國電子入境卡（TDAC）措     </w:t>
      </w:r>
    </w:p>
    <w:p w:rsidR="00000000" w:rsidDel="00000000" w:rsidP="00000000" w:rsidRDefault="00000000" w:rsidRPr="00000000" w14:paraId="0000001A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          施，要求旅客抵達前 72 小時完成線上申</w:t>
      </w:r>
    </w:p>
    <w:p w:rsidR="00000000" w:rsidDel="00000000" w:rsidP="00000000" w:rsidRDefault="00000000" w:rsidRPr="00000000" w14:paraId="0000001B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          請，並試行入境雲端應用程式（THIM）。</w:t>
      </w:r>
    </w:p>
    <w:p w:rsidR="00000000" w:rsidDel="00000000" w:rsidP="00000000" w:rsidRDefault="00000000" w:rsidRPr="00000000" w14:paraId="0000001C">
      <w:pPr>
        <w:ind w:left="720" w:firstLine="0"/>
        <w:rPr/>
      </w:pPr>
      <w:r w:rsidDel="00000000" w:rsidR="00000000" w:rsidRPr="00000000">
        <w:rPr>
          <w:rtl w:val="0"/>
        </w:rPr>
        <w:t xml:space="preserve">   (3)美國（I-94 無紙化）： 早於 2013 年便分階段實施入境申報表（I-</w:t>
      </w:r>
    </w:p>
    <w:p w:rsidR="00000000" w:rsidDel="00000000" w:rsidP="00000000" w:rsidRDefault="00000000" w:rsidRPr="00000000" w14:paraId="0000001D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          94表）無紙化，簡化合法訪美旅客的流</w:t>
      </w:r>
    </w:p>
    <w:p w:rsidR="00000000" w:rsidDel="00000000" w:rsidP="00000000" w:rsidRDefault="00000000" w:rsidRPr="00000000" w14:paraId="0000001E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          程。</w:t>
      </w:r>
    </w:p>
    <w:p w:rsidR="00000000" w:rsidDel="00000000" w:rsidP="00000000" w:rsidRDefault="00000000" w:rsidRPr="00000000" w14:paraId="0000001F">
      <w:pPr>
        <w:ind w:firstLine="720"/>
        <w:rPr/>
      </w:pPr>
      <w:r w:rsidDel="00000000" w:rsidR="00000000" w:rsidRPr="00000000">
        <w:rPr>
          <w:rtl w:val="0"/>
        </w:rPr>
        <w:t xml:space="preserve">3. 安全查驗與生物識別制度(基於國境安全的查驗制度):</w:t>
      </w:r>
    </w:p>
    <w:p w:rsidR="00000000" w:rsidDel="00000000" w:rsidP="00000000" w:rsidRDefault="00000000" w:rsidRPr="00000000" w14:paraId="00000020">
      <w:pPr>
        <w:ind w:left="720" w:firstLine="0"/>
        <w:rPr/>
      </w:pPr>
      <w:r w:rsidDel="00000000" w:rsidR="00000000" w:rsidRPr="00000000">
        <w:rPr>
          <w:rtl w:val="0"/>
        </w:rPr>
        <w:t xml:space="preserve">  (1)生物識別技術： 美國實施</w:t>
      </w:r>
      <w:r w:rsidDel="00000000" w:rsidR="00000000" w:rsidRPr="00000000">
        <w:rPr>
          <w:b w:val="1"/>
          <w:bCs w:val="1"/>
          <w:rtl w:val="0"/>
        </w:rPr>
        <w:t xml:space="preserve">OBIM</w:t>
      </w:r>
      <w:r w:rsidDel="00000000" w:rsidR="00000000" w:rsidRPr="00000000">
        <w:rPr>
          <w:rtl w:val="0"/>
        </w:rPr>
        <w:t xml:space="preserve">（生物特徵識別管理辦公室），並</w:t>
      </w:r>
    </w:p>
    <w:p w:rsidR="00000000" w:rsidDel="00000000" w:rsidP="00000000" w:rsidRDefault="00000000" w:rsidRPr="00000000" w14:paraId="00000021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   實施 </w:t>
      </w:r>
      <w:r w:rsidDel="00000000" w:rsidR="00000000" w:rsidRPr="00000000">
        <w:rPr>
          <w:b w:val="1"/>
          <w:bCs w:val="1"/>
          <w:rtl w:val="0"/>
        </w:rPr>
        <w:t xml:space="preserve">Biometric Exit System / Facial Comparison</w:t>
      </w:r>
      <w:r w:rsidDel="00000000" w:rsidR="00000000" w:rsidRPr="00000000">
        <w:rPr>
          <w:rtl w:val="0"/>
        </w:rPr>
        <w:t xml:space="preserve">（生</w:t>
      </w:r>
    </w:p>
    <w:p w:rsidR="00000000" w:rsidDel="00000000" w:rsidP="00000000" w:rsidRDefault="00000000" w:rsidRPr="00000000" w14:paraId="00000022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   物特徵比對技術），要求掃描十指指紋以查驗身</w:t>
      </w:r>
    </w:p>
    <w:p w:rsidR="00000000" w:rsidDel="00000000" w:rsidP="00000000" w:rsidRDefault="00000000" w:rsidRPr="00000000" w14:paraId="00000023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   分。歐盟則於今年全面運作「入境／出境系統」</w:t>
      </w:r>
    </w:p>
    <w:p w:rsidR="00000000" w:rsidDel="00000000" w:rsidP="00000000" w:rsidRDefault="00000000" w:rsidRPr="00000000" w14:paraId="00000024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  （EES），採集臉部影像與指紋。</w:t>
      </w:r>
    </w:p>
    <w:p w:rsidR="00000000" w:rsidDel="00000000" w:rsidP="00000000" w:rsidRDefault="00000000" w:rsidRPr="00000000" w14:paraId="00000025">
      <w:pPr>
        <w:ind w:left="720" w:firstLine="0"/>
        <w:rPr/>
      </w:pPr>
      <w:r w:rsidDel="00000000" w:rsidR="00000000" w:rsidRPr="00000000">
        <w:rPr>
          <w:rtl w:val="0"/>
        </w:rPr>
        <w:t xml:space="preserve">  (2)特定計畫與安全措施： 如美國的免簽證計畫（VWP）與旅行授權</w:t>
      </w:r>
    </w:p>
    <w:p w:rsidR="00000000" w:rsidDel="00000000" w:rsidP="00000000" w:rsidRDefault="00000000" w:rsidRPr="00000000" w14:paraId="00000026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         電子系統（ESTA），透過自動化系統預先篩</w:t>
      </w:r>
    </w:p>
    <w:p w:rsidR="00000000" w:rsidDel="00000000" w:rsidP="00000000" w:rsidRDefault="00000000" w:rsidRPr="00000000" w14:paraId="00000027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         選旅客資格。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4. 稅收、攜帶物品限制與洗錢防制(防制與管理面向):</w:t>
      </w:r>
    </w:p>
    <w:p w:rsidR="00000000" w:rsidDel="00000000" w:rsidP="00000000" w:rsidRDefault="00000000" w:rsidRPr="00000000" w14:paraId="00000029">
      <w:pPr>
        <w:ind w:left="720" w:firstLine="0"/>
        <w:rPr/>
      </w:pPr>
      <w:r w:rsidDel="00000000" w:rsidR="00000000" w:rsidRPr="00000000">
        <w:rPr>
          <w:rtl w:val="0"/>
        </w:rPr>
        <w:t xml:space="preserve">    (1)申報與免稅制度： 各國對於免稅額（如美國 100 美元、泰國 2 </w:t>
      </w:r>
    </w:p>
    <w:p w:rsidR="00000000" w:rsidDel="00000000" w:rsidP="00000000" w:rsidRDefault="00000000" w:rsidRPr="00000000" w14:paraId="0000002A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       萬泰銖）及攜帶菸酒數量均有明確限制。</w:t>
      </w:r>
    </w:p>
    <w:p w:rsidR="00000000" w:rsidDel="00000000" w:rsidP="00000000" w:rsidRDefault="00000000" w:rsidRPr="00000000" w14:paraId="0000002B">
      <w:pPr>
        <w:ind w:left="720" w:firstLine="0"/>
        <w:rPr/>
      </w:pPr>
      <w:r w:rsidDel="00000000" w:rsidR="00000000" w:rsidRPr="00000000">
        <w:rPr>
          <w:rtl w:val="0"/>
        </w:rPr>
        <w:t xml:space="preserve">    (2)現金申報制度： 為了防制洗錢，各國皆訂有現金攜帶上限（如</w:t>
      </w:r>
    </w:p>
    <w:p w:rsidR="00000000" w:rsidDel="00000000" w:rsidP="00000000" w:rsidRDefault="00000000" w:rsidRPr="00000000" w14:paraId="0000002C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     美國 1 萬美元、歐盟 1 萬歐元、泰國 2 萬美</w:t>
      </w:r>
    </w:p>
    <w:p w:rsidR="00000000" w:rsidDel="00000000" w:rsidP="00000000" w:rsidRDefault="00000000" w:rsidRPr="00000000" w14:paraId="0000002D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     元外幣），超過則需申報。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  (3)禁止與管制物品： 包括仿冒品、農產品、藥品及盜版著作等禁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.                           運規定。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(三)各國入境與通關制度比較表</w:t>
      </w:r>
    </w:p>
    <w:tbl>
      <w:tblPr>
        <w:tblStyle w:val="Table1"/>
        <w:tblW w:w="829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52"/>
        <w:gridCol w:w="1364"/>
        <w:gridCol w:w="1370"/>
        <w:gridCol w:w="1372"/>
        <w:gridCol w:w="1367"/>
        <w:gridCol w:w="1471"/>
        <w:tblGridChange w:id="0">
          <w:tblGrid>
            <w:gridCol w:w="1352"/>
            <w:gridCol w:w="1364"/>
            <w:gridCol w:w="1370"/>
            <w:gridCol w:w="1372"/>
            <w:gridCol w:w="1367"/>
            <w:gridCol w:w="147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比較項目</w:t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臺灣</w:t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日本</w:t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泰國</w:t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法國/歐盟</w:t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美國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數位通關系統</w:t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旅客申報E指通</w:t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Visit Japan Web(統一QR Code)</w:t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TDAC(電子入境卡)</w:t>
            </w:r>
          </w:p>
        </w:tc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EES(入境/出境系統)</w:t>
            </w:r>
          </w:p>
        </w:tc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OBIM與I-94無紙化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簽證/停留期限</w:t>
            </w:r>
          </w:p>
        </w:tc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依國籍而定（如主要國家免簽 14~90 天不等）</w:t>
            </w:r>
          </w:p>
        </w:tc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短期:90天；長期:3個月至五年等</w:t>
            </w:r>
          </w:p>
        </w:tc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免簽證，每次停留最長60天</w:t>
            </w:r>
          </w:p>
        </w:tc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申根免簽，180天內最長90天</w:t>
            </w:r>
          </w:p>
        </w:tc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VWP/ESTA，最長可停留90天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生物識別要求</w:t>
            </w:r>
          </w:p>
        </w:tc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外籍旅客入境採集雙手食指指紋與臉部特徵</w:t>
            </w:r>
          </w:p>
        </w:tc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入境審查程序</w:t>
            </w:r>
          </w:p>
        </w:tc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查驗QR Code與護照</w:t>
            </w:r>
          </w:p>
        </w:tc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採集臉部影像及指紋</w:t>
            </w:r>
          </w:p>
        </w:tc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掃描十指指紋(US VISIT)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現金申報門檻</w:t>
            </w:r>
          </w:p>
        </w:tc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設有洗錢防制法規定</w:t>
            </w:r>
          </w:p>
        </w:tc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100萬日圓(或等值外幣)</w:t>
            </w:r>
          </w:p>
        </w:tc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超過2萬美元(外幣)</w:t>
            </w:r>
          </w:p>
        </w:tc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超過1萬歐元</w:t>
            </w:r>
          </w:p>
        </w:tc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超過1萬美元(訪客)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菸酒免稅額</w:t>
            </w:r>
          </w:p>
        </w:tc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酒 1 公升、捲菸 200 支（或雪茄 25 支、菸絲 1 磅）</w:t>
            </w:r>
          </w:p>
        </w:tc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紙菸200支或雪茄50支或其他菸類250公克內等</w:t>
            </w:r>
          </w:p>
        </w:tc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酒1公升、菸200支等</w:t>
            </w:r>
          </w:p>
        </w:tc>
        <w:tc>
          <w:tcPr/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酒1公升、菸200支等</w:t>
            </w:r>
          </w:p>
        </w:tc>
        <w:tc>
          <w:tcPr/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酒1公升、菸200支等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特殊財利要求</w:t>
            </w:r>
          </w:p>
        </w:tc>
        <w:tc>
          <w:tcPr/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無</w:t>
            </w:r>
          </w:p>
        </w:tc>
        <w:tc>
          <w:tcPr/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無</w:t>
            </w:r>
          </w:p>
        </w:tc>
        <w:tc>
          <w:tcPr/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每人需攜2萬泰銖現金</w:t>
            </w:r>
          </w:p>
        </w:tc>
        <w:tc>
          <w:tcPr/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須備妥足夠生活費證明</w:t>
            </w:r>
          </w:p>
        </w:tc>
        <w:tc>
          <w:tcPr/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須具備足夠生活費用</w:t>
            </w:r>
          </w:p>
        </w:tc>
      </w:tr>
    </w:tbl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(四)綜合分析與比較重點: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數位化與無紙化趨勢： 各國均致力於推動數位化。日本已實現入境與海關申報的二維碼統一；美國早於 2013 年便實施 I-94 無紙化；泰國則於 2025 年全面實施電子入境卡（TDAC）；歐盟今年全面運作 EES 系統，以自助機台取代傳統蓋章。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查驗制度與安全防護： 美國與歐盟對生物識別（指紋及臉部影像）有極高要求，旨在加強反恐與國境安全。台灣與泰國則在行政程序上更強調對農畜產品與毒品的查禁，並設有嚴格的罰則或沒收處分。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財力證明與消費規定： 泰國有明確的入境現金攜帶門檻（2萬泰銖），且信用卡不可作為財力證明。相較之下，法國（申根區）與美國雖然也要求財力證明，但接受信用卡作為輔助文件。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物品管制與風險預防： 法國（歐盟）特別提醒國人勿攜帶或購買仿冒品，否則將面臨刑事責任。美國則對處方藥物有極其細緻的規範，需符合特定條件（如三個月用量、醫師證明）方可攜入。台灣海關則特別強調紅綠線通關，並提醒旅客切勿幫他人攜帶物品。 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參、參考書目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</w:t>
      </w:r>
      <w:hyperlink r:id="rId6">
        <w:r w:rsidDel="00000000" w:rsidR="00000000" w:rsidRPr="00000000">
          <w:rPr>
            <w:color w:val="0563c1"/>
            <w:u w:val="single"/>
            <w:rtl w:val="0"/>
          </w:rPr>
          <w:t xml:space="preserve">https://web.customs.gov.tw/taipei/singlehtml/3392?cntId=cus2_3392_3392_1341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hyperlink r:id="rId7">
        <w:r w:rsidDel="00000000" w:rsidR="00000000" w:rsidRPr="00000000">
          <w:rPr>
            <w:color w:val="0563c1"/>
            <w:u w:val="single"/>
            <w:rtl w:val="0"/>
          </w:rPr>
          <w:t xml:space="preserve">https://www.boca.gov.tw/sp-foof-countrycp-01-100-57cb3-1.html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hyperlink r:id="rId8">
        <w:r w:rsidDel="00000000" w:rsidR="00000000" w:rsidRPr="00000000">
          <w:rPr>
            <w:color w:val="0563c1"/>
            <w:u w:val="single"/>
            <w:rtl w:val="0"/>
          </w:rPr>
          <w:t xml:space="preserve">https://www.boca.gov.tw/sp-foof-countrycp-03-63-4a56f-02-1.html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hyperlink r:id="rId9">
        <w:r w:rsidDel="00000000" w:rsidR="00000000" w:rsidRPr="00000000">
          <w:rPr>
            <w:color w:val="0563c1"/>
            <w:u w:val="single"/>
            <w:rtl w:val="0"/>
          </w:rPr>
          <w:t xml:space="preserve">https://www.boca.gov.tw/sp-foof-countrycp-01-24-dec45-1.html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hyperlink r:id="rId10">
        <w:r w:rsidDel="00000000" w:rsidR="00000000" w:rsidRPr="00000000">
          <w:rPr>
            <w:color w:val="0563c1"/>
            <w:u w:val="single"/>
            <w:rtl w:val="0"/>
          </w:rPr>
          <w:t xml:space="preserve">https://services.digital.go.jp/zh-cmn-hant/visit-japan-web/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800" w:right="1800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widowControl w:val="0"/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480" w:lineRule="auto"/>
    </w:pPr>
    <w:rPr>
      <w:rFonts w:ascii="Calibri" w:cs="Calibri" w:eastAsia="Calibri" w:hAnsi="Calibri"/>
      <w:color w:val="2f5496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3">
    <w:name w:val="heading 3"/>
    <w:basedOn w:val="Normal"/>
    <w:next w:val="Normal"/>
    <w:pPr>
      <w:keepNext w:val="1"/>
      <w:keepLines w:val="1"/>
      <w:spacing w:after="40" w:before="160" w:lineRule="auto"/>
    </w:pPr>
    <w:rPr>
      <w:color w:val="2f5496"/>
      <w:sz w:val="32"/>
      <w:szCs w:val="32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160" w:lineRule="auto"/>
    </w:pPr>
    <w:rPr>
      <w:color w:val="2f5496"/>
      <w:sz w:val="28"/>
      <w:szCs w:val="28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color w:val="595959"/>
    </w:rPr>
  </w:style>
  <w:style w:type="paragraph" w:styleId="Title">
    <w:name w:val="Title"/>
    <w:basedOn w:val="Normal"/>
    <w:next w:val="Normal"/>
    <w:pPr>
      <w:spacing w:after="80" w:line="240" w:lineRule="auto"/>
      <w:jc w:val="center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>
      <w:jc w:val="center"/>
    </w:pPr>
    <w:rPr>
      <w:rFonts w:ascii="Calibri" w:cs="Calibri" w:eastAsia="Calibri" w:hAnsi="Calibri"/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services.digital.go.jp/zh-cmn-hant/visit-japan-web/" TargetMode="External"/><Relationship Id="rId9" Type="http://schemas.openxmlformats.org/officeDocument/2006/relationships/hyperlink" Target="https://www.boca.gov.tw/sp-foof-countrycp-01-24-dec45-1.html" TargetMode="External"/><Relationship Id="rId5" Type="http://schemas.openxmlformats.org/officeDocument/2006/relationships/styles" Target="styles.xml"/><Relationship Id="rId6" Type="http://schemas.openxmlformats.org/officeDocument/2006/relationships/hyperlink" Target="https://web.customs.gov.tw/taipei/singlehtml/3392?cntId=cus2_3392_3392_1341" TargetMode="External"/><Relationship Id="rId7" Type="http://schemas.openxmlformats.org/officeDocument/2006/relationships/hyperlink" Target="https://www.boca.gov.tw/sp-foof-countrycp-01-100-57cb3-1.html" TargetMode="External"/><Relationship Id="rId8" Type="http://schemas.openxmlformats.org/officeDocument/2006/relationships/hyperlink" Target="https://www.boca.gov.tw/sp-foof-countrycp-03-63-4a56f-02-1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