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Análise do Percentual de Alto Risco de Vício por Nível Acadêmico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 barras fornecido, intitulado </w:t>
      </w:r>
      <w:r w:rsidDel="00000000" w:rsidR="00000000" w:rsidRPr="00000000">
        <w:rPr>
          <w:b w:val="1"/>
          <w:bCs w:val="1"/>
          <w:rtl w:val="0"/>
        </w:rPr>
        <w:t xml:space="preserve">"Percentual de Alto Risco de Vício por Nível Acadêmico (Score &gt; 7)"</w:t>
      </w:r>
      <w:r w:rsidDel="00000000" w:rsidR="00000000" w:rsidRPr="00000000">
        <w:rPr>
          <w:rtl w:val="0"/>
        </w:rPr>
        <w:t xml:space="preserve">, aborda outra questão-chave do seu projeto relacionada à prevalência do vício digital:</w:t>
      </w:r>
    </w:p>
    <w:p w:rsidR="00000000" w:rsidDel="00000000" w:rsidP="00000000" w:rsidRDefault="00000000" w:rsidRPr="00000000" w14:paraId="00000003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 do Projeto:</w:t>
      </w:r>
      <w:r w:rsidDel="00000000" w:rsidR="00000000" w:rsidRPr="00000000">
        <w:rPr>
          <w:rtl w:val="0"/>
        </w:rPr>
        <w:t xml:space="preserve"> Qual é a proporção de participantes classificados em níveis problemáticos ou viciados em internet/mídia social, e como essa prevalência se distribui por </w:t>
      </w:r>
      <w:r w:rsidDel="00000000" w:rsidR="00000000" w:rsidRPr="00000000">
        <w:rPr>
          <w:b w:val="1"/>
          <w:bCs w:val="1"/>
          <w:rtl w:val="0"/>
        </w:rPr>
        <w:t xml:space="preserve">nível acadêmico (Academic_Level)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ind w:left="600" w:right="600" w:firstLine="0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 Adicional do Projeto:</w:t>
      </w:r>
      <w:r w:rsidDel="00000000" w:rsidR="00000000" w:rsidRPr="00000000">
        <w:rPr>
          <w:rtl w:val="0"/>
        </w:rPr>
        <w:t xml:space="preserve"> O risco de alto vício digital (medido por Internet_Addiction_Score no Dataset 1) é mais acentuado em faixas etárias específicas (Age no Dataset 1) ou para determinados </w:t>
      </w:r>
      <w:r w:rsidDel="00000000" w:rsidR="00000000" w:rsidRPr="00000000">
        <w:rPr>
          <w:b w:val="1"/>
          <w:bCs w:val="1"/>
          <w:rtl w:val="0"/>
        </w:rPr>
        <w:t xml:space="preserve">níveis acadêmicos (Academic_Level no Dataset 3)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define </w:t>
      </w:r>
      <w:r w:rsidDel="00000000" w:rsidR="00000000" w:rsidRPr="00000000">
        <w:rPr>
          <w:b w:val="1"/>
          <w:bCs w:val="1"/>
          <w:rtl w:val="0"/>
        </w:rPr>
        <w:t xml:space="preserve">Alto Risco de Vício</w:t>
      </w:r>
      <w:r w:rsidDel="00000000" w:rsidR="00000000" w:rsidRPr="00000000">
        <w:rPr>
          <w:rtl w:val="0"/>
        </w:rPr>
        <w:t xml:space="preserve"> como um </w:t>
      </w:r>
      <w:r w:rsidDel="00000000" w:rsidR="00000000" w:rsidRPr="00000000">
        <w:rPr>
          <w:b w:val="1"/>
          <w:bCs w:val="1"/>
          <w:rtl w:val="0"/>
        </w:rPr>
        <w:t xml:space="preserve">Score &gt;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azygnsrckn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✨ Interpretação e Principais Descobertas</w:t>
      </w:r>
    </w:p>
    <w:p w:rsidR="00000000" w:rsidDel="00000000" w:rsidP="00000000" w:rsidRDefault="00000000" w:rsidRPr="00000000" w14:paraId="00000007">
      <w:pPr>
        <w:spacing w:after="240" w:lineRule="auto"/>
        <w:rPr/>
      </w:pPr>
      <w:r w:rsidDel="00000000" w:rsidR="00000000" w:rsidRPr="00000000">
        <w:rPr>
          <w:rtl w:val="0"/>
        </w:rPr>
        <w:t xml:space="preserve">O gráfico compara o percentual de participantes que se enquadram na categoria de Alto Risco de Vício (Score &gt; 7) entre três grupos de Nível Acadêmico: </w:t>
      </w:r>
      <w:r w:rsidDel="00000000" w:rsidR="00000000" w:rsidRPr="00000000">
        <w:rPr>
          <w:i w:val="1"/>
          <w:iCs w:val="1"/>
          <w:rtl w:val="0"/>
        </w:rPr>
        <w:t xml:space="preserve">Graduate</w:t>
      </w:r>
      <w:r w:rsidDel="00000000" w:rsidR="00000000" w:rsidRPr="00000000">
        <w:rPr>
          <w:rtl w:val="0"/>
        </w:rPr>
        <w:t xml:space="preserve"> (Pós-Graduação), </w:t>
      </w:r>
      <w:r w:rsidDel="00000000" w:rsidR="00000000" w:rsidRPr="00000000">
        <w:rPr>
          <w:i w:val="1"/>
          <w:iCs w:val="1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 (Ensino Médio) e </w:t>
      </w:r>
      <w:r w:rsidDel="00000000" w:rsidR="00000000" w:rsidRPr="00000000">
        <w:rPr>
          <w:i w:val="1"/>
          <w:iCs w:val="1"/>
          <w:rtl w:val="0"/>
        </w:rPr>
        <w:t xml:space="preserve">Undergraduate</w:t>
      </w:r>
      <w:r w:rsidDel="00000000" w:rsidR="00000000" w:rsidRPr="00000000">
        <w:rPr>
          <w:rtl w:val="0"/>
        </w:rPr>
        <w:t xml:space="preserve"> (Graduação).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q9v149rzo1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Grupo com Maior Risco de Vício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grupo </w:t>
      </w:r>
      <w:r w:rsidDel="00000000" w:rsidR="00000000" w:rsidRPr="00000000">
        <w:rPr>
          <w:b w:val="1"/>
          <w:bCs w:val="1"/>
          <w:rtl w:val="0"/>
        </w:rPr>
        <w:t xml:space="preserve">High School (Ensino Médio)</w:t>
      </w:r>
      <w:r w:rsidDel="00000000" w:rsidR="00000000" w:rsidRPr="00000000">
        <w:rPr>
          <w:rtl w:val="0"/>
        </w:rPr>
        <w:t xml:space="preserve"> apresenta o percentual mais alto de participantes em Alto Risco de Vício.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Visualmente, a barra de </w:t>
      </w:r>
      <w:r w:rsidDel="00000000" w:rsidR="00000000" w:rsidRPr="00000000">
        <w:rPr>
          <w:i w:val="1"/>
          <w:iCs w:val="1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 está próxima ou acima de </w:t>
      </w:r>
      <w:r w:rsidDel="00000000" w:rsidR="00000000" w:rsidRPr="00000000">
        <w:rPr>
          <w:b w:val="1"/>
          <w:bCs w:val="1"/>
          <w:rtl w:val="0"/>
        </w:rPr>
        <w:t xml:space="preserve">90%</w:t>
      </w:r>
      <w:r w:rsidDel="00000000" w:rsidR="00000000" w:rsidRPr="00000000">
        <w:rPr>
          <w:rtl w:val="0"/>
        </w:rPr>
        <w:t xml:space="preserve">, sugerindo que a vasta maioria dos estudantes do Ensino Médio na amostra possui um score de vício superior a 7.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yajoqtv3li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Grupos com Menor Risco de Vício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grupo </w:t>
      </w:r>
      <w:r w:rsidDel="00000000" w:rsidR="00000000" w:rsidRPr="00000000">
        <w:rPr>
          <w:b w:val="1"/>
          <w:bCs w:val="1"/>
          <w:rtl w:val="0"/>
        </w:rPr>
        <w:t xml:space="preserve">Undergraduate (Graduação)</w:t>
      </w:r>
      <w:r w:rsidDel="00000000" w:rsidR="00000000" w:rsidRPr="00000000">
        <w:rPr>
          <w:rtl w:val="0"/>
        </w:rPr>
        <w:t xml:space="preserve"> está em segundo lugar, com um percentual de alto risco em torno de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grupo </w:t>
      </w:r>
      <w:r w:rsidDel="00000000" w:rsidR="00000000" w:rsidRPr="00000000">
        <w:rPr>
          <w:b w:val="1"/>
          <w:bCs w:val="1"/>
          <w:rtl w:val="0"/>
        </w:rPr>
        <w:t xml:space="preserve">Graduate (Pós-Graduação)</w:t>
      </w:r>
      <w:r w:rsidDel="00000000" w:rsidR="00000000" w:rsidRPr="00000000">
        <w:rPr>
          <w:rtl w:val="0"/>
        </w:rPr>
        <w:t xml:space="preserve"> apresenta o menor percentual de Alto Risco de Vício, com um valor em torno de </w:t>
      </w:r>
      <w:r w:rsidDel="00000000" w:rsidR="00000000" w:rsidRPr="00000000">
        <w:rPr>
          <w:b w:val="1"/>
          <w:bCs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xj11scxxw6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Diferença e Implicação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Existe uma </w:t>
      </w:r>
      <w:r w:rsidDel="00000000" w:rsidR="00000000" w:rsidRPr="00000000">
        <w:rPr>
          <w:b w:val="1"/>
          <w:bCs w:val="1"/>
          <w:rtl w:val="0"/>
        </w:rPr>
        <w:t xml:space="preserve">diferença acentuada</w:t>
      </w:r>
      <w:r w:rsidDel="00000000" w:rsidR="00000000" w:rsidRPr="00000000">
        <w:rPr>
          <w:rtl w:val="0"/>
        </w:rPr>
        <w:t xml:space="preserve"> no risco de vício entre os níveis.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percentual de Alto Risco de Vício para o </w:t>
      </w:r>
      <w:r w:rsidDel="00000000" w:rsidR="00000000" w:rsidRPr="00000000">
        <w:rPr>
          <w:i w:val="1"/>
          <w:iCs w:val="1"/>
          <w:rtl w:val="0"/>
        </w:rPr>
        <w:t xml:space="preserve">High School</w:t>
      </w:r>
      <w:r w:rsidDel="00000000" w:rsidR="00000000" w:rsidRPr="00000000">
        <w:rPr>
          <w:rtl w:val="0"/>
        </w:rPr>
        <w:t xml:space="preserve"> é </w:t>
      </w:r>
      <w:r w:rsidDel="00000000" w:rsidR="00000000" w:rsidRPr="00000000">
        <w:rPr>
          <w:b w:val="1"/>
          <w:bCs w:val="1"/>
          <w:rtl w:val="0"/>
        </w:rPr>
        <w:t xml:space="preserve">três a quatro vezes maior</w:t>
      </w:r>
      <w:r w:rsidDel="00000000" w:rsidR="00000000" w:rsidRPr="00000000">
        <w:rPr>
          <w:rtl w:val="0"/>
        </w:rPr>
        <w:t xml:space="preserve"> do que os níveis </w:t>
      </w:r>
      <w:r w:rsidDel="00000000" w:rsidR="00000000" w:rsidRPr="00000000">
        <w:rPr>
          <w:i w:val="1"/>
          <w:iCs w:val="1"/>
          <w:rtl w:val="0"/>
        </w:rPr>
        <w:t xml:space="preserve">Undergraduate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Graduate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Implicação:</w:t>
      </w:r>
      <w:r w:rsidDel="00000000" w:rsidR="00000000" w:rsidRPr="00000000">
        <w:rPr>
          <w:rtl w:val="0"/>
        </w:rPr>
        <w:t xml:space="preserve"> Isso sugere que a faixa etária/nível acadêmico correspondente ao Ensino Médio é o </w:t>
      </w:r>
      <w:r w:rsidDel="00000000" w:rsidR="00000000" w:rsidRPr="00000000">
        <w:rPr>
          <w:b w:val="1"/>
          <w:bCs w:val="1"/>
          <w:rtl w:val="0"/>
        </w:rPr>
        <w:t xml:space="preserve">segmento de maior vulnerabilidade</w:t>
      </w:r>
      <w:r w:rsidDel="00000000" w:rsidR="00000000" w:rsidRPr="00000000">
        <w:rPr>
          <w:rtl w:val="0"/>
        </w:rPr>
        <w:t xml:space="preserve"> ao vício digital problemático, o que pode ser crucial para o direcionamento de intervenções. O risco parece diminuir conforme o nível acadêmico aumenta (e, presumivelmente, a idade aumenta).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icawbvzsx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Resposta às Perguntas do Projeto</w:t>
      </w:r>
    </w:p>
    <w:p w:rsidR="00000000" w:rsidDel="00000000" w:rsidP="00000000" w:rsidRDefault="00000000" w:rsidRPr="00000000" w14:paraId="00000014">
      <w:pPr>
        <w:spacing w:after="240" w:lineRule="auto"/>
        <w:rPr>
          <w:sz w:val="40"/>
          <w:szCs w:val="40"/>
          <w:vertAlign w:val="superscript"/>
        </w:rPr>
      </w:pPr>
      <w:r w:rsidDel="00000000" w:rsidR="00000000" w:rsidRPr="00000000">
        <w:rPr>
          <w:b w:val="1"/>
          <w:bCs w:val="1"/>
          <w:rtl w:val="0"/>
        </w:rPr>
        <w:t xml:space="preserve">Pergunta:</w:t>
      </w:r>
      <w:r w:rsidDel="00000000" w:rsidR="00000000" w:rsidRPr="00000000">
        <w:rPr>
          <w:rtl w:val="0"/>
        </w:rPr>
        <w:t xml:space="preserve"> O risco de alto vício digital (medido por Internet_Addiction_Score no Dataset 1) é mais acentuado em faixas etárias específicas (Age no Dataset 1) ou para determinados </w:t>
      </w:r>
      <w:r w:rsidDel="00000000" w:rsidR="00000000" w:rsidRPr="00000000">
        <w:rPr>
          <w:b w:val="1"/>
          <w:bCs w:val="1"/>
          <w:rtl w:val="0"/>
        </w:rPr>
        <w:t xml:space="preserve">níveis acadêmicos (Academic_Level no Dataset 3)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Resposta Baseada no Gráfico: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Sim. O risco de alto vício digital (Score &gt; 7) é significativamente mais acentuado no nível acadêmico High School (Ensino Médio), onde a prevalência atinge cerca de 90% dos participantes. Em contraste, os participantes dos níveis Undergraduate (Graduação, approx 30%) e Graduate (Pós-Graduação, approx 20%) demonstram uma proporção consideravelmente menor na categoria de Alto Risco.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