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before="420" w:line="335.99999999999994" w:lineRule="auto"/>
        <w:rPr>
          <w:b w:val="1"/>
          <w:bCs w:val="1"/>
          <w:color w:val="1b1c1d"/>
          <w:sz w:val="30"/>
          <w:szCs w:val="30"/>
        </w:rPr>
      </w:pPr>
      <w:bookmarkStart w:colFirst="0" w:colLast="0" w:name="_t688hr2r0e1z" w:id="0"/>
      <w:bookmarkEnd w:id="0"/>
      <w:r w:rsidDel="00000000" w:rsidR="00000000" w:rsidRPr="00000000">
        <w:rPr>
          <w:b w:val="1"/>
          <w:bCs w:val="1"/>
          <w:color w:val="1b1c1d"/>
          <w:sz w:val="30"/>
          <w:szCs w:val="30"/>
          <w:rtl w:val="0"/>
        </w:rPr>
        <w:t xml:space="preserve">📊 Análise da Prevalência de Vício Digital (Alto Risco) por Gênero (Dataset 1)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O gráfico de barras fornecido, intitulado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"Prevalência de Vício Digital (Alto Risco) por Gênero (Dataset 1)"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responde diretamente à questão de prevalência de vício por gênero, mas agora utilizando 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proporção percentual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calculada na análise anterior: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ind w:left="600" w:right="600" w:firstLine="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Pergunta do Projeto (Dataset 1):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Qual é a proporção de participantes classificados em níveis problemáticos ou viciados em internet/mídia social, e como essa prevalência se distribui por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gênero (Gender)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O gráfico compara o percentual de participantes classificados em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Alto Risco de Vício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(Viciado/Problemático) entre os grupos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Female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(Feminino) e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(Masculino).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b1c1d"/>
          <w:sz w:val="24"/>
          <w:szCs w:val="24"/>
        </w:rPr>
      </w:pPr>
      <w:bookmarkStart w:colFirst="0" w:colLast="0" w:name="_oy47akhsjc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4"/>
          <w:szCs w:val="24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O gráfico de barras simplificado é ideal para comparar a prevalência (porcentagem) de uma única categoria (Alto Risco) entre os dois grupos.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b1c1d"/>
        </w:rPr>
      </w:pPr>
      <w:bookmarkStart w:colFirst="0" w:colLast="0" w:name="_49u78wlw9n0i" w:id="2"/>
      <w:bookmarkEnd w:id="2"/>
      <w:r w:rsidDel="00000000" w:rsidR="00000000" w:rsidRPr="00000000">
        <w:rPr>
          <w:b w:val="1"/>
          <w:bCs w:val="1"/>
          <w:color w:val="1b1c1d"/>
          <w:rtl w:val="0"/>
        </w:rPr>
        <w:t xml:space="preserve">1. Prevalência Geral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 prevalência de Alto Risco de Vício é alta em ambos os gêneros, ultrapassando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58%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tanto para o gênero masculino quanto para o feminino.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Female (Feminino):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prevalência de Alto Risco é de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60.8%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Male (Masculino):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prevalência de Alto Risco é de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58.0%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b1c1d"/>
        </w:rPr>
      </w:pPr>
      <w:bookmarkStart w:colFirst="0" w:colLast="0" w:name="_uoljn5q44hfs" w:id="3"/>
      <w:bookmarkEnd w:id="3"/>
      <w:r w:rsidDel="00000000" w:rsidR="00000000" w:rsidRPr="00000000">
        <w:rPr>
          <w:b w:val="1"/>
          <w:bCs w:val="1"/>
          <w:color w:val="1b1c1d"/>
          <w:rtl w:val="0"/>
        </w:rPr>
        <w:t xml:space="preserve">2. Diferença e Implicação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O gênero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Feminino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apresenta uma taxa de prevalência de Alto Risco de Vício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ligeiramente maior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(60.8%) em comparação com o gênero Masculino (58.0%).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 diferença é de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2.8 pontos percentuais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Implicação: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diferença é pequena, sugerindo que, na amostra do projeto SOMA, o problema do vício digital em nível problemático/viciado atinge de forma robusta ambos os gêneros, com uma leve tendência de maior prevalência no grupo feminino. No entanto, seria necessário um teste estatístico (como um Teste Qui-Quadrado) para determinar se esta diferença de 2.8 p.p. é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estatisticamente significativa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ou se ocorreu apenas por acaso na amostra.</w:t>
      </w:r>
    </w:p>
    <w:p w:rsidR="00000000" w:rsidDel="00000000" w:rsidP="00000000" w:rsidRDefault="00000000" w:rsidRPr="00000000" w14:paraId="0000000F">
      <w:pPr>
        <w:shd w:fill="ffffff" w:val="clear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120" w:before="420" w:line="360" w:lineRule="auto"/>
        <w:rPr>
          <w:b w:val="1"/>
          <w:bCs w:val="1"/>
          <w:color w:val="1b1c1d"/>
          <w:sz w:val="24"/>
          <w:szCs w:val="24"/>
        </w:rPr>
      </w:pPr>
      <w:bookmarkStart w:colFirst="0" w:colLast="0" w:name="_36xws7s4h33s" w:id="4"/>
      <w:bookmarkEnd w:id="4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Pergunta: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Qual é a proporção de participantes classificados em níveis problemáticos ou viciados em internet/mídia social, e como essa prevalência se distribui por gênero (Gender)?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Resposta Baseada no Gráfico: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prevalência de Alto Risco de Vício Digital é alta para ambos os gêneros na amostra. A distribuição de prevalência é a seguinte: o gênero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Feminino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apresenta 60.8% dos participantes classificados em Alto Risco, enquanto o gênero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Masculino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apresenta 58.0%. Isso indica uma prevalência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ligeiramente maior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de vício digital no grupo feminino (diferença de 2.8 pontos percentuais).</w:t>
      </w:r>
    </w:p>
    <w:p w:rsidR="00000000" w:rsidDel="00000000" w:rsidP="00000000" w:rsidRDefault="00000000" w:rsidRPr="00000000" w14:paraId="00000013">
      <w:pPr>
        <w:shd w:fill="ffffff" w:val="clear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