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09BF" w14:textId="01273CC0" w:rsidR="00203FAE" w:rsidRDefault="00203FAE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Cathy Chang</w:t>
      </w:r>
    </w:p>
    <w:p w14:paraId="59524719" w14:textId="35111ECB" w:rsidR="00203FAE" w:rsidRDefault="00203FAE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Module 4 Pandas Homework Assignment</w:t>
      </w:r>
    </w:p>
    <w:p w14:paraId="6CD72F1B" w14:textId="442331E8" w:rsidR="00203FAE" w:rsidRDefault="00203FAE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PyCitySchools</w:t>
      </w:r>
    </w:p>
    <w:p w14:paraId="3EBF3B38" w14:textId="399F7325" w:rsidR="00203FAE" w:rsidRDefault="00203FAE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Written Report</w:t>
      </w:r>
    </w:p>
    <w:p w14:paraId="492835EB" w14:textId="77777777" w:rsidR="00203FAE" w:rsidRDefault="00203FAE" w:rsidP="00326045">
      <w:pPr>
        <w:pStyle w:val="NoSpacing"/>
        <w:rPr>
          <w:sz w:val="20"/>
          <w:szCs w:val="20"/>
        </w:rPr>
      </w:pPr>
    </w:p>
    <w:p w14:paraId="41151C82" w14:textId="77777777" w:rsidR="00E428FA" w:rsidRDefault="00E428FA" w:rsidP="00E428F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Overall, students achieve higher Reading scores than Math scores, regardless of school type, size, budget per student, or grade level. The average Reading score was 81.87%, with 85.80% of students passing Reading. In contrast, average Math score was 78.98% with 74.98% of students passing math.</w:t>
      </w:r>
    </w:p>
    <w:p w14:paraId="53EDAEE4" w14:textId="77777777" w:rsidR="00E428FA" w:rsidRDefault="00E428FA" w:rsidP="00326045">
      <w:pPr>
        <w:pStyle w:val="NoSpacing"/>
        <w:rPr>
          <w:sz w:val="20"/>
          <w:szCs w:val="20"/>
        </w:rPr>
      </w:pPr>
    </w:p>
    <w:p w14:paraId="4FEAC71A" w14:textId="61F37573" w:rsidR="00203FAE" w:rsidRDefault="009678FB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Higher Budget Spent Per Student does not appear to </w:t>
      </w:r>
      <w:r w:rsidR="00203FAE">
        <w:rPr>
          <w:sz w:val="20"/>
          <w:szCs w:val="20"/>
        </w:rPr>
        <w:t>correlate with</w:t>
      </w:r>
      <w:r>
        <w:rPr>
          <w:sz w:val="20"/>
          <w:szCs w:val="20"/>
        </w:rPr>
        <w:t xml:space="preserve"> </w:t>
      </w:r>
      <w:r w:rsidR="00203FAE">
        <w:rPr>
          <w:sz w:val="20"/>
          <w:szCs w:val="20"/>
        </w:rPr>
        <w:t xml:space="preserve">stronger </w:t>
      </w:r>
      <w:r>
        <w:rPr>
          <w:sz w:val="20"/>
          <w:szCs w:val="20"/>
        </w:rPr>
        <w:t>math and reading scores. In fact, the schools with the highest per student budget ($645+) drove the lowest math and reading scores.</w:t>
      </w:r>
      <w:r w:rsidR="00B31E36">
        <w:rPr>
          <w:sz w:val="20"/>
          <w:szCs w:val="20"/>
        </w:rPr>
        <w:t xml:space="preserve"> Th</w:t>
      </w:r>
      <w:r w:rsidR="00203FAE">
        <w:rPr>
          <w:sz w:val="20"/>
          <w:szCs w:val="20"/>
        </w:rPr>
        <w:t>is may be because the</w:t>
      </w:r>
      <w:r w:rsidR="00B31E36">
        <w:rPr>
          <w:sz w:val="20"/>
          <w:szCs w:val="20"/>
        </w:rPr>
        <w:t xml:space="preserve"> range of per student budgets is fairly narrow, ranging from $578 to $655</w:t>
      </w:r>
      <w:r w:rsidR="00203FAE">
        <w:rPr>
          <w:sz w:val="20"/>
          <w:szCs w:val="20"/>
        </w:rPr>
        <w:t>. More analysis is needed of schools with budgets lower and higher than this range.</w:t>
      </w:r>
    </w:p>
    <w:p w14:paraId="7BC24D6D" w14:textId="77777777" w:rsidR="00203FAE" w:rsidRDefault="00203FAE" w:rsidP="00326045">
      <w:pPr>
        <w:pStyle w:val="NoSpacing"/>
        <w:rPr>
          <w:sz w:val="20"/>
          <w:szCs w:val="20"/>
        </w:rPr>
      </w:pPr>
    </w:p>
    <w:p w14:paraId="1790DEED" w14:textId="69A8426C" w:rsidR="009678FB" w:rsidRDefault="00203FAE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Based on the data provided,</w:t>
      </w:r>
      <w:r w:rsidR="00B31E36">
        <w:rPr>
          <w:sz w:val="20"/>
          <w:szCs w:val="20"/>
        </w:rPr>
        <w:t xml:space="preserve"> the number of students attending a school may be a bigger </w:t>
      </w:r>
      <w:r w:rsidR="009678FB">
        <w:rPr>
          <w:sz w:val="20"/>
          <w:szCs w:val="20"/>
        </w:rPr>
        <w:t>contributing factor to a school's success with math and reading scores.</w:t>
      </w:r>
      <w:r>
        <w:rPr>
          <w:sz w:val="20"/>
          <w:szCs w:val="20"/>
        </w:rPr>
        <w:t xml:space="preserve"> </w:t>
      </w:r>
      <w:r w:rsidR="009678FB">
        <w:rPr>
          <w:sz w:val="20"/>
          <w:szCs w:val="20"/>
        </w:rPr>
        <w:t>In medium</w:t>
      </w:r>
      <w:r w:rsidR="00E428FA">
        <w:rPr>
          <w:sz w:val="20"/>
          <w:szCs w:val="20"/>
        </w:rPr>
        <w:t xml:space="preserve"> size</w:t>
      </w:r>
      <w:r w:rsidR="009678FB">
        <w:rPr>
          <w:sz w:val="20"/>
          <w:szCs w:val="20"/>
        </w:rPr>
        <w:t xml:space="preserve"> schools (1000-2000 students), 90.62% of students scored overall passing grades. Small </w:t>
      </w:r>
      <w:r w:rsidR="00E428FA">
        <w:rPr>
          <w:sz w:val="20"/>
          <w:szCs w:val="20"/>
        </w:rPr>
        <w:t xml:space="preserve">size </w:t>
      </w:r>
      <w:r w:rsidR="009678FB">
        <w:rPr>
          <w:sz w:val="20"/>
          <w:szCs w:val="20"/>
        </w:rPr>
        <w:t xml:space="preserve">schools (&lt;1000 students) followed close behind with 89.88% of students passing. However, in large </w:t>
      </w:r>
      <w:r w:rsidR="00E428FA">
        <w:rPr>
          <w:sz w:val="20"/>
          <w:szCs w:val="20"/>
        </w:rPr>
        <w:t xml:space="preserve">size </w:t>
      </w:r>
      <w:r w:rsidR="009678FB">
        <w:rPr>
          <w:sz w:val="20"/>
          <w:szCs w:val="20"/>
        </w:rPr>
        <w:t>schools, those with 2000-5000 students, only 58.29% scored passing grades.</w:t>
      </w:r>
    </w:p>
    <w:p w14:paraId="0E57274A" w14:textId="408AEBFE" w:rsidR="00B31E36" w:rsidRDefault="00B31E36" w:rsidP="00326045">
      <w:pPr>
        <w:pStyle w:val="NoSpacing"/>
        <w:rPr>
          <w:sz w:val="20"/>
          <w:szCs w:val="20"/>
        </w:rPr>
      </w:pPr>
    </w:p>
    <w:p w14:paraId="237CD5A2" w14:textId="3C612EF5" w:rsidR="00B31E36" w:rsidRDefault="00E428FA" w:rsidP="003260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School type also appears to influence passing score performance - </w:t>
      </w:r>
      <w:r w:rsidR="009678FB">
        <w:rPr>
          <w:sz w:val="20"/>
          <w:szCs w:val="20"/>
        </w:rPr>
        <w:t xml:space="preserve">Charter schools dramatically outperformed District schools in terms of students with overall passing grades (90.43% vs. 53.67%). </w:t>
      </w:r>
      <w:r w:rsidR="00B31E36">
        <w:rPr>
          <w:sz w:val="20"/>
          <w:szCs w:val="20"/>
        </w:rPr>
        <w:t>This is further supported by the top 5 schools by percent of overall passing students all being Charter schools, vs. the bottom 5 schools which were all District schools.</w:t>
      </w:r>
    </w:p>
    <w:p w14:paraId="6A2CC60B" w14:textId="6EC01885" w:rsidR="00B31E36" w:rsidRPr="00326045" w:rsidRDefault="00B31E36" w:rsidP="00326045">
      <w:pPr>
        <w:pStyle w:val="NoSpacing"/>
        <w:rPr>
          <w:sz w:val="20"/>
          <w:szCs w:val="20"/>
        </w:rPr>
      </w:pPr>
    </w:p>
    <w:sectPr w:rsidR="00B31E36" w:rsidRPr="0032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45"/>
    <w:rsid w:val="00203FAE"/>
    <w:rsid w:val="002A47FB"/>
    <w:rsid w:val="00326045"/>
    <w:rsid w:val="009678FB"/>
    <w:rsid w:val="009D11DB"/>
    <w:rsid w:val="00B31E36"/>
    <w:rsid w:val="00E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F65"/>
  <w15:chartTrackingRefBased/>
  <w15:docId w15:val="{155C3C97-E804-45B4-9865-63D80B31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Chang</dc:creator>
  <cp:keywords/>
  <dc:description/>
  <cp:lastModifiedBy>Cathy Chang</cp:lastModifiedBy>
  <cp:revision>3</cp:revision>
  <dcterms:created xsi:type="dcterms:W3CDTF">2022-10-08T13:54:00Z</dcterms:created>
  <dcterms:modified xsi:type="dcterms:W3CDTF">2022-10-09T19:41:00Z</dcterms:modified>
</cp:coreProperties>
</file>