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DO NOT CHANGE THE FORMATTING OF THIS DOCUMENT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Title: </w:t>
      </w:r>
      <w:r w:rsidDel="00000000" w:rsidR="00000000" w:rsidRPr="00000000">
        <w:rPr>
          <w:sz w:val="20"/>
          <w:szCs w:val="20"/>
          <w:rtl w:val="0"/>
        </w:rPr>
        <w:t xml:space="preserve">From Harvest to Food Security: Machine Learning Forecasts for the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0"/>
          <w:szCs w:val="20"/>
          <w:highlight w:val="white"/>
          <w:vertAlign w:val="superscript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Authors: </w:t>
      </w:r>
      <w:r w:rsidDel="00000000" w:rsidR="00000000" w:rsidRPr="00000000">
        <w:rPr>
          <w:sz w:val="20"/>
          <w:szCs w:val="20"/>
          <w:rtl w:val="0"/>
        </w:rPr>
        <w:t xml:space="preserve">Cathy Rong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,2</w:t>
      </w:r>
      <w:r w:rsidDel="00000000" w:rsidR="00000000" w:rsidRPr="00000000">
        <w:rPr>
          <w:sz w:val="20"/>
          <w:szCs w:val="20"/>
          <w:rtl w:val="0"/>
        </w:rPr>
        <w:t xml:space="preserve">, Safiya Taher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, Sabrina Qian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, Renisa Ghosh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, Arthur Jiang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Affiliation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Old Scona Academic High School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United World College Red Cross Nordic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Abstract:</w:t>
      </w:r>
      <w:r w:rsidDel="00000000" w:rsidR="00000000" w:rsidRPr="00000000">
        <w:rPr>
          <w:sz w:val="20"/>
          <w:szCs w:val="20"/>
          <w:rtl w:val="0"/>
        </w:rPr>
        <w:t xml:space="preserve"> Food insecurity persists even in high-output agricultural systems, underscoring the need for timely national indicators. This study tests whether U.S. agricultural production signals can predict changes in a composite Food Security Index (FSI) using annual data (1970-2023) integrating USDA NASS QuickStats measures for three major staple crops: corn, soybeans, and wheat (yield, production, and area harvested) as well as engineering shock and lag features.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The prediction target expresses changes in a FSI scaled from [0,1] (higher = more food secure) constructed from four national indicators, including FAOSTAT supply/production measures and macro-climate variables: Food production index, Dietary energy supply, GDP per capita, and Temperature change on land. We first used regression models (Random Forest, RidgeCV, and Gradient Boosting) trained on 1970-2012 and tested on 2013-2023 data to predict annual changes in food security, ΔFSI(t), evaluating accuracy with RMSE/MAE/ R^2 against a persistence baseline FSI(t-1), and then converted ΔFSI into a binary direction label (positive &gt;0, negative ≤0) to assess how well the same models predict year-to-year improvement vs decline using balanced accuracy.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Overall, results showed that the national crop statistics contain measurable predictive indicators for annual food security dynamics and motive extensions.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