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any whole integers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decimal numbers</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holds true or false values; used as on/off switches </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decimal numbers, holds less digits than double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a single character</w:t>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integer between </w:t>
            </w:r>
            <w:r w:rsidDel="00000000" w:rsidR="00000000" w:rsidRPr="00000000">
              <w:rPr>
                <w:b w:val="1"/>
                <w:sz w:val="28"/>
                <w:szCs w:val="28"/>
                <w:rtl w:val="0"/>
              </w:rPr>
              <w:t xml:space="preserve">– 32,768 and 32,767</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integer between </w:t>
            </w:r>
            <w:r w:rsidDel="00000000" w:rsidR="00000000" w:rsidRPr="00000000">
              <w:rPr>
                <w:b w:val="1"/>
                <w:sz w:val="28"/>
                <w:szCs w:val="28"/>
                <w:rtl w:val="0"/>
              </w:rPr>
              <w:t xml:space="preserve">–9,223,372,036,854,775,808 and</w:t>
            </w:r>
          </w:p>
          <w:p w:rsidR="00000000" w:rsidDel="00000000" w:rsidP="00000000" w:rsidRDefault="00000000" w:rsidRPr="00000000">
            <w:pPr>
              <w:contextualSpacing w:val="0"/>
            </w:pPr>
            <w:r w:rsidDel="00000000" w:rsidR="00000000" w:rsidRPr="00000000">
              <w:rPr>
                <w:b w:val="1"/>
                <w:sz w:val="28"/>
                <w:szCs w:val="28"/>
                <w:rtl w:val="0"/>
              </w:rPr>
              <w:t xml:space="preserve">9 ,223,372,036,854,775,807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