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5C5" w:rsidRPr="009275C5" w:rsidRDefault="009275C5" w:rsidP="009275C5">
      <w:pPr>
        <w:shd w:val="clear" w:color="auto" w:fill="FFFFFF"/>
        <w:spacing w:after="0" w:line="336" w:lineRule="atLeast"/>
        <w:outlineLvl w:val="0"/>
        <w:rPr>
          <w:rFonts w:ascii="Times New Roman" w:eastAsia="Times New Roman" w:hAnsi="Times New Roman" w:cs="Times New Roman"/>
          <w:b/>
          <w:bCs/>
          <w:color w:val="333333"/>
          <w:kern w:val="36"/>
          <w:sz w:val="38"/>
          <w:szCs w:val="38"/>
        </w:rPr>
      </w:pPr>
      <w:r w:rsidRPr="009275C5">
        <w:rPr>
          <w:rFonts w:ascii="Times New Roman" w:eastAsia="Times New Roman" w:hAnsi="Times New Roman" w:cs="Times New Roman"/>
          <w:b/>
          <w:bCs/>
          <w:color w:val="333333"/>
          <w:kern w:val="36"/>
          <w:sz w:val="38"/>
          <w:szCs w:val="38"/>
        </w:rPr>
        <w:t>About the Atlas</w:t>
      </w:r>
    </w:p>
    <w:p w:rsidR="009275C5" w:rsidRPr="009275C5" w:rsidRDefault="009275C5" w:rsidP="009275C5">
      <w:pPr>
        <w:shd w:val="clear" w:color="auto" w:fill="FFFFFF"/>
        <w:spacing w:after="0" w:line="360" w:lineRule="atLeast"/>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t>About the Food Environment Atlas</w:t>
      </w:r>
    </w:p>
    <w:p w:rsidR="009275C5" w:rsidRPr="009275C5" w:rsidRDefault="009275C5" w:rsidP="009275C5">
      <w:pPr>
        <w:numPr>
          <w:ilvl w:val="0"/>
          <w:numId w:val="1"/>
        </w:numPr>
        <w:shd w:val="clear" w:color="auto" w:fill="FFFFFF"/>
        <w:spacing w:before="100" w:beforeAutospacing="1" w:after="100" w:afterAutospacing="1" w:line="360" w:lineRule="atLeast"/>
        <w:ind w:left="0"/>
        <w:rPr>
          <w:rFonts w:ascii="Source Sans Pro" w:eastAsia="Times New Roman" w:hAnsi="Source Sans Pro" w:cs="Times New Roman"/>
          <w:color w:val="333333"/>
          <w:sz w:val="24"/>
          <w:szCs w:val="24"/>
        </w:rPr>
      </w:pPr>
      <w:hyperlink r:id="rId5" w:anchor="objectives" w:history="1">
        <w:r w:rsidRPr="009275C5">
          <w:rPr>
            <w:rFonts w:ascii="Source Sans Pro" w:eastAsia="Times New Roman" w:hAnsi="Source Sans Pro" w:cs="Times New Roman"/>
            <w:color w:val="4C2C92"/>
            <w:sz w:val="24"/>
            <w:szCs w:val="24"/>
          </w:rPr>
          <w:t>Objectives of the Atlas</w:t>
        </w:r>
      </w:hyperlink>
    </w:p>
    <w:p w:rsidR="009275C5" w:rsidRPr="009275C5" w:rsidRDefault="009275C5" w:rsidP="009275C5">
      <w:pPr>
        <w:numPr>
          <w:ilvl w:val="0"/>
          <w:numId w:val="1"/>
        </w:numPr>
        <w:shd w:val="clear" w:color="auto" w:fill="FFFFFF"/>
        <w:spacing w:before="100" w:beforeAutospacing="1" w:after="100" w:afterAutospacing="1" w:line="360" w:lineRule="atLeast"/>
        <w:ind w:left="0"/>
        <w:rPr>
          <w:rFonts w:ascii="Source Sans Pro" w:eastAsia="Times New Roman" w:hAnsi="Source Sans Pro" w:cs="Times New Roman"/>
          <w:color w:val="333333"/>
          <w:sz w:val="24"/>
          <w:szCs w:val="24"/>
        </w:rPr>
      </w:pPr>
      <w:hyperlink r:id="rId6" w:anchor="information" w:history="1">
        <w:r w:rsidRPr="009275C5">
          <w:rPr>
            <w:rFonts w:ascii="Source Sans Pro" w:eastAsia="Times New Roman" w:hAnsi="Source Sans Pro" w:cs="Times New Roman"/>
            <w:color w:val="4C2C92"/>
            <w:sz w:val="24"/>
            <w:szCs w:val="24"/>
          </w:rPr>
          <w:t>What information is included in the Atlas?</w:t>
        </w:r>
      </w:hyperlink>
    </w:p>
    <w:p w:rsidR="009275C5" w:rsidRPr="009275C5" w:rsidRDefault="009275C5" w:rsidP="009275C5">
      <w:pPr>
        <w:numPr>
          <w:ilvl w:val="0"/>
          <w:numId w:val="1"/>
        </w:numPr>
        <w:shd w:val="clear" w:color="auto" w:fill="FFFFFF"/>
        <w:spacing w:before="100" w:beforeAutospacing="1" w:after="100" w:afterAutospacing="1" w:line="360" w:lineRule="atLeast"/>
        <w:ind w:left="0"/>
        <w:rPr>
          <w:rFonts w:ascii="Source Sans Pro" w:eastAsia="Times New Roman" w:hAnsi="Source Sans Pro" w:cs="Times New Roman"/>
          <w:color w:val="333333"/>
          <w:sz w:val="24"/>
          <w:szCs w:val="24"/>
        </w:rPr>
      </w:pPr>
      <w:hyperlink r:id="rId7" w:anchor="users" w:history="1">
        <w:r w:rsidRPr="009275C5">
          <w:rPr>
            <w:rFonts w:ascii="Source Sans Pro" w:eastAsia="Times New Roman" w:hAnsi="Source Sans Pro" w:cs="Times New Roman"/>
            <w:color w:val="4C2C92"/>
            <w:sz w:val="24"/>
            <w:szCs w:val="24"/>
          </w:rPr>
          <w:t>What can users do with the Atlas?</w:t>
        </w:r>
      </w:hyperlink>
    </w:p>
    <w:p w:rsidR="009275C5" w:rsidRPr="009275C5" w:rsidRDefault="009275C5" w:rsidP="009275C5">
      <w:pPr>
        <w:numPr>
          <w:ilvl w:val="0"/>
          <w:numId w:val="1"/>
        </w:numPr>
        <w:shd w:val="clear" w:color="auto" w:fill="FFFFFF"/>
        <w:spacing w:before="100" w:beforeAutospacing="1" w:after="100" w:afterAutospacing="1" w:line="360" w:lineRule="atLeast"/>
        <w:ind w:left="0"/>
        <w:rPr>
          <w:rFonts w:ascii="Source Sans Pro" w:eastAsia="Times New Roman" w:hAnsi="Source Sans Pro" w:cs="Times New Roman"/>
          <w:color w:val="333333"/>
          <w:sz w:val="24"/>
          <w:szCs w:val="24"/>
        </w:rPr>
      </w:pPr>
      <w:hyperlink r:id="rId8" w:anchor="citation" w:history="1">
        <w:r w:rsidRPr="009275C5">
          <w:rPr>
            <w:rFonts w:ascii="Source Sans Pro" w:eastAsia="Times New Roman" w:hAnsi="Source Sans Pro" w:cs="Times New Roman"/>
            <w:color w:val="4C2C92"/>
            <w:sz w:val="24"/>
            <w:szCs w:val="24"/>
          </w:rPr>
          <w:t>Recommended Citation</w:t>
        </w:r>
      </w:hyperlink>
    </w:p>
    <w:p w:rsidR="009275C5" w:rsidRPr="009275C5" w:rsidRDefault="009275C5" w:rsidP="009275C5">
      <w:pPr>
        <w:numPr>
          <w:ilvl w:val="0"/>
          <w:numId w:val="1"/>
        </w:numPr>
        <w:shd w:val="clear" w:color="auto" w:fill="FFFFFF"/>
        <w:spacing w:before="100" w:beforeAutospacing="1" w:after="100" w:afterAutospacing="1" w:line="360" w:lineRule="atLeast"/>
        <w:ind w:left="0"/>
        <w:rPr>
          <w:rFonts w:ascii="Source Sans Pro" w:eastAsia="Times New Roman" w:hAnsi="Source Sans Pro" w:cs="Times New Roman"/>
          <w:color w:val="333333"/>
          <w:sz w:val="24"/>
          <w:szCs w:val="24"/>
        </w:rPr>
      </w:pPr>
      <w:hyperlink r:id="rId9" w:anchor="acknowledgments" w:history="1">
        <w:r w:rsidRPr="009275C5">
          <w:rPr>
            <w:rFonts w:ascii="Source Sans Pro" w:eastAsia="Times New Roman" w:hAnsi="Source Sans Pro" w:cs="Times New Roman"/>
            <w:color w:val="4C2C92"/>
            <w:sz w:val="24"/>
            <w:szCs w:val="24"/>
          </w:rPr>
          <w:t>Acknowledgments</w:t>
        </w:r>
      </w:hyperlink>
    </w:p>
    <w:p w:rsidR="009275C5" w:rsidRPr="009275C5" w:rsidRDefault="009275C5" w:rsidP="009275C5">
      <w:pPr>
        <w:shd w:val="clear" w:color="auto" w:fill="FFFFFF"/>
        <w:spacing w:after="150" w:line="360" w:lineRule="atLeast"/>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pict>
          <v:rect id="_x0000_i1025" style="width:0;height:0" o:hralign="center" o:hrstd="t" o:hrnoshade="t" o:hr="t" fillcolor="#ccc" stroked="f"/>
        </w:pict>
      </w:r>
    </w:p>
    <w:p w:rsidR="009275C5" w:rsidRPr="009275C5" w:rsidRDefault="009275C5" w:rsidP="009275C5">
      <w:pPr>
        <w:shd w:val="clear" w:color="auto" w:fill="FFFFFF"/>
        <w:spacing w:after="0" w:line="336" w:lineRule="atLeast"/>
        <w:outlineLvl w:val="1"/>
        <w:rPr>
          <w:rFonts w:ascii="Times New Roman" w:eastAsia="Times New Roman" w:hAnsi="Times New Roman" w:cs="Times New Roman"/>
          <w:b/>
          <w:bCs/>
          <w:color w:val="333333"/>
          <w:sz w:val="30"/>
          <w:szCs w:val="30"/>
        </w:rPr>
      </w:pPr>
      <w:bookmarkStart w:id="0" w:name="objectives"/>
      <w:bookmarkEnd w:id="0"/>
      <w:r w:rsidRPr="009275C5">
        <w:rPr>
          <w:rFonts w:ascii="Times New Roman" w:eastAsia="Times New Roman" w:hAnsi="Times New Roman" w:cs="Times New Roman"/>
          <w:b/>
          <w:bCs/>
          <w:color w:val="333333"/>
          <w:sz w:val="30"/>
          <w:szCs w:val="30"/>
        </w:rPr>
        <w:t>Objectives of the Atlas</w:t>
      </w:r>
    </w:p>
    <w:p w:rsidR="009275C5" w:rsidRPr="009275C5" w:rsidRDefault="009275C5" w:rsidP="009275C5">
      <w:pPr>
        <w:shd w:val="clear" w:color="auto" w:fill="FFFFFF"/>
        <w:spacing w:after="0" w:line="360" w:lineRule="atLeast"/>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t>Food environment factors—such as store/restaurant proximity, food prices, food and nutrition assistance programs, and community characteristics—interact to influence food choices and diet quality. Research has been documenting the complexity of these interactions, but more research is needed to identify causal relationships and effective policy interventions.</w:t>
      </w:r>
    </w:p>
    <w:p w:rsidR="009275C5" w:rsidRPr="009275C5" w:rsidRDefault="009275C5" w:rsidP="009275C5">
      <w:pPr>
        <w:shd w:val="clear" w:color="auto" w:fill="FFFFFF"/>
        <w:spacing w:after="0" w:line="360" w:lineRule="atLeast"/>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t>The objectives of the Atlas are:</w:t>
      </w:r>
    </w:p>
    <w:p w:rsidR="009275C5" w:rsidRPr="009275C5" w:rsidRDefault="009275C5" w:rsidP="009275C5">
      <w:pPr>
        <w:numPr>
          <w:ilvl w:val="0"/>
          <w:numId w:val="2"/>
        </w:numPr>
        <w:shd w:val="clear" w:color="auto" w:fill="FFFFFF"/>
        <w:spacing w:after="0" w:line="360" w:lineRule="atLeast"/>
        <w:ind w:left="0"/>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t>to assemble statistics on food environment indicators to stimulate research on the determinants of food choices and diet quality, and</w:t>
      </w:r>
    </w:p>
    <w:p w:rsidR="009275C5" w:rsidRPr="009275C5" w:rsidRDefault="009275C5" w:rsidP="009275C5">
      <w:pPr>
        <w:numPr>
          <w:ilvl w:val="0"/>
          <w:numId w:val="2"/>
        </w:numPr>
        <w:shd w:val="clear" w:color="auto" w:fill="FFFFFF"/>
        <w:spacing w:after="0" w:line="360" w:lineRule="atLeast"/>
        <w:ind w:left="0"/>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t>to provide a spatial overview of a community's ability to access healthy food and its success in doing so.</w:t>
      </w:r>
    </w:p>
    <w:p w:rsidR="009275C5" w:rsidRPr="009275C5" w:rsidRDefault="009275C5" w:rsidP="009275C5">
      <w:pPr>
        <w:shd w:val="clear" w:color="auto" w:fill="FFFFFF"/>
        <w:spacing w:after="150" w:line="360" w:lineRule="atLeast"/>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pict>
          <v:rect id="_x0000_i1026" style="width:0;height:0" o:hralign="center" o:hrstd="t" o:hrnoshade="t" o:hr="t" fillcolor="#ccc" stroked="f"/>
        </w:pict>
      </w:r>
    </w:p>
    <w:p w:rsidR="009275C5" w:rsidRPr="009275C5" w:rsidRDefault="009275C5" w:rsidP="009275C5">
      <w:pPr>
        <w:shd w:val="clear" w:color="auto" w:fill="FFFFFF"/>
        <w:spacing w:after="0" w:line="336" w:lineRule="atLeast"/>
        <w:outlineLvl w:val="1"/>
        <w:rPr>
          <w:rFonts w:ascii="Times New Roman" w:eastAsia="Times New Roman" w:hAnsi="Times New Roman" w:cs="Times New Roman"/>
          <w:b/>
          <w:bCs/>
          <w:color w:val="333333"/>
          <w:sz w:val="30"/>
          <w:szCs w:val="30"/>
        </w:rPr>
      </w:pPr>
      <w:bookmarkStart w:id="1" w:name="information"/>
      <w:bookmarkEnd w:id="1"/>
      <w:r w:rsidRPr="009275C5">
        <w:rPr>
          <w:rFonts w:ascii="Times New Roman" w:eastAsia="Times New Roman" w:hAnsi="Times New Roman" w:cs="Times New Roman"/>
          <w:b/>
          <w:bCs/>
          <w:color w:val="333333"/>
          <w:sz w:val="30"/>
          <w:szCs w:val="30"/>
        </w:rPr>
        <w:t>What information is included in the Atlas?</w:t>
      </w:r>
    </w:p>
    <w:p w:rsidR="009275C5" w:rsidRPr="009275C5" w:rsidRDefault="009275C5" w:rsidP="009275C5">
      <w:pPr>
        <w:shd w:val="clear" w:color="auto" w:fill="FFFFFF"/>
        <w:spacing w:after="0" w:line="360" w:lineRule="atLeast"/>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t>The Atlas assembles statistics on three broad categories of food environment factors:</w:t>
      </w:r>
    </w:p>
    <w:p w:rsidR="009275C5" w:rsidRPr="009275C5" w:rsidRDefault="009275C5" w:rsidP="009275C5">
      <w:pPr>
        <w:numPr>
          <w:ilvl w:val="0"/>
          <w:numId w:val="3"/>
        </w:numPr>
        <w:shd w:val="clear" w:color="auto" w:fill="FFFFFF"/>
        <w:spacing w:after="0" w:line="360" w:lineRule="atLeast"/>
        <w:ind w:left="0"/>
        <w:rPr>
          <w:rFonts w:ascii="Source Sans Pro" w:eastAsia="Times New Roman" w:hAnsi="Source Sans Pro" w:cs="Times New Roman"/>
          <w:color w:val="333333"/>
          <w:sz w:val="24"/>
          <w:szCs w:val="24"/>
        </w:rPr>
      </w:pPr>
      <w:r w:rsidRPr="009275C5">
        <w:rPr>
          <w:rFonts w:ascii="Source Sans Pro" w:eastAsia="Times New Roman" w:hAnsi="Source Sans Pro" w:cs="Times New Roman"/>
          <w:b/>
          <w:bCs/>
          <w:color w:val="333333"/>
          <w:sz w:val="24"/>
          <w:szCs w:val="24"/>
        </w:rPr>
        <w:t>Food Choices—</w:t>
      </w:r>
      <w:r w:rsidRPr="009275C5">
        <w:rPr>
          <w:rFonts w:ascii="Source Sans Pro" w:eastAsia="Times New Roman" w:hAnsi="Source Sans Pro" w:cs="Times New Roman"/>
          <w:color w:val="333333"/>
          <w:sz w:val="24"/>
          <w:szCs w:val="24"/>
        </w:rPr>
        <w:t>Indicators of the community's access to and acquisition of healthy, affordable food, such as: access and proximity to a grocery store; number of foodstores and restaurants; expenditures on fast foods; food and nutrition assistance program participation; food prices; food taxes; and availability of local foods.</w:t>
      </w:r>
    </w:p>
    <w:p w:rsidR="009275C5" w:rsidRPr="009275C5" w:rsidRDefault="009275C5" w:rsidP="009275C5">
      <w:pPr>
        <w:numPr>
          <w:ilvl w:val="0"/>
          <w:numId w:val="3"/>
        </w:numPr>
        <w:shd w:val="clear" w:color="auto" w:fill="FFFFFF"/>
        <w:spacing w:after="0" w:line="360" w:lineRule="atLeast"/>
        <w:ind w:left="0"/>
        <w:rPr>
          <w:rFonts w:ascii="Source Sans Pro" w:eastAsia="Times New Roman" w:hAnsi="Source Sans Pro" w:cs="Times New Roman"/>
          <w:color w:val="333333"/>
          <w:sz w:val="24"/>
          <w:szCs w:val="24"/>
        </w:rPr>
      </w:pPr>
      <w:r w:rsidRPr="009275C5">
        <w:rPr>
          <w:rFonts w:ascii="Source Sans Pro" w:eastAsia="Times New Roman" w:hAnsi="Source Sans Pro" w:cs="Times New Roman"/>
          <w:b/>
          <w:bCs/>
          <w:color w:val="333333"/>
          <w:sz w:val="24"/>
          <w:szCs w:val="24"/>
        </w:rPr>
        <w:t>Health and Well-Being—</w:t>
      </w:r>
      <w:r w:rsidRPr="009275C5">
        <w:rPr>
          <w:rFonts w:ascii="Source Sans Pro" w:eastAsia="Times New Roman" w:hAnsi="Source Sans Pro" w:cs="Times New Roman"/>
          <w:color w:val="333333"/>
          <w:sz w:val="24"/>
          <w:szCs w:val="24"/>
        </w:rPr>
        <w:t>Indicators of the community's success in maintaining healthy diets, such as: food insecurity; diabetes and obesity rates; and physical activity levels.</w:t>
      </w:r>
    </w:p>
    <w:p w:rsidR="009275C5" w:rsidRPr="009275C5" w:rsidRDefault="009275C5" w:rsidP="009275C5">
      <w:pPr>
        <w:numPr>
          <w:ilvl w:val="0"/>
          <w:numId w:val="3"/>
        </w:numPr>
        <w:shd w:val="clear" w:color="auto" w:fill="FFFFFF"/>
        <w:spacing w:after="0" w:line="360" w:lineRule="atLeast"/>
        <w:ind w:left="0"/>
        <w:rPr>
          <w:rFonts w:ascii="Source Sans Pro" w:eastAsia="Times New Roman" w:hAnsi="Source Sans Pro" w:cs="Times New Roman"/>
          <w:color w:val="333333"/>
          <w:sz w:val="24"/>
          <w:szCs w:val="24"/>
        </w:rPr>
      </w:pPr>
      <w:r w:rsidRPr="009275C5">
        <w:rPr>
          <w:rFonts w:ascii="Source Sans Pro" w:eastAsia="Times New Roman" w:hAnsi="Source Sans Pro" w:cs="Times New Roman"/>
          <w:b/>
          <w:bCs/>
          <w:color w:val="333333"/>
          <w:sz w:val="24"/>
          <w:szCs w:val="24"/>
        </w:rPr>
        <w:t>Community Characteristics—</w:t>
      </w:r>
      <w:r w:rsidRPr="009275C5">
        <w:rPr>
          <w:rFonts w:ascii="Source Sans Pro" w:eastAsia="Times New Roman" w:hAnsi="Source Sans Pro" w:cs="Times New Roman"/>
          <w:color w:val="333333"/>
          <w:sz w:val="24"/>
          <w:szCs w:val="24"/>
        </w:rPr>
        <w:t>Indicators of community characteristics that might influence the food environment, such as: demographic composition; income and poverty; population loss; metro-nonmetro status; natural amenities; and recreation and fitness centers.</w:t>
      </w:r>
    </w:p>
    <w:p w:rsidR="009275C5" w:rsidRPr="009275C5" w:rsidRDefault="009275C5" w:rsidP="009275C5">
      <w:pPr>
        <w:shd w:val="clear" w:color="auto" w:fill="FFFFFF"/>
        <w:spacing w:after="0" w:line="360" w:lineRule="atLeast"/>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t xml:space="preserve">The Atlas currently includes over 275 indicators of the food environment. The year and geographic level of the indicators vary to better accommodate data from a variety of sources. </w:t>
      </w:r>
      <w:r w:rsidRPr="009275C5">
        <w:rPr>
          <w:rFonts w:ascii="Source Sans Pro" w:eastAsia="Times New Roman" w:hAnsi="Source Sans Pro" w:cs="Times New Roman"/>
          <w:color w:val="333333"/>
          <w:sz w:val="24"/>
          <w:szCs w:val="24"/>
        </w:rPr>
        <w:lastRenderedPageBreak/>
        <w:t>Some indicators are at the county level while others are at the State or regional level. The most recent county-level data are used whenever possible.</w:t>
      </w:r>
    </w:p>
    <w:p w:rsidR="009275C5" w:rsidRPr="009275C5" w:rsidRDefault="009275C5" w:rsidP="009275C5">
      <w:pPr>
        <w:shd w:val="clear" w:color="auto" w:fill="FFFFFF"/>
        <w:spacing w:after="0" w:line="360" w:lineRule="atLeast"/>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t>See </w:t>
      </w:r>
      <w:hyperlink r:id="rId10" w:tooltip="Data Access and Documentation Downloads" w:history="1">
        <w:r w:rsidRPr="009275C5">
          <w:rPr>
            <w:rFonts w:ascii="Source Sans Pro" w:eastAsia="Times New Roman" w:hAnsi="Source Sans Pro" w:cs="Times New Roman"/>
            <w:color w:val="4C2C92"/>
            <w:sz w:val="24"/>
            <w:szCs w:val="24"/>
          </w:rPr>
          <w:t>Data Access and Documentation Downloads</w:t>
        </w:r>
      </w:hyperlink>
      <w:r w:rsidRPr="009275C5">
        <w:rPr>
          <w:rFonts w:ascii="Source Sans Pro" w:eastAsia="Times New Roman" w:hAnsi="Source Sans Pro" w:cs="Times New Roman"/>
          <w:color w:val="333333"/>
          <w:sz w:val="24"/>
          <w:szCs w:val="24"/>
        </w:rPr>
        <w:t> for a complete list of indicators, definitions, and data sources.</w:t>
      </w:r>
    </w:p>
    <w:p w:rsidR="009275C5" w:rsidRPr="009275C5" w:rsidRDefault="009275C5" w:rsidP="009275C5">
      <w:pPr>
        <w:shd w:val="clear" w:color="auto" w:fill="FFFFFF"/>
        <w:spacing w:after="150" w:line="360" w:lineRule="atLeast"/>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pict>
          <v:rect id="_x0000_i1027" style="width:0;height:0" o:hralign="center" o:hrstd="t" o:hrnoshade="t" o:hr="t" fillcolor="#ccc" stroked="f"/>
        </w:pict>
      </w:r>
    </w:p>
    <w:p w:rsidR="009275C5" w:rsidRPr="009275C5" w:rsidRDefault="009275C5" w:rsidP="009275C5">
      <w:pPr>
        <w:shd w:val="clear" w:color="auto" w:fill="FFFFFF"/>
        <w:spacing w:after="0" w:line="336" w:lineRule="atLeast"/>
        <w:outlineLvl w:val="1"/>
        <w:rPr>
          <w:rFonts w:ascii="Times New Roman" w:eastAsia="Times New Roman" w:hAnsi="Times New Roman" w:cs="Times New Roman"/>
          <w:b/>
          <w:bCs/>
          <w:color w:val="333333"/>
          <w:sz w:val="30"/>
          <w:szCs w:val="30"/>
        </w:rPr>
      </w:pPr>
      <w:bookmarkStart w:id="2" w:name="users"/>
      <w:bookmarkEnd w:id="2"/>
      <w:r w:rsidRPr="009275C5">
        <w:rPr>
          <w:rFonts w:ascii="Times New Roman" w:eastAsia="Times New Roman" w:hAnsi="Times New Roman" w:cs="Times New Roman"/>
          <w:b/>
          <w:bCs/>
          <w:color w:val="333333"/>
          <w:sz w:val="30"/>
          <w:szCs w:val="30"/>
        </w:rPr>
        <w:t>What can users do with the Atlas?</w:t>
      </w:r>
    </w:p>
    <w:p w:rsidR="009275C5" w:rsidRPr="009275C5" w:rsidRDefault="009275C5" w:rsidP="009275C5">
      <w:pPr>
        <w:numPr>
          <w:ilvl w:val="0"/>
          <w:numId w:val="4"/>
        </w:numPr>
        <w:shd w:val="clear" w:color="auto" w:fill="FFFFFF"/>
        <w:spacing w:after="0" w:line="360" w:lineRule="atLeast"/>
        <w:ind w:left="0"/>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t>Create maps showing the variation in a single indicator across the United States; for example, variation in the prevalence of obesity or access to grocery stores across U.S. counties;</w:t>
      </w:r>
    </w:p>
    <w:p w:rsidR="009275C5" w:rsidRPr="009275C5" w:rsidRDefault="009275C5" w:rsidP="009275C5">
      <w:pPr>
        <w:numPr>
          <w:ilvl w:val="0"/>
          <w:numId w:val="4"/>
        </w:numPr>
        <w:shd w:val="clear" w:color="auto" w:fill="FFFFFF"/>
        <w:spacing w:after="0" w:line="360" w:lineRule="atLeast"/>
        <w:ind w:left="0"/>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t>View all of the county-level indicators for a selected county;</w:t>
      </w:r>
    </w:p>
    <w:p w:rsidR="009275C5" w:rsidRPr="009275C5" w:rsidRDefault="009275C5" w:rsidP="009275C5">
      <w:pPr>
        <w:numPr>
          <w:ilvl w:val="0"/>
          <w:numId w:val="4"/>
        </w:numPr>
        <w:shd w:val="clear" w:color="auto" w:fill="FFFFFF"/>
        <w:spacing w:before="100" w:beforeAutospacing="1" w:after="100" w:afterAutospacing="1" w:line="360" w:lineRule="atLeast"/>
        <w:ind w:left="0"/>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t>Zoom in to specific areas and export or print maps;</w:t>
      </w:r>
    </w:p>
    <w:p w:rsidR="009275C5" w:rsidRPr="009275C5" w:rsidRDefault="009275C5" w:rsidP="009275C5">
      <w:pPr>
        <w:numPr>
          <w:ilvl w:val="0"/>
          <w:numId w:val="4"/>
        </w:numPr>
        <w:shd w:val="clear" w:color="auto" w:fill="FFFFFF"/>
        <w:spacing w:after="0" w:line="360" w:lineRule="atLeast"/>
        <w:ind w:left="0"/>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t>Download the full dataset in Excel format.</w:t>
      </w:r>
    </w:p>
    <w:p w:rsidR="009275C5" w:rsidRPr="009275C5" w:rsidRDefault="009275C5" w:rsidP="009275C5">
      <w:pPr>
        <w:shd w:val="clear" w:color="auto" w:fill="FFFFFF"/>
        <w:spacing w:after="150" w:line="360" w:lineRule="atLeast"/>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pict>
          <v:rect id="_x0000_i1028" style="width:0;height:0" o:hralign="center" o:hrstd="t" o:hrnoshade="t" o:hr="t" fillcolor="#ccc" stroked="f"/>
        </w:pict>
      </w:r>
    </w:p>
    <w:p w:rsidR="009275C5" w:rsidRPr="009275C5" w:rsidRDefault="009275C5" w:rsidP="009275C5">
      <w:pPr>
        <w:shd w:val="clear" w:color="auto" w:fill="FFFFFF"/>
        <w:spacing w:after="0" w:line="336" w:lineRule="atLeast"/>
        <w:outlineLvl w:val="1"/>
        <w:rPr>
          <w:rFonts w:ascii="Times New Roman" w:eastAsia="Times New Roman" w:hAnsi="Times New Roman" w:cs="Times New Roman"/>
          <w:b/>
          <w:bCs/>
          <w:color w:val="333333"/>
          <w:sz w:val="30"/>
          <w:szCs w:val="30"/>
        </w:rPr>
      </w:pPr>
      <w:bookmarkStart w:id="3" w:name="citation"/>
      <w:bookmarkEnd w:id="3"/>
      <w:r w:rsidRPr="009275C5">
        <w:rPr>
          <w:rFonts w:ascii="Times New Roman" w:eastAsia="Times New Roman" w:hAnsi="Times New Roman" w:cs="Times New Roman"/>
          <w:b/>
          <w:bCs/>
          <w:color w:val="333333"/>
          <w:sz w:val="30"/>
          <w:szCs w:val="30"/>
        </w:rPr>
        <w:t>Recommended Citation</w:t>
      </w:r>
    </w:p>
    <w:p w:rsidR="009275C5" w:rsidRPr="009275C5" w:rsidRDefault="009275C5" w:rsidP="009275C5">
      <w:pPr>
        <w:shd w:val="clear" w:color="auto" w:fill="FFFFFF"/>
        <w:spacing w:after="0" w:line="360" w:lineRule="atLeast"/>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t>Economic Research Service (ERS), U.S. Department of Agriculture (USDA). Food Environment Atlas. https://www.ers.usda.gov/data-products/food-environment-atlas/</w:t>
      </w:r>
    </w:p>
    <w:p w:rsidR="009275C5" w:rsidRPr="009275C5" w:rsidRDefault="009275C5" w:rsidP="009275C5">
      <w:pPr>
        <w:shd w:val="clear" w:color="auto" w:fill="FFFFFF"/>
        <w:spacing w:after="150" w:line="360" w:lineRule="atLeast"/>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pict>
          <v:rect id="_x0000_i1029" style="width:0;height:0" o:hralign="center" o:hrstd="t" o:hrnoshade="t" o:hr="t" fillcolor="#ccc" stroked="f"/>
        </w:pict>
      </w:r>
    </w:p>
    <w:p w:rsidR="009275C5" w:rsidRPr="009275C5" w:rsidRDefault="009275C5" w:rsidP="009275C5">
      <w:pPr>
        <w:shd w:val="clear" w:color="auto" w:fill="FFFFFF"/>
        <w:spacing w:after="0" w:line="336" w:lineRule="atLeast"/>
        <w:outlineLvl w:val="1"/>
        <w:rPr>
          <w:rFonts w:ascii="Times New Roman" w:eastAsia="Times New Roman" w:hAnsi="Times New Roman" w:cs="Times New Roman"/>
          <w:b/>
          <w:bCs/>
          <w:color w:val="333333"/>
          <w:sz w:val="30"/>
          <w:szCs w:val="30"/>
        </w:rPr>
      </w:pPr>
      <w:bookmarkStart w:id="4" w:name="acknowledgments"/>
      <w:bookmarkEnd w:id="4"/>
      <w:r w:rsidRPr="009275C5">
        <w:rPr>
          <w:rFonts w:ascii="Times New Roman" w:eastAsia="Times New Roman" w:hAnsi="Times New Roman" w:cs="Times New Roman"/>
          <w:b/>
          <w:bCs/>
          <w:color w:val="333333"/>
          <w:sz w:val="30"/>
          <w:szCs w:val="30"/>
        </w:rPr>
        <w:t>Acknowledgments</w:t>
      </w:r>
    </w:p>
    <w:p w:rsidR="009275C5" w:rsidRPr="009275C5" w:rsidRDefault="009275C5" w:rsidP="009275C5">
      <w:pPr>
        <w:shd w:val="clear" w:color="auto" w:fill="FFFFFF"/>
        <w:spacing w:after="0" w:line="360" w:lineRule="atLeast"/>
        <w:rPr>
          <w:rFonts w:ascii="Source Sans Pro" w:eastAsia="Times New Roman" w:hAnsi="Source Sans Pro" w:cs="Times New Roman"/>
          <w:color w:val="333333"/>
          <w:sz w:val="24"/>
          <w:szCs w:val="24"/>
        </w:rPr>
      </w:pPr>
      <w:r w:rsidRPr="009275C5">
        <w:rPr>
          <w:rFonts w:ascii="Source Sans Pro" w:eastAsia="Times New Roman" w:hAnsi="Source Sans Pro" w:cs="Times New Roman"/>
          <w:color w:val="333333"/>
          <w:sz w:val="24"/>
          <w:szCs w:val="24"/>
        </w:rPr>
        <w:t>The Economic Research Service would like to acknowledge the support it has received from across the Federal Government, academia, and the private sector in compiling the information for the Atlas. The Centers for Disease Control and Prevention provided the statistics on obesity, diabetes, and physical activity; the U.S. Census Bureau provided indicators on recreation centers in </w:t>
      </w:r>
      <w:hyperlink r:id="rId11" w:tgtFrame="_blank" w:tooltip="County Business Patterns" w:history="1">
        <w:r w:rsidRPr="009275C5">
          <w:rPr>
            <w:rFonts w:ascii="Source Sans Pro" w:eastAsia="Times New Roman" w:hAnsi="Source Sans Pro" w:cs="Times New Roman"/>
            <w:color w:val="4C2C92"/>
            <w:sz w:val="24"/>
            <w:szCs w:val="24"/>
          </w:rPr>
          <w:t>County Business Patterns</w:t>
        </w:r>
      </w:hyperlink>
      <w:r w:rsidRPr="009275C5">
        <w:rPr>
          <w:rFonts w:ascii="Source Sans Pro" w:eastAsia="Times New Roman" w:hAnsi="Source Sans Pro" w:cs="Times New Roman"/>
          <w:color w:val="333333"/>
          <w:sz w:val="24"/>
          <w:szCs w:val="24"/>
        </w:rPr>
        <w:t>; USDA's Agricultural Marketing Service provided indicators on farmers' markets; USDA's Food and Nutrition Service provided information on State-level food and nutrition assistance program participation rates; and the National Farm-to-School Network provided statistics on farm-to-school programs. The information on State beverage and snack taxes are from the </w:t>
      </w:r>
      <w:hyperlink r:id="rId12" w:tgtFrame="_blank" w:tooltip="Bridging the Gap" w:history="1">
        <w:r w:rsidRPr="009275C5">
          <w:rPr>
            <w:rFonts w:ascii="Source Sans Pro" w:eastAsia="Times New Roman" w:hAnsi="Source Sans Pro" w:cs="Times New Roman"/>
            <w:color w:val="4C2C92"/>
            <w:sz w:val="24"/>
            <w:szCs w:val="24"/>
          </w:rPr>
          <w:t>Bridging the Gap Program</w:t>
        </w:r>
      </w:hyperlink>
      <w:r w:rsidRPr="009275C5">
        <w:rPr>
          <w:rFonts w:ascii="Source Sans Pro" w:eastAsia="Times New Roman" w:hAnsi="Source Sans Pro" w:cs="Times New Roman"/>
          <w:color w:val="333333"/>
          <w:sz w:val="24"/>
          <w:szCs w:val="24"/>
        </w:rPr>
        <w:t>, University of Illinois at Chicago.</w:t>
      </w:r>
    </w:p>
    <w:p w:rsidR="0023624C" w:rsidRDefault="0023624C">
      <w:bookmarkStart w:id="5" w:name="_GoBack"/>
      <w:bookmarkEnd w:id="5"/>
    </w:p>
    <w:sectPr w:rsidR="00236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11BC1"/>
    <w:multiLevelType w:val="multilevel"/>
    <w:tmpl w:val="D998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6F6917"/>
    <w:multiLevelType w:val="multilevel"/>
    <w:tmpl w:val="D550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091968"/>
    <w:multiLevelType w:val="multilevel"/>
    <w:tmpl w:val="D5C0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957718"/>
    <w:multiLevelType w:val="multilevel"/>
    <w:tmpl w:val="6854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C5"/>
    <w:rsid w:val="00015C6C"/>
    <w:rsid w:val="00142F6B"/>
    <w:rsid w:val="0023624C"/>
    <w:rsid w:val="00282767"/>
    <w:rsid w:val="002C701F"/>
    <w:rsid w:val="003F60B6"/>
    <w:rsid w:val="00535B6C"/>
    <w:rsid w:val="005C60D2"/>
    <w:rsid w:val="00630A94"/>
    <w:rsid w:val="00673D7B"/>
    <w:rsid w:val="00684D33"/>
    <w:rsid w:val="006A0A71"/>
    <w:rsid w:val="006B4502"/>
    <w:rsid w:val="007E594E"/>
    <w:rsid w:val="00801B3F"/>
    <w:rsid w:val="00844D35"/>
    <w:rsid w:val="008D21F9"/>
    <w:rsid w:val="00923FF2"/>
    <w:rsid w:val="009275C5"/>
    <w:rsid w:val="00AD220A"/>
    <w:rsid w:val="00AD53D4"/>
    <w:rsid w:val="00B12D75"/>
    <w:rsid w:val="00B806D0"/>
    <w:rsid w:val="00C20C84"/>
    <w:rsid w:val="00C83177"/>
    <w:rsid w:val="00D034D3"/>
    <w:rsid w:val="00D26E2B"/>
    <w:rsid w:val="00DD6096"/>
    <w:rsid w:val="00E37404"/>
    <w:rsid w:val="00E52DE2"/>
    <w:rsid w:val="00F25587"/>
    <w:rsid w:val="00FA1A99"/>
    <w:rsid w:val="00FC4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5D9AC-7EC8-41EC-A992-3FC1FE0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75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75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5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75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75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75C5"/>
    <w:rPr>
      <w:color w:val="0000FF"/>
      <w:u w:val="single"/>
    </w:rPr>
  </w:style>
  <w:style w:type="character" w:styleId="Strong">
    <w:name w:val="Strong"/>
    <w:basedOn w:val="DefaultParagraphFont"/>
    <w:uiPriority w:val="22"/>
    <w:qFormat/>
    <w:rsid w:val="00927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979790">
      <w:bodyDiv w:val="1"/>
      <w:marLeft w:val="0"/>
      <w:marRight w:val="0"/>
      <w:marTop w:val="0"/>
      <w:marBottom w:val="0"/>
      <w:divBdr>
        <w:top w:val="none" w:sz="0" w:space="0" w:color="auto"/>
        <w:left w:val="none" w:sz="0" w:space="0" w:color="auto"/>
        <w:bottom w:val="none" w:sz="0" w:space="0" w:color="auto"/>
        <w:right w:val="none" w:sz="0" w:space="0" w:color="auto"/>
      </w:divBdr>
      <w:divsChild>
        <w:div w:id="1687368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usda.gov/data-products/food-environment-atlas/about-the-atl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rs.usda.gov/data-products/food-environment-atlas/about-the-atlas/" TargetMode="External"/><Relationship Id="rId12" Type="http://schemas.openxmlformats.org/officeDocument/2006/relationships/hyperlink" Target="http://www.ihrp.uic.edu/study/bridging-gap-research-informing-practice-healthy-youth-behavior-no-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food-environment-atlas/about-the-atlas/" TargetMode="External"/><Relationship Id="rId11" Type="http://schemas.openxmlformats.org/officeDocument/2006/relationships/hyperlink" Target="https://www.census.gov/programs-surveys/cbp.html" TargetMode="External"/><Relationship Id="rId5" Type="http://schemas.openxmlformats.org/officeDocument/2006/relationships/hyperlink" Target="https://www.ers.usda.gov/data-products/food-environment-atlas/about-the-atlas/" TargetMode="External"/><Relationship Id="rId10" Type="http://schemas.openxmlformats.org/officeDocument/2006/relationships/hyperlink" Target="https://www.ers.usda.gov/data-products/food-environment-atlas/data-access-and-documentation-downloads/" TargetMode="External"/><Relationship Id="rId4" Type="http://schemas.openxmlformats.org/officeDocument/2006/relationships/webSettings" Target="webSettings.xml"/><Relationship Id="rId9" Type="http://schemas.openxmlformats.org/officeDocument/2006/relationships/hyperlink" Target="https://www.ers.usda.gov/data-products/food-environment-atlas/about-the-atl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zhang</dc:creator>
  <cp:keywords/>
  <dc:description/>
  <cp:lastModifiedBy>xinyu zhang</cp:lastModifiedBy>
  <cp:revision>1</cp:revision>
  <dcterms:created xsi:type="dcterms:W3CDTF">2017-11-13T21:15:00Z</dcterms:created>
  <dcterms:modified xsi:type="dcterms:W3CDTF">2017-11-13T21:19:00Z</dcterms:modified>
</cp:coreProperties>
</file>