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536EF" w14:textId="77777777" w:rsidR="00A21759" w:rsidRPr="00FE3F6E" w:rsidRDefault="00A21759" w:rsidP="00A21759">
      <w:pPr>
        <w:jc w:val="both"/>
        <w:rPr>
          <w:rFonts w:cstheme="majorBidi"/>
        </w:rPr>
      </w:pPr>
    </w:p>
    <w:p w14:paraId="640919FB" w14:textId="77777777" w:rsidR="00A21759" w:rsidRPr="00FE3F6E" w:rsidRDefault="00A21759" w:rsidP="00A21759">
      <w:pPr>
        <w:jc w:val="center"/>
        <w:rPr>
          <w:rFonts w:cstheme="majorBidi"/>
          <w:b/>
          <w:bCs/>
          <w:sz w:val="30"/>
          <w:szCs w:val="30"/>
        </w:rPr>
      </w:pPr>
      <w:r w:rsidRPr="00FE3F6E">
        <w:rPr>
          <w:rFonts w:cstheme="majorBidi"/>
          <w:b/>
          <w:bCs/>
          <w:sz w:val="30"/>
          <w:szCs w:val="30"/>
        </w:rPr>
        <w:t>DOCUMENTATION PASS-ALM</w:t>
      </w:r>
    </w:p>
    <w:p w14:paraId="4C36A400" w14:textId="69766716" w:rsidR="00A21759" w:rsidRDefault="00A21759" w:rsidP="00A21759">
      <w:pPr>
        <w:jc w:val="center"/>
        <w:rPr>
          <w:rFonts w:cstheme="majorBidi"/>
          <w:b/>
          <w:bCs/>
          <w:color w:val="7030A0"/>
          <w:sz w:val="28"/>
          <w:szCs w:val="28"/>
        </w:rPr>
      </w:pPr>
      <w:r>
        <w:rPr>
          <w:rFonts w:cstheme="majorBidi"/>
          <w:b/>
          <w:bCs/>
          <w:color w:val="7030A0"/>
          <w:sz w:val="28"/>
          <w:szCs w:val="28"/>
        </w:rPr>
        <w:t>MODULE</w:t>
      </w:r>
      <w:r w:rsidRPr="00075F61">
        <w:rPr>
          <w:rFonts w:cstheme="majorBidi"/>
          <w:b/>
          <w:bCs/>
          <w:color w:val="7030A0"/>
          <w:sz w:val="28"/>
          <w:szCs w:val="28"/>
        </w:rPr>
        <w:t xml:space="preserve"> </w:t>
      </w:r>
      <w:r>
        <w:rPr>
          <w:rFonts w:cstheme="majorBidi"/>
          <w:b/>
          <w:bCs/>
          <w:color w:val="7030A0"/>
          <w:sz w:val="28"/>
          <w:szCs w:val="28"/>
        </w:rPr>
        <w:t>MOTEUR</w:t>
      </w:r>
    </w:p>
    <w:p w14:paraId="60DE328C" w14:textId="474617A6" w:rsidR="00A21759" w:rsidRDefault="00A21759" w:rsidP="00A21759">
      <w:pPr>
        <w:rPr>
          <w:rFonts w:cstheme="majorBidi"/>
          <w:b/>
          <w:bCs/>
          <w:color w:val="7030A0"/>
          <w:sz w:val="28"/>
          <w:szCs w:val="28"/>
        </w:rPr>
      </w:pPr>
    </w:p>
    <w:p w14:paraId="70F86C01" w14:textId="2441DBE8" w:rsidR="00A21759" w:rsidRPr="00075F61" w:rsidRDefault="00A21759" w:rsidP="00A21759">
      <w:pPr>
        <w:jc w:val="both"/>
        <w:rPr>
          <w:rFonts w:cstheme="majorBidi"/>
          <w:b/>
          <w:bCs/>
          <w:color w:val="7030A0"/>
          <w:sz w:val="34"/>
          <w:szCs w:val="34"/>
        </w:rPr>
      </w:pPr>
      <w:r w:rsidRPr="00075F61">
        <w:rPr>
          <w:rFonts w:cstheme="majorBidi"/>
          <w:b/>
          <w:bCs/>
          <w:color w:val="7030A0"/>
          <w:sz w:val="34"/>
          <w:szCs w:val="34"/>
        </w:rPr>
        <w:t xml:space="preserve">DOCUMENTATION </w:t>
      </w:r>
      <w:r>
        <w:rPr>
          <w:rFonts w:cstheme="majorBidi"/>
          <w:b/>
          <w:bCs/>
          <w:color w:val="7030A0"/>
          <w:sz w:val="34"/>
          <w:szCs w:val="34"/>
        </w:rPr>
        <w:t>DES INDICATEURS DE SORTIE DU MOTEUR</w:t>
      </w:r>
    </w:p>
    <w:p w14:paraId="450C98D7" w14:textId="77777777" w:rsidR="00080E89" w:rsidRDefault="00080E89" w:rsidP="00A21759">
      <w:pPr>
        <w:pStyle w:val="Titre2"/>
        <w:numPr>
          <w:ilvl w:val="0"/>
          <w:numId w:val="0"/>
        </w:numPr>
      </w:pPr>
    </w:p>
    <w:p w14:paraId="0F504E98" w14:textId="77777777" w:rsidR="00080E89" w:rsidRPr="009C16F9" w:rsidRDefault="00080E89" w:rsidP="00080E89">
      <w:pPr>
        <w:pStyle w:val="Titre2"/>
      </w:pPr>
      <w:r w:rsidRPr="009C16F9">
        <w:t>Calcul des Ajustements</w:t>
      </w:r>
    </w:p>
    <w:p w14:paraId="16E3D292" w14:textId="77777777" w:rsidR="00080E89" w:rsidRPr="009C16F9" w:rsidRDefault="00080E89" w:rsidP="00080E89">
      <w:pPr>
        <w:jc w:val="both"/>
      </w:pPr>
      <w:r w:rsidRPr="009C16F9">
        <w:t>Les ajustements sont des produits de durée 1 mois qui permettent au moteur d’équilibrer mensuellement le bilan projeté de l’établissement bancaire, i.e. que le somme des actifs et des passifs (sans compter les produits hors bilan) soi</w:t>
      </w:r>
      <w:r>
        <w:t>t</w:t>
      </w:r>
      <w:r w:rsidRPr="009C16F9">
        <w:t xml:space="preserve"> égale à zéro.</w:t>
      </w:r>
    </w:p>
    <w:p w14:paraId="3D11EB1A" w14:textId="77777777" w:rsidR="00080E89" w:rsidRPr="009C16F9" w:rsidRDefault="00080E89" w:rsidP="00080E89">
      <w:pPr>
        <w:jc w:val="both"/>
      </w:pPr>
      <w:r w:rsidRPr="009C16F9">
        <w:t xml:space="preserve">Cet équilibrage est effectué par </w:t>
      </w:r>
      <w:r w:rsidRPr="009C16F9">
        <w:rPr>
          <w:b/>
          <w:bCs/>
        </w:rPr>
        <w:t>DEVISE</w:t>
      </w:r>
      <w:r w:rsidRPr="009C16F9">
        <w:t xml:space="preserve"> et par </w:t>
      </w:r>
      <w:r w:rsidRPr="009C16F9">
        <w:rPr>
          <w:b/>
          <w:bCs/>
        </w:rPr>
        <w:t>SCOPE</w:t>
      </w:r>
      <w:r w:rsidRPr="009C16F9">
        <w:t xml:space="preserve">. </w:t>
      </w:r>
    </w:p>
    <w:p w14:paraId="737529E5" w14:textId="77777777" w:rsidR="00080E89" w:rsidRPr="009C16F9" w:rsidRDefault="00080E89" w:rsidP="00080E89">
      <w:pPr>
        <w:jc w:val="both"/>
      </w:pPr>
      <w:r w:rsidRPr="009C16F9">
        <w:t>Techniquement parlant, les encours EF et EM des ajustements sont calculés :</w:t>
      </w:r>
    </w:p>
    <w:p w14:paraId="70D53425" w14:textId="77777777" w:rsidR="00080E89" w:rsidRPr="009C16F9" w:rsidRDefault="00080E89" w:rsidP="00080E89">
      <w:pPr>
        <w:pStyle w:val="Paragraphedeliste"/>
        <w:numPr>
          <w:ilvl w:val="0"/>
          <w:numId w:val="2"/>
        </w:numPr>
        <w:jc w:val="both"/>
      </w:pPr>
      <w:r w:rsidRPr="009C16F9">
        <w:t xml:space="preserve">Par somme des encours EF et EM des stocks et </w:t>
      </w:r>
      <w:proofErr w:type="spellStart"/>
      <w:r w:rsidRPr="009C16F9">
        <w:t>PNs</w:t>
      </w:r>
      <w:proofErr w:type="spellEnd"/>
      <w:r w:rsidRPr="009C16F9">
        <w:t xml:space="preserve"> sur les colonnes DEVISE et SCOPE.</w:t>
      </w:r>
    </w:p>
    <w:p w14:paraId="3E3E5652" w14:textId="77777777" w:rsidR="00080E89" w:rsidRPr="009C16F9" w:rsidRDefault="00080E89" w:rsidP="00080E89">
      <w:pPr>
        <w:pStyle w:val="Paragraphedeliste"/>
        <w:numPr>
          <w:ilvl w:val="0"/>
          <w:numId w:val="2"/>
        </w:numPr>
        <w:jc w:val="both"/>
      </w:pPr>
      <w:r w:rsidRPr="009C16F9">
        <w:t xml:space="preserve">Si la somme des </w:t>
      </w:r>
      <w:proofErr w:type="spellStart"/>
      <w:r w:rsidRPr="009C16F9">
        <w:t>EMs</w:t>
      </w:r>
      <w:proofErr w:type="spellEnd"/>
      <w:r w:rsidRPr="009C16F9">
        <w:t xml:space="preserve"> est négative, les encours EF et EM sont considérés comme des ajustements à créditer à l’actif</w:t>
      </w:r>
    </w:p>
    <w:p w14:paraId="78824A66" w14:textId="77777777" w:rsidR="00080E89" w:rsidRPr="009C16F9" w:rsidRDefault="00080E89" w:rsidP="00080E89">
      <w:pPr>
        <w:pStyle w:val="Paragraphedeliste"/>
        <w:numPr>
          <w:ilvl w:val="0"/>
          <w:numId w:val="2"/>
        </w:numPr>
        <w:jc w:val="both"/>
      </w:pPr>
      <w:r w:rsidRPr="009C16F9">
        <w:t xml:space="preserve"> Si la somme des </w:t>
      </w:r>
      <w:proofErr w:type="spellStart"/>
      <w:r w:rsidRPr="009C16F9">
        <w:t>EMs</w:t>
      </w:r>
      <w:proofErr w:type="spellEnd"/>
      <w:r w:rsidRPr="009C16F9">
        <w:t xml:space="preserve"> est positive, les encours EF et EM sont considérés comme des ajustements à créditer passif</w:t>
      </w:r>
    </w:p>
    <w:p w14:paraId="396D1740" w14:textId="77777777" w:rsidR="00080E89" w:rsidRPr="009C16F9" w:rsidRDefault="00080E89" w:rsidP="00080E89">
      <w:pPr>
        <w:jc w:val="both"/>
      </w:pPr>
      <w:r w:rsidRPr="009C16F9">
        <w:t xml:space="preserve">Ainsi c’est le signe de la somme des </w:t>
      </w:r>
      <w:proofErr w:type="spellStart"/>
      <w:r w:rsidRPr="009C16F9">
        <w:t>EMs</w:t>
      </w:r>
      <w:proofErr w:type="spellEnd"/>
      <w:r w:rsidRPr="009C16F9">
        <w:t xml:space="preserve"> qui décide de la catégorisation actif/passif de l’ajustement. On peut donc se retrouver avec des encours d’ajustements positifs en EM et négatifs en EF.</w:t>
      </w:r>
    </w:p>
    <w:p w14:paraId="2921D72E" w14:textId="77777777" w:rsidR="00080E89" w:rsidRPr="009C16F9" w:rsidRDefault="00080E89" w:rsidP="00080E89">
      <w:pPr>
        <w:pStyle w:val="Titre2"/>
      </w:pPr>
      <w:bookmarkStart w:id="0" w:name="_Toc56785267"/>
      <w:bookmarkStart w:id="1" w:name="_Toc99978666"/>
      <w:bookmarkStart w:id="2" w:name="_Toc107267768"/>
      <w:bookmarkStart w:id="3" w:name="_Toc107267824"/>
      <w:bookmarkStart w:id="4" w:name="_Toc107267872"/>
      <w:r w:rsidRPr="009C16F9">
        <w:t xml:space="preserve">Calcul des </w:t>
      </w:r>
      <w:proofErr w:type="spellStart"/>
      <w:r w:rsidRPr="009C16F9">
        <w:t>GAPs</w:t>
      </w:r>
      <w:proofErr w:type="spellEnd"/>
      <w:r w:rsidRPr="009C16F9">
        <w:t xml:space="preserve"> de Liquidité</w:t>
      </w:r>
      <w:bookmarkEnd w:id="0"/>
      <w:bookmarkEnd w:id="1"/>
      <w:bookmarkEnd w:id="2"/>
      <w:bookmarkEnd w:id="3"/>
      <w:bookmarkEnd w:id="4"/>
    </w:p>
    <w:p w14:paraId="1248CCE4" w14:textId="77777777" w:rsidR="00080E89" w:rsidRDefault="00080E89" w:rsidP="00080E89">
      <w:pPr>
        <w:jc w:val="both"/>
      </w:pPr>
      <w:r w:rsidRPr="009C16F9">
        <w:t xml:space="preserve">Le bilan </w:t>
      </w:r>
      <w:r>
        <w:t xml:space="preserve">d’une banque </w:t>
      </w:r>
      <w:r w:rsidRPr="009C16F9">
        <w:t>est équilibré par</w:t>
      </w:r>
      <w:r>
        <w:t xml:space="preserve"> construction.</w:t>
      </w:r>
      <w:r w:rsidRPr="009C16F9">
        <w:t xml:space="preserve"> </w:t>
      </w:r>
      <w:r>
        <w:t xml:space="preserve">Cependant, </w:t>
      </w:r>
      <w:r w:rsidRPr="009C16F9">
        <w:t>cet équilibr</w:t>
      </w:r>
      <w:r>
        <w:t xml:space="preserve">e </w:t>
      </w:r>
      <w:r w:rsidRPr="009C16F9">
        <w:t>e</w:t>
      </w:r>
      <w:r>
        <w:t xml:space="preserve">st rompu lorsqu’on on laisse le bilan s’écouler naturellement, et ce, en raison du </w:t>
      </w:r>
      <w:proofErr w:type="spellStart"/>
      <w:r>
        <w:t>mismatch</w:t>
      </w:r>
      <w:proofErr w:type="spellEnd"/>
      <w:r>
        <w:t xml:space="preserve"> entre actif et passif en termes de maturité et de taux. Ce déséquilibre présente un risque de liquidité pour la banque.</w:t>
      </w:r>
      <w:r w:rsidRPr="009C16F9">
        <w:t xml:space="preserve"> </w:t>
      </w:r>
    </w:p>
    <w:p w14:paraId="0DE8FDC1" w14:textId="77777777" w:rsidR="00080E89" w:rsidRPr="009C16F9" w:rsidRDefault="00080E89" w:rsidP="00080E89">
      <w:pPr>
        <w:jc w:val="both"/>
      </w:pPr>
      <w:r>
        <w:t>Le gap (impasse)</w:t>
      </w:r>
      <w:r w:rsidRPr="009C16F9">
        <w:t xml:space="preserve"> de liquidité</w:t>
      </w:r>
      <w:r>
        <w:t xml:space="preserve"> désigne l’écoulement statique (évolution naturelle) d’un bilan au cours du temps.</w:t>
      </w:r>
    </w:p>
    <w:p w14:paraId="3E5B8E0F" w14:textId="77777777" w:rsidR="00080E89" w:rsidRPr="009C16F9" w:rsidRDefault="00080E89" w:rsidP="00080E89">
      <w:pPr>
        <w:jc w:val="both"/>
      </w:pPr>
      <w:r w:rsidRPr="009C16F9">
        <w:t xml:space="preserve">Les gaps de liquidité </w:t>
      </w:r>
      <w:r>
        <w:t>projeté au mois k</w:t>
      </w:r>
      <w:r w:rsidRPr="009C16F9">
        <w:t xml:space="preserve"> </w:t>
      </w:r>
      <w:r>
        <w:t>désigne l’écoulement statique d’un bilan au cours du temps après le mois k i.e. sans ajout de nouveaux produits au bilan après le mois k.</w:t>
      </w:r>
    </w:p>
    <w:p w14:paraId="5965B116" w14:textId="77777777" w:rsidR="00080E89" w:rsidRPr="009C16F9" w:rsidRDefault="00080E89" w:rsidP="00080E89">
      <w:pPr>
        <w:pStyle w:val="Titre3"/>
        <w:jc w:val="both"/>
      </w:pPr>
      <w:bookmarkStart w:id="5" w:name="_Toc56785268"/>
      <w:bookmarkStart w:id="6" w:name="_Toc99978667"/>
      <w:bookmarkStart w:id="7" w:name="_Toc107267769"/>
      <w:bookmarkStart w:id="8" w:name="_Toc107267825"/>
      <w:bookmarkStart w:id="9" w:name="_Toc107267873"/>
      <w:r w:rsidRPr="009C16F9">
        <w:t xml:space="preserve">Calcul des </w:t>
      </w:r>
      <w:proofErr w:type="spellStart"/>
      <w:r w:rsidRPr="009C16F9">
        <w:t>GAPs</w:t>
      </w:r>
      <w:proofErr w:type="spellEnd"/>
      <w:r w:rsidRPr="009C16F9">
        <w:t xml:space="preserve"> de Liquidité pour le stock</w:t>
      </w:r>
      <w:bookmarkEnd w:id="5"/>
      <w:bookmarkEnd w:id="6"/>
      <w:bookmarkEnd w:id="7"/>
      <w:bookmarkEnd w:id="8"/>
      <w:bookmarkEnd w:id="9"/>
    </w:p>
    <w:p w14:paraId="2D477874" w14:textId="77777777" w:rsidR="00080E89" w:rsidRPr="009C16F9" w:rsidRDefault="00080E89" w:rsidP="00080E89">
      <w:pPr>
        <w:spacing w:after="0"/>
        <w:jc w:val="both"/>
      </w:pPr>
      <w:r>
        <w:t>Le stock étant déjà en écoulement statique, les gaps de liquidité projeté en k du stock sur les p mois de projection (k&lt;p) sont simplement égaux à :</w:t>
      </w:r>
    </w:p>
    <w:p w14:paraId="29E4BD5A" w14:textId="77777777" w:rsidR="00080E89" w:rsidRPr="009C16F9" w:rsidRDefault="00080E89" w:rsidP="00080E89">
      <w:pPr>
        <w:pStyle w:val="Paragraphedeliste"/>
        <w:numPr>
          <w:ilvl w:val="0"/>
          <w:numId w:val="1"/>
        </w:numPr>
        <w:jc w:val="both"/>
      </w:pPr>
      <w:r w:rsidRPr="009C16F9">
        <w:t>à 0 entre les mois 0 et k-1 (on se place en effet au mois k)</w:t>
      </w:r>
    </w:p>
    <w:p w14:paraId="4740FCE9" w14:textId="77777777" w:rsidR="00080E89" w:rsidRPr="009C16F9" w:rsidRDefault="00080E89" w:rsidP="00080E89">
      <w:pPr>
        <w:pStyle w:val="Paragraphedeliste"/>
        <w:numPr>
          <w:ilvl w:val="0"/>
          <w:numId w:val="1"/>
        </w:numPr>
        <w:jc w:val="both"/>
      </w:pPr>
      <w:r w:rsidRPr="009C16F9">
        <w:t xml:space="preserve">à l’encours </w:t>
      </w:r>
      <w:r>
        <w:t xml:space="preserve">(EF ou EM) </w:t>
      </w:r>
      <w:r w:rsidRPr="009C16F9">
        <w:t>entre les mois k et p</w:t>
      </w:r>
    </w:p>
    <w:p w14:paraId="233360F8" w14:textId="77777777" w:rsidR="00080E89" w:rsidRDefault="00080E89" w:rsidP="00080E89">
      <w:pPr>
        <w:jc w:val="both"/>
      </w:pPr>
      <w:r>
        <w:lastRenderedPageBreak/>
        <w:t>Exemple :</w:t>
      </w:r>
    </w:p>
    <w:p w14:paraId="051BDA45" w14:textId="77777777" w:rsidR="00080E89" w:rsidRPr="00585ABD" w:rsidRDefault="00080E89" w:rsidP="00080E89">
      <w:pPr>
        <w:jc w:val="center"/>
      </w:pPr>
      <w:r w:rsidRPr="00515BCA">
        <w:rPr>
          <w:noProof/>
        </w:rPr>
        <w:drawing>
          <wp:inline distT="0" distB="0" distL="0" distR="0" wp14:anchorId="161ACC86" wp14:editId="1D24EA74">
            <wp:extent cx="2806810" cy="4270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79" cy="43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14A2F" w14:textId="77777777" w:rsidR="00080E89" w:rsidRDefault="00080E89" w:rsidP="00080E89">
      <w:pPr>
        <w:pStyle w:val="Titre3"/>
        <w:jc w:val="both"/>
      </w:pPr>
      <w:bookmarkStart w:id="10" w:name="_Toc56785269"/>
      <w:bookmarkStart w:id="11" w:name="_Toc99978668"/>
      <w:bookmarkStart w:id="12" w:name="_Toc107267770"/>
      <w:bookmarkStart w:id="13" w:name="_Toc107267826"/>
      <w:bookmarkStart w:id="14" w:name="_Toc107267874"/>
      <w:r w:rsidRPr="009C16F9">
        <w:t xml:space="preserve">Calcul des </w:t>
      </w:r>
      <w:proofErr w:type="spellStart"/>
      <w:r w:rsidRPr="009C16F9">
        <w:t>GAPs</w:t>
      </w:r>
      <w:proofErr w:type="spellEnd"/>
      <w:r w:rsidRPr="009C16F9">
        <w:t xml:space="preserve"> de Liquidité pour l</w:t>
      </w:r>
      <w:r>
        <w:t>a PN et les ajustements</w:t>
      </w:r>
      <w:bookmarkEnd w:id="10"/>
      <w:bookmarkEnd w:id="11"/>
      <w:bookmarkEnd w:id="12"/>
      <w:bookmarkEnd w:id="13"/>
      <w:bookmarkEnd w:id="14"/>
    </w:p>
    <w:p w14:paraId="18D79AA2" w14:textId="77777777" w:rsidR="00080E89" w:rsidRDefault="00080E89" w:rsidP="00080E89">
      <w:r>
        <w:t xml:space="preserve">Les gaps de liquidité projeté au mois k désigne l’écoulement naturel d’un bilan après le mois. Il ne faut pas donc pas tenir compte des émissions sur un contrat de type PN après le mois k pour calculer ce gap. </w:t>
      </w:r>
    </w:p>
    <w:p w14:paraId="2253FD1D" w14:textId="77777777" w:rsidR="00080E89" w:rsidRDefault="00080E89" w:rsidP="00080E89">
      <w:r>
        <w:t xml:space="preserve">Les gaps de liquidité projeté au mois k est donc équivalent à la somme des encours (EM ou EF) des </w:t>
      </w:r>
      <w:proofErr w:type="spellStart"/>
      <w:r>
        <w:t>PNs</w:t>
      </w:r>
      <w:proofErr w:type="spellEnd"/>
      <w:r>
        <w:t xml:space="preserve"> émises avant ou pendant le mois k. </w:t>
      </w:r>
    </w:p>
    <w:p w14:paraId="0B220739" w14:textId="77777777" w:rsidR="00080E89" w:rsidRPr="009C16F9" w:rsidRDefault="00080E89" w:rsidP="00080E89">
      <w:pPr>
        <w:jc w:val="both"/>
      </w:pPr>
      <w:r>
        <w:t xml:space="preserve">Soit </w:t>
      </w:r>
      <w:proofErr w:type="spellStart"/>
      <w:r>
        <w:t>m</w:t>
      </w:r>
      <w:r>
        <w:rPr>
          <w:vertAlign w:val="subscript"/>
        </w:rPr>
        <w:t>j,t</w:t>
      </w:r>
      <w:proofErr w:type="spellEnd"/>
      <w:r>
        <w:t xml:space="preserve"> l’encours au mois t d’un produit PN émis au mois j. Soit p le nombre mois de projection. Alors l</w:t>
      </w:r>
      <w:r w:rsidRPr="009C16F9">
        <w:t xml:space="preserve">e gap de </w:t>
      </w:r>
      <w:r>
        <w:t xml:space="preserve">liquidité (GP LIQ) </w:t>
      </w:r>
      <w:r w:rsidRPr="009C16F9">
        <w:t xml:space="preserve">projeté en k </w:t>
      </w:r>
      <w:r>
        <w:t>pour ce produit est égal à :</w:t>
      </w:r>
    </w:p>
    <w:p w14:paraId="337BC656" w14:textId="77777777" w:rsidR="00080E89" w:rsidRPr="009C16F9" w:rsidRDefault="00080E89" w:rsidP="00080E89">
      <w:pPr>
        <w:pStyle w:val="Paragraphedeliste"/>
        <w:numPr>
          <w:ilvl w:val="0"/>
          <w:numId w:val="1"/>
        </w:numPr>
        <w:jc w:val="both"/>
      </w:pPr>
      <w:r>
        <w:t>0 &lt;=mois &lt;= k -1 : 0</w:t>
      </w:r>
      <w:r w:rsidRPr="009C16F9">
        <w:t xml:space="preserve"> (on se place en effet au mois k)</w:t>
      </w:r>
    </w:p>
    <w:p w14:paraId="2E74A6A9" w14:textId="77777777" w:rsidR="00080E89" w:rsidRPr="00990897" w:rsidRDefault="00130703" w:rsidP="00080E89">
      <w:pPr>
        <w:pStyle w:val="Paragraphedeliste"/>
        <w:numPr>
          <w:ilvl w:val="0"/>
          <w:numId w:val="1"/>
        </w:numPr>
        <w:jc w:val="both"/>
        <w:rPr>
          <w:rFonts w:ascii="Cambria Math" w:hAnsi="Cambria Math"/>
          <w:b/>
          <w:bCs/>
          <w:sz w:val="22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sz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j</m:t>
            </m:r>
            <m:r>
              <m:rPr>
                <m:sty m:val="b"/>
              </m:rPr>
              <w:rPr>
                <w:rFonts w:ascii="Cambria Math" w:hAnsi="Cambria Math"/>
                <w:sz w:val="22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2"/>
              </w:rPr>
              <m:t>j</m:t>
            </m:r>
            <m:r>
              <m:rPr>
                <m:sty m:val="b"/>
              </m:rPr>
              <w:rPr>
                <w:rFonts w:ascii="Cambria Math" w:hAnsi="Cambria Math"/>
                <w:sz w:val="22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sz w:val="2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j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t</m:t>
                </m:r>
              </m:sub>
            </m:sSub>
          </m:e>
        </m:nary>
      </m:oMath>
      <w:r w:rsidR="00080E89">
        <w:rPr>
          <w:rFonts w:ascii="Cambria Math" w:eastAsiaTheme="minorEastAsia" w:hAnsi="Cambria Math"/>
          <w:b/>
          <w:bCs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 xml:space="preserve">pour k &lt;=t&lt;= p </m:t>
        </m:r>
      </m:oMath>
      <w:r w:rsidR="00080E89" w:rsidRPr="00990897">
        <w:rPr>
          <w:szCs w:val="20"/>
        </w:rPr>
        <w:t xml:space="preserve"> </w:t>
      </w:r>
    </w:p>
    <w:p w14:paraId="4C2A7DEE" w14:textId="77777777" w:rsidR="00080E89" w:rsidRDefault="00080E89" w:rsidP="00080E89">
      <w:pPr>
        <w:jc w:val="both"/>
      </w:pPr>
    </w:p>
    <w:p w14:paraId="152DF9D1" w14:textId="77777777" w:rsidR="00080E89" w:rsidRDefault="00080E89" w:rsidP="00080E89">
      <w:pPr>
        <w:jc w:val="both"/>
      </w:pPr>
      <w:r>
        <w:t>Exemple :</w:t>
      </w:r>
    </w:p>
    <w:p w14:paraId="1FD57F0D" w14:textId="77777777" w:rsidR="00080E89" w:rsidRDefault="00080E89" w:rsidP="00080E89">
      <w:pPr>
        <w:jc w:val="center"/>
      </w:pPr>
      <w:r w:rsidRPr="00A01424">
        <w:rPr>
          <w:noProof/>
        </w:rPr>
        <w:drawing>
          <wp:inline distT="0" distB="0" distL="0" distR="0" wp14:anchorId="2C431957" wp14:editId="252FF719">
            <wp:extent cx="2846567" cy="85495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474" cy="85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7CB12" w14:textId="77777777" w:rsidR="00080E89" w:rsidRPr="009C16F9" w:rsidRDefault="00080E89" w:rsidP="00080E89">
      <w:pPr>
        <w:pStyle w:val="Titre2"/>
      </w:pPr>
      <w:bookmarkStart w:id="15" w:name="_Toc56785270"/>
      <w:bookmarkStart w:id="16" w:name="_Toc99978669"/>
      <w:bookmarkStart w:id="17" w:name="_Toc107267771"/>
      <w:bookmarkStart w:id="18" w:name="_Toc107267827"/>
      <w:bookmarkStart w:id="19" w:name="_Toc107267875"/>
      <w:r w:rsidRPr="009C16F9">
        <w:t xml:space="preserve">Calcul des </w:t>
      </w:r>
      <w:proofErr w:type="spellStart"/>
      <w:r w:rsidRPr="009C16F9">
        <w:t>GAPs</w:t>
      </w:r>
      <w:proofErr w:type="spellEnd"/>
      <w:r w:rsidRPr="009C16F9">
        <w:t xml:space="preserve"> de Taux</w:t>
      </w:r>
      <w:bookmarkEnd w:id="15"/>
      <w:bookmarkEnd w:id="16"/>
      <w:bookmarkEnd w:id="17"/>
      <w:bookmarkEnd w:id="18"/>
      <w:bookmarkEnd w:id="19"/>
    </w:p>
    <w:p w14:paraId="7AB657F6" w14:textId="77777777" w:rsidR="00080E89" w:rsidRPr="009C16F9" w:rsidRDefault="00080E89" w:rsidP="00080E89">
      <w:pPr>
        <w:jc w:val="both"/>
      </w:pPr>
      <w:r w:rsidRPr="009C16F9">
        <w:t xml:space="preserve">Le Gap de taux est le montant d’un actif ou d’un passif sensible au risque de taux i.e. l’exposition de la banque à un changement des courbes de taux. </w:t>
      </w:r>
    </w:p>
    <w:p w14:paraId="4059842F" w14:textId="77777777" w:rsidR="00080E89" w:rsidRPr="009C16F9" w:rsidRDefault="00080E89" w:rsidP="00080E89">
      <w:pPr>
        <w:jc w:val="both"/>
      </w:pPr>
      <w:r w:rsidRPr="009C16F9">
        <w:t xml:space="preserve">Il existe plusieurs types de gap de taux. </w:t>
      </w:r>
      <w:r w:rsidRPr="00A01424">
        <w:rPr>
          <w:b/>
          <w:bCs/>
        </w:rPr>
        <w:t>Le gap de taux fixe</w:t>
      </w:r>
      <w:r w:rsidRPr="009C16F9">
        <w:t xml:space="preserve"> </w:t>
      </w:r>
      <w:r>
        <w:t xml:space="preserve">par exemple </w:t>
      </w:r>
      <w:r w:rsidRPr="009C16F9">
        <w:t>prend en compte les opérations dont le taux est connu pendant une période (contrats à taux fixe, contrats à taux révisable avant le prochain fixing etc.).</w:t>
      </w:r>
    </w:p>
    <w:p w14:paraId="4530D6D1" w14:textId="77777777" w:rsidR="00080E89" w:rsidRDefault="00080E89" w:rsidP="00080E89">
      <w:pPr>
        <w:jc w:val="both"/>
      </w:pPr>
      <w:r w:rsidRPr="009C16F9">
        <w:t xml:space="preserve">Le gap de taux projeté au mois </w:t>
      </w:r>
      <w:r>
        <w:t>k</w:t>
      </w:r>
      <w:r w:rsidRPr="009C16F9">
        <w:t xml:space="preserve"> est l’exposition au risque de taux pour un bilan rendu statique (extinctif) au-delà du mois </w:t>
      </w:r>
      <w:r>
        <w:t>k</w:t>
      </w:r>
      <w:r w:rsidRPr="009C16F9">
        <w:t xml:space="preserve"> (pas de nouvelle </w:t>
      </w:r>
      <w:proofErr w:type="spellStart"/>
      <w:r w:rsidRPr="009C16F9">
        <w:t>PNs</w:t>
      </w:r>
      <w:proofErr w:type="spellEnd"/>
      <w:r w:rsidRPr="009C16F9">
        <w:t xml:space="preserve"> émises après le mois </w:t>
      </w:r>
      <w:r>
        <w:t>k</w:t>
      </w:r>
      <w:r w:rsidRPr="009C16F9">
        <w:t>).</w:t>
      </w:r>
    </w:p>
    <w:p w14:paraId="7DADDE4C" w14:textId="77777777" w:rsidR="00080E89" w:rsidRPr="009C16F9" w:rsidRDefault="00080E89" w:rsidP="00080E89">
      <w:pPr>
        <w:jc w:val="both"/>
      </w:pPr>
    </w:p>
    <w:p w14:paraId="123609AA" w14:textId="77777777" w:rsidR="00080E89" w:rsidRPr="009C16F9" w:rsidRDefault="00080E89" w:rsidP="00080E89">
      <w:pPr>
        <w:pStyle w:val="Titre3"/>
      </w:pPr>
      <w:bookmarkStart w:id="20" w:name="_Toc56785271"/>
      <w:bookmarkStart w:id="21" w:name="_Toc99978670"/>
      <w:bookmarkStart w:id="22" w:name="_Toc107267772"/>
      <w:bookmarkStart w:id="23" w:name="_Toc107267828"/>
      <w:bookmarkStart w:id="24" w:name="_Toc107267876"/>
      <w:r w:rsidRPr="009C16F9">
        <w:t xml:space="preserve">Calcul des Gaps de Taux Fixe pour les </w:t>
      </w:r>
      <w:proofErr w:type="spellStart"/>
      <w:r w:rsidRPr="009C16F9">
        <w:t>PNs</w:t>
      </w:r>
      <w:bookmarkEnd w:id="20"/>
      <w:bookmarkEnd w:id="21"/>
      <w:bookmarkEnd w:id="22"/>
      <w:bookmarkEnd w:id="23"/>
      <w:bookmarkEnd w:id="24"/>
      <w:proofErr w:type="spellEnd"/>
    </w:p>
    <w:p w14:paraId="3E1D8292" w14:textId="77777777" w:rsidR="00080E89" w:rsidRDefault="00080E89" w:rsidP="00080E89">
      <w:pPr>
        <w:pStyle w:val="Titre4"/>
        <w:jc w:val="both"/>
      </w:pPr>
      <w:bookmarkStart w:id="25" w:name="_Toc99978671"/>
      <w:r w:rsidRPr="009C16F9">
        <w:t xml:space="preserve">Calcul des Gaps de Taux Fixe pour les </w:t>
      </w:r>
      <w:proofErr w:type="spellStart"/>
      <w:r w:rsidRPr="009C16F9">
        <w:t>PNs</w:t>
      </w:r>
      <w:proofErr w:type="spellEnd"/>
      <w:r w:rsidRPr="009C16F9">
        <w:t xml:space="preserve"> NMD</w:t>
      </w:r>
      <w:bookmarkEnd w:id="25"/>
    </w:p>
    <w:p w14:paraId="0D26DD47" w14:textId="77777777" w:rsidR="00080E89" w:rsidRPr="009C16F9" w:rsidRDefault="00080E89" w:rsidP="00080E89">
      <w:pPr>
        <w:jc w:val="both"/>
      </w:pPr>
      <w:r>
        <w:t xml:space="preserve">Soit </w:t>
      </w:r>
      <w:proofErr w:type="spellStart"/>
      <w:r>
        <w:t>m</w:t>
      </w:r>
      <w:r>
        <w:rPr>
          <w:vertAlign w:val="subscript"/>
        </w:rPr>
        <w:t>j,t</w:t>
      </w:r>
      <w:proofErr w:type="spellEnd"/>
      <w:r>
        <w:t xml:space="preserve"> l’encours au mois t d’un produit NMD émis au mois j. Soit </w:t>
      </w:r>
      <w:proofErr w:type="spellStart"/>
      <w:r>
        <w:t>ms</w:t>
      </w:r>
      <w:r>
        <w:rPr>
          <w:vertAlign w:val="subscript"/>
        </w:rPr>
        <w:t>t</w:t>
      </w:r>
      <w:proofErr w:type="spellEnd"/>
      <w:r>
        <w:rPr>
          <w:vertAlign w:val="subscript"/>
        </w:rPr>
        <w:t xml:space="preserve"> </w:t>
      </w:r>
      <w:r>
        <w:t xml:space="preserve">l’encours de ce même produit dans le stock et </w:t>
      </w:r>
      <w:proofErr w:type="spellStart"/>
      <w:r>
        <w:t>mstf</w:t>
      </w:r>
      <w:r>
        <w:rPr>
          <w:vertAlign w:val="subscript"/>
        </w:rPr>
        <w:t>t</w:t>
      </w:r>
      <w:proofErr w:type="spellEnd"/>
      <w:r>
        <w:t xml:space="preserve"> l’encours taux fixe de ce même produit dans le stock. Soit p le nombre mois de projection. Alors l</w:t>
      </w:r>
      <w:r w:rsidRPr="009C16F9">
        <w:t xml:space="preserve">e gap de taux </w:t>
      </w:r>
      <w:r>
        <w:t xml:space="preserve">fixe (GP TF) </w:t>
      </w:r>
      <w:r w:rsidRPr="009C16F9">
        <w:t xml:space="preserve">projeté en k </w:t>
      </w:r>
      <w:r>
        <w:t>pour ce produit est égal à :</w:t>
      </w:r>
    </w:p>
    <w:p w14:paraId="2703B626" w14:textId="77777777" w:rsidR="00080E89" w:rsidRPr="00990897" w:rsidRDefault="00080E89" w:rsidP="00080E89">
      <w:pPr>
        <w:pStyle w:val="Paragraphedeliste"/>
        <w:numPr>
          <w:ilvl w:val="0"/>
          <w:numId w:val="1"/>
        </w:numPr>
        <w:jc w:val="both"/>
        <w:rPr>
          <w:szCs w:val="20"/>
        </w:rPr>
      </w:pPr>
      <m:oMath>
        <m:r>
          <m:rPr>
            <m:sty m:val="b"/>
          </m:rPr>
          <w:rPr>
            <w:rFonts w:ascii="Cambria Math" w:hAnsi="Cambria Math"/>
            <w:szCs w:val="20"/>
          </w:rPr>
          <m:t>0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  pour 0 &lt;=t &lt;= k-1 </m:t>
        </m:r>
      </m:oMath>
      <w:r w:rsidRPr="00990897">
        <w:rPr>
          <w:szCs w:val="20"/>
        </w:rPr>
        <w:t xml:space="preserve"> </w:t>
      </w:r>
    </w:p>
    <w:p w14:paraId="546FA2F9" w14:textId="77777777" w:rsidR="00080E89" w:rsidRPr="00336A0C" w:rsidRDefault="00130703" w:rsidP="00080E89">
      <w:pPr>
        <w:pStyle w:val="Paragraphedeliste"/>
        <w:numPr>
          <w:ilvl w:val="0"/>
          <w:numId w:val="1"/>
        </w:numPr>
        <w:jc w:val="both"/>
        <w:rPr>
          <w:rFonts w:ascii="Cambria Math" w:hAnsi="Cambria Math"/>
          <w:b/>
          <w:bCs/>
          <w:sz w:val="22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sz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j</m:t>
            </m:r>
            <m:r>
              <m:rPr>
                <m:sty m:val="b"/>
              </m:rPr>
              <w:rPr>
                <w:rFonts w:ascii="Cambria Math" w:hAnsi="Cambria Math"/>
                <w:sz w:val="22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2"/>
              </w:rPr>
              <m:t>j</m:t>
            </m:r>
            <m:r>
              <m:rPr>
                <m:sty m:val="b"/>
              </m:rPr>
              <w:rPr>
                <w:rFonts w:ascii="Cambria Math" w:hAnsi="Cambria Math"/>
                <w:sz w:val="22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sz w:val="2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j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t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2"/>
              </w:rPr>
              <m:t xml:space="preserve">* </m:t>
            </m:r>
            <m:f>
              <m:fPr>
                <m:ctrlPr>
                  <w:rPr>
                    <w:rFonts w:ascii="Cambria Math" w:hAnsi="Cambria Math"/>
                    <w:b/>
                    <w:bCs/>
                    <w:sz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mstf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k-t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ms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k-t</m:t>
                    </m:r>
                  </m:sub>
                </m:sSub>
              </m:den>
            </m:f>
          </m:e>
        </m:nary>
      </m:oMath>
      <w:r w:rsidR="00080E89">
        <w:rPr>
          <w:rFonts w:ascii="Cambria Math" w:eastAsiaTheme="minorEastAsia" w:hAnsi="Cambria Math"/>
          <w:b/>
          <w:bCs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 xml:space="preserve">pour k &lt;=t&lt;= p </m:t>
        </m:r>
      </m:oMath>
      <w:r w:rsidR="00080E89" w:rsidRPr="00990897">
        <w:rPr>
          <w:szCs w:val="20"/>
        </w:rPr>
        <w:t xml:space="preserve"> </w:t>
      </w:r>
    </w:p>
    <w:p w14:paraId="59CC1C1F" w14:textId="77777777" w:rsidR="00080E89" w:rsidRDefault="00080E89" w:rsidP="00080E89">
      <w:pPr>
        <w:pStyle w:val="Titre4"/>
        <w:jc w:val="both"/>
      </w:pPr>
      <w:bookmarkStart w:id="26" w:name="_Toc99978672"/>
      <w:r w:rsidRPr="009C16F9">
        <w:t xml:space="preserve">Calcul des Gaps de Taux Fixe pour les </w:t>
      </w:r>
      <w:proofErr w:type="spellStart"/>
      <w:r w:rsidRPr="009C16F9">
        <w:t>PNs</w:t>
      </w:r>
      <w:proofErr w:type="spellEnd"/>
      <w:r w:rsidRPr="009C16F9">
        <w:t xml:space="preserve"> </w:t>
      </w:r>
      <w:r>
        <w:t>PEL et les ajustements</w:t>
      </w:r>
      <w:bookmarkEnd w:id="26"/>
    </w:p>
    <w:p w14:paraId="065FC029" w14:textId="77777777" w:rsidR="00080E89" w:rsidRPr="009C16F9" w:rsidRDefault="00080E89" w:rsidP="00080E89">
      <w:pPr>
        <w:jc w:val="both"/>
      </w:pPr>
      <w:r>
        <w:t xml:space="preserve">Soit </w:t>
      </w:r>
      <w:proofErr w:type="spellStart"/>
      <w:r>
        <w:t>m</w:t>
      </w:r>
      <w:r>
        <w:rPr>
          <w:vertAlign w:val="subscript"/>
        </w:rPr>
        <w:t>j,t</w:t>
      </w:r>
      <w:proofErr w:type="spellEnd"/>
      <w:r>
        <w:t xml:space="preserve"> l’encours au mois t d’un produit PEL émis au mois j. Soit p le nombre mois de projection. Alors l</w:t>
      </w:r>
      <w:r w:rsidRPr="009C16F9">
        <w:t xml:space="preserve">e gap de taux </w:t>
      </w:r>
      <w:r>
        <w:t xml:space="preserve">fixe (GP TF) </w:t>
      </w:r>
      <w:r w:rsidRPr="009C16F9">
        <w:t xml:space="preserve">projeté en k </w:t>
      </w:r>
      <w:r>
        <w:t>pour ce produit est égal à :</w:t>
      </w:r>
    </w:p>
    <w:p w14:paraId="225B91C7" w14:textId="77777777" w:rsidR="00080E89" w:rsidRPr="00990897" w:rsidRDefault="00080E89" w:rsidP="00080E89">
      <w:pPr>
        <w:pStyle w:val="Paragraphedeliste"/>
        <w:numPr>
          <w:ilvl w:val="0"/>
          <w:numId w:val="1"/>
        </w:numPr>
        <w:jc w:val="both"/>
        <w:rPr>
          <w:szCs w:val="20"/>
        </w:rPr>
      </w:pPr>
      <m:oMath>
        <m:r>
          <m:rPr>
            <m:sty m:val="b"/>
          </m:rPr>
          <w:rPr>
            <w:rFonts w:ascii="Cambria Math" w:hAnsi="Cambria Math"/>
            <w:szCs w:val="20"/>
          </w:rPr>
          <m:t>0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  pour 0 &lt;=t &lt;= k-1 </m:t>
        </m:r>
      </m:oMath>
      <w:r w:rsidRPr="00990897">
        <w:rPr>
          <w:szCs w:val="20"/>
        </w:rPr>
        <w:t xml:space="preserve"> </w:t>
      </w:r>
    </w:p>
    <w:p w14:paraId="2DF45191" w14:textId="77777777" w:rsidR="00080E89" w:rsidRPr="00336A0C" w:rsidRDefault="00130703" w:rsidP="00080E89">
      <w:pPr>
        <w:pStyle w:val="Paragraphedeliste"/>
        <w:numPr>
          <w:ilvl w:val="0"/>
          <w:numId w:val="1"/>
        </w:numPr>
        <w:jc w:val="both"/>
        <w:rPr>
          <w:rFonts w:ascii="Cambria Math" w:hAnsi="Cambria Math"/>
          <w:b/>
          <w:bCs/>
          <w:sz w:val="22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sz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j</m:t>
            </m:r>
            <m:r>
              <m:rPr>
                <m:sty m:val="b"/>
              </m:rPr>
              <w:rPr>
                <w:rFonts w:ascii="Cambria Math" w:hAnsi="Cambria Math"/>
                <w:sz w:val="22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2"/>
              </w:rPr>
              <m:t>j</m:t>
            </m:r>
            <m:r>
              <m:rPr>
                <m:sty m:val="b"/>
              </m:rPr>
              <w:rPr>
                <w:rFonts w:ascii="Cambria Math" w:hAnsi="Cambria Math"/>
                <w:sz w:val="22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sz w:val="2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j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t</m:t>
                </m:r>
              </m:sub>
            </m:sSub>
          </m:e>
        </m:nary>
      </m:oMath>
      <w:r w:rsidR="00080E89">
        <w:rPr>
          <w:rFonts w:ascii="Cambria Math" w:eastAsiaTheme="minorEastAsia" w:hAnsi="Cambria Math"/>
          <w:b/>
          <w:bCs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 xml:space="preserve">pour k &lt;=t&lt;= p </m:t>
        </m:r>
      </m:oMath>
      <w:r w:rsidR="00080E89" w:rsidRPr="00990897">
        <w:rPr>
          <w:szCs w:val="20"/>
        </w:rPr>
        <w:t xml:space="preserve"> </w:t>
      </w:r>
    </w:p>
    <w:p w14:paraId="10E9EC17" w14:textId="77777777" w:rsidR="00080E89" w:rsidRDefault="00080E89" w:rsidP="00080E89">
      <w:pPr>
        <w:pStyle w:val="Titre4"/>
        <w:jc w:val="both"/>
      </w:pPr>
      <w:bookmarkStart w:id="27" w:name="_Toc99978673"/>
      <w:r w:rsidRPr="009C16F9">
        <w:t xml:space="preserve">Calcul des Gaps de Taux Fixe pour les </w:t>
      </w:r>
      <w:proofErr w:type="spellStart"/>
      <w:r w:rsidRPr="009C16F9">
        <w:t>PNs</w:t>
      </w:r>
      <w:proofErr w:type="spellEnd"/>
      <w:r w:rsidRPr="009C16F9">
        <w:t xml:space="preserve"> </w:t>
      </w:r>
      <w:r>
        <w:t>ECH</w:t>
      </w:r>
      <w:bookmarkEnd w:id="27"/>
    </w:p>
    <w:p w14:paraId="7912DB9C" w14:textId="77777777" w:rsidR="00080E89" w:rsidRDefault="00080E89" w:rsidP="00080E89">
      <w:pPr>
        <w:jc w:val="both"/>
      </w:pPr>
      <w:r>
        <w:t>Le calcul du gap de taux pour les produits PN ECH est plus complexe :</w:t>
      </w:r>
    </w:p>
    <w:p w14:paraId="637FE4C8" w14:textId="77777777" w:rsidR="00080E89" w:rsidRDefault="00080E89" w:rsidP="00080E89">
      <w:pPr>
        <w:pStyle w:val="Paragraphedeliste"/>
        <w:numPr>
          <w:ilvl w:val="0"/>
          <w:numId w:val="3"/>
        </w:numPr>
        <w:jc w:val="both"/>
      </w:pPr>
      <w:r>
        <w:t>Il est égal au gap de liquidité pour les produits à taux fixe</w:t>
      </w:r>
    </w:p>
    <w:p w14:paraId="3C78C943" w14:textId="77777777" w:rsidR="00080E89" w:rsidRDefault="00080E89" w:rsidP="00080E89">
      <w:pPr>
        <w:pStyle w:val="Paragraphedeliste"/>
        <w:numPr>
          <w:ilvl w:val="0"/>
          <w:numId w:val="3"/>
        </w:numPr>
        <w:jc w:val="both"/>
      </w:pPr>
      <w:r>
        <w:t>Il est égal à 0 pour les produits indexés sur un ténor 1D ou indexés sur TMO</w:t>
      </w:r>
    </w:p>
    <w:p w14:paraId="00CDEBCE" w14:textId="77777777" w:rsidR="00080E89" w:rsidRPr="00D54BF3" w:rsidRDefault="00080E89" w:rsidP="00080E89">
      <w:pPr>
        <w:pStyle w:val="Paragraphedeliste"/>
        <w:numPr>
          <w:ilvl w:val="0"/>
          <w:numId w:val="3"/>
        </w:numPr>
        <w:jc w:val="both"/>
      </w:pPr>
      <w:r>
        <w:t>Pour les produits à taux variable de fréquence de fixing  </w:t>
      </w:r>
      <m:oMath>
        <m:r>
          <w:rPr>
            <w:rFonts w:ascii="Cambria Math" w:hAnsi="Cambria Math" w:cs="Cambria Math"/>
            <w:color w:val="222222"/>
            <w:szCs w:val="20"/>
          </w:rPr>
          <m:t>f∈</m:t>
        </m:r>
        <m:d>
          <m:dPr>
            <m:begChr m:val="{"/>
            <m:endChr m:val="}"/>
            <m:ctrlPr>
              <w:rPr>
                <w:rFonts w:ascii="Cambria Math" w:hAnsi="Cambria Math" w:cs="Cambria Math"/>
                <w:i/>
                <w:color w:val="222222"/>
                <w:szCs w:val="20"/>
              </w:rPr>
            </m:ctrlPr>
          </m:dPr>
          <m:e>
            <m:r>
              <w:rPr>
                <w:rFonts w:ascii="Cambria Math" w:hAnsi="Cambria Math" w:cs="Cambria Math"/>
                <w:color w:val="222222"/>
                <w:szCs w:val="20"/>
              </w:rPr>
              <m:t>1,3,4,6,12</m:t>
            </m:r>
          </m:e>
        </m:d>
      </m:oMath>
    </w:p>
    <w:p w14:paraId="76DBF6DA" w14:textId="77777777" w:rsidR="00080E89" w:rsidRPr="009C16F9" w:rsidRDefault="00080E89" w:rsidP="00080E89">
      <w:pPr>
        <w:pStyle w:val="Paragraphedeliste"/>
        <w:numPr>
          <w:ilvl w:val="1"/>
          <w:numId w:val="3"/>
        </w:numPr>
        <w:jc w:val="both"/>
      </w:pPr>
      <w:r>
        <w:t xml:space="preserve">Soit </w:t>
      </w:r>
      <w:proofErr w:type="spellStart"/>
      <w:r>
        <w:t>m</w:t>
      </w:r>
      <w:r w:rsidRPr="00D54BF3">
        <w:rPr>
          <w:vertAlign w:val="subscript"/>
        </w:rPr>
        <w:t>j,</w:t>
      </w:r>
      <w:r>
        <w:rPr>
          <w:vertAlign w:val="subscript"/>
        </w:rPr>
        <w:t>t</w:t>
      </w:r>
      <w:proofErr w:type="spellEnd"/>
      <w:r>
        <w:t xml:space="preserve"> l’encours au mois t d’un produit ECH  émis au mois j. Soit p le nombre mois de projection. Alors l</w:t>
      </w:r>
      <w:r w:rsidRPr="009C16F9">
        <w:t xml:space="preserve">e gap de taux </w:t>
      </w:r>
      <w:r>
        <w:t xml:space="preserve">fixe (GP TF) </w:t>
      </w:r>
      <w:r w:rsidRPr="009C16F9">
        <w:t xml:space="preserve">projeté en k </w:t>
      </w:r>
      <w:r>
        <w:t>pour ce produit est égal à :</w:t>
      </w:r>
    </w:p>
    <w:p w14:paraId="6F9A122A" w14:textId="77777777" w:rsidR="00080E89" w:rsidRPr="00DF6F94" w:rsidRDefault="00080E89" w:rsidP="00080E89">
      <w:pPr>
        <w:pStyle w:val="Paragraphedeliste"/>
        <w:numPr>
          <w:ilvl w:val="2"/>
          <w:numId w:val="3"/>
        </w:numPr>
        <w:ind w:left="2154" w:hanging="357"/>
        <w:contextualSpacing w:val="0"/>
        <w:jc w:val="both"/>
        <w:rPr>
          <w:sz w:val="22"/>
        </w:rPr>
      </w:pPr>
      <m:oMath>
        <m:r>
          <m:rPr>
            <m:sty m:val="b"/>
          </m:rPr>
          <w:rPr>
            <w:rFonts w:ascii="Cambria Math" w:hAnsi="Cambria Math"/>
            <w:sz w:val="22"/>
          </w:rPr>
          <m:t>0</m:t>
        </m:r>
        <m:r>
          <m:rPr>
            <m:sty m:val="p"/>
          </m:rPr>
          <w:rPr>
            <w:rFonts w:ascii="Cambria Math" w:hAnsi="Cambria Math"/>
            <w:sz w:val="22"/>
          </w:rPr>
          <m:t xml:space="preserve">  pour 0 &lt;=t &lt;= k-1 </m:t>
        </m:r>
      </m:oMath>
      <w:r w:rsidRPr="00DF6F94">
        <w:rPr>
          <w:sz w:val="22"/>
        </w:rPr>
        <w:t xml:space="preserve"> </w:t>
      </w:r>
    </w:p>
    <w:p w14:paraId="04B7BC23" w14:textId="77777777" w:rsidR="00080E89" w:rsidRPr="00CE5673" w:rsidRDefault="00130703" w:rsidP="00080E89">
      <w:pPr>
        <w:pStyle w:val="Paragraphedeliste"/>
        <w:numPr>
          <w:ilvl w:val="2"/>
          <w:numId w:val="3"/>
        </w:numPr>
        <w:ind w:left="2154" w:hanging="357"/>
        <w:contextualSpacing w:val="0"/>
        <w:jc w:val="both"/>
        <w:rPr>
          <w:rFonts w:ascii="Cambria Math" w:hAnsi="Cambria Math"/>
          <w:b/>
          <w:bCs/>
          <w:sz w:val="22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bCs/>
                <w:sz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j</m:t>
            </m:r>
            <m:r>
              <m:rPr>
                <m:sty m:val="b"/>
              </m:rPr>
              <w:rPr>
                <w:rFonts w:ascii="Cambria Math" w:hAnsi="Cambria Math"/>
                <w:sz w:val="22"/>
              </w:rPr>
              <m:t xml:space="preserve"> ∈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b/>
                    <w:bCs/>
                    <w:sz w:val="2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>1,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k</m:t>
                </m:r>
              </m:e>
            </m:d>
            <m:r>
              <m:rPr>
                <m:sty m:val="b"/>
              </m:rPr>
              <w:rPr>
                <w:rFonts w:ascii="Cambria Math" w:hAnsi="Cambria Math"/>
                <w:sz w:val="22"/>
              </w:rPr>
              <m:t xml:space="preserve">,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t</m:t>
            </m:r>
            <m:r>
              <m:rPr>
                <m:sty m:val="b"/>
              </m:rPr>
              <w:rPr>
                <w:rFonts w:ascii="Cambria Math" w:hAnsi="Cambria Math"/>
                <w:sz w:val="22"/>
              </w:rPr>
              <m:t>∈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b/>
                    <w:bCs/>
                    <w:sz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j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j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f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>-(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j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2"/>
                      </w:rPr>
                      <m:t>+1-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mod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f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>)</m:t>
                </m:r>
              </m:e>
            </m:d>
            <m:r>
              <m:rPr>
                <m:sty m:val="b"/>
              </m:rPr>
              <w:rPr>
                <w:rFonts w:ascii="Cambria Math" w:hAnsi="Cambria Math"/>
                <w:sz w:val="22"/>
              </w:rPr>
              <m:t xml:space="preserve">  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b/>
                    <w:bCs/>
                    <w:sz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j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t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2"/>
              </w:rPr>
              <m:t xml:space="preserve"> </m:t>
            </m:r>
          </m:e>
        </m:nary>
        <m:r>
          <m:rPr>
            <m:sty m:val="p"/>
          </m:rPr>
          <w:rPr>
            <w:rFonts w:ascii="Cambria Math" w:hAnsi="Cambria Math"/>
            <w:sz w:val="22"/>
          </w:rPr>
          <m:t xml:space="preserve"> pour k &lt;=t &lt;= p </m:t>
        </m:r>
      </m:oMath>
      <w:r w:rsidR="00080E89" w:rsidRPr="00DF6F94">
        <w:rPr>
          <w:sz w:val="22"/>
        </w:rPr>
        <w:t xml:space="preserve"> </w:t>
      </w:r>
    </w:p>
    <w:p w14:paraId="17B94D54" w14:textId="77777777" w:rsidR="00080E89" w:rsidRDefault="00080E89" w:rsidP="00080E89">
      <w:pPr>
        <w:pStyle w:val="Titre3"/>
        <w:spacing w:after="120"/>
        <w:jc w:val="both"/>
      </w:pPr>
      <w:bookmarkStart w:id="28" w:name="_Toc99978674"/>
      <w:bookmarkStart w:id="29" w:name="_Toc107267773"/>
      <w:bookmarkStart w:id="30" w:name="_Toc107267829"/>
      <w:bookmarkStart w:id="31" w:name="_Toc107267877"/>
      <w:r w:rsidRPr="009C16F9">
        <w:t>Calcul des Gaps de Taux Fixe pour le</w:t>
      </w:r>
      <w:r>
        <w:t xml:space="preserve"> STOCK</w:t>
      </w:r>
      <w:bookmarkEnd w:id="28"/>
      <w:bookmarkEnd w:id="29"/>
      <w:bookmarkEnd w:id="30"/>
      <w:bookmarkEnd w:id="31"/>
    </w:p>
    <w:p w14:paraId="3AD85559" w14:textId="77777777" w:rsidR="00080E89" w:rsidRPr="009C16F9" w:rsidRDefault="00080E89" w:rsidP="00080E89">
      <w:pPr>
        <w:jc w:val="both"/>
      </w:pPr>
      <w:r>
        <w:t>Soit m</w:t>
      </w:r>
      <w:r>
        <w:rPr>
          <w:vertAlign w:val="subscript"/>
        </w:rPr>
        <w:t>t</w:t>
      </w:r>
      <w:r>
        <w:t xml:space="preserve"> l’encours au mois t d’un produit du stock. Soit </w:t>
      </w:r>
      <w:proofErr w:type="spellStart"/>
      <w:r>
        <w:t>ms</w:t>
      </w:r>
      <w:r>
        <w:rPr>
          <w:vertAlign w:val="subscript"/>
        </w:rPr>
        <w:t>t</w:t>
      </w:r>
      <w:proofErr w:type="spellEnd"/>
      <w:r>
        <w:rPr>
          <w:vertAlign w:val="subscript"/>
        </w:rPr>
        <w:t xml:space="preserve"> </w:t>
      </w:r>
      <w:r>
        <w:t xml:space="preserve">l’encours de ce même produit dans le stock et </w:t>
      </w:r>
      <w:proofErr w:type="spellStart"/>
      <w:r>
        <w:t>mstf</w:t>
      </w:r>
      <w:r>
        <w:rPr>
          <w:vertAlign w:val="subscript"/>
        </w:rPr>
        <w:t>t</w:t>
      </w:r>
      <w:proofErr w:type="spellEnd"/>
      <w:r>
        <w:t xml:space="preserve"> l’encours taux fixe de ce même produit dans le stock. Soit p le nombre mois de projection. Alors l</w:t>
      </w:r>
      <w:r w:rsidRPr="009C16F9">
        <w:t xml:space="preserve">e gap de taux </w:t>
      </w:r>
      <w:r>
        <w:t xml:space="preserve">fixe (GP TF) </w:t>
      </w:r>
      <w:r w:rsidRPr="009C16F9">
        <w:t xml:space="preserve">projeté en k </w:t>
      </w:r>
      <w:r>
        <w:t>pour ce produit est égal à :</w:t>
      </w:r>
    </w:p>
    <w:p w14:paraId="184F1C43" w14:textId="77777777" w:rsidR="00080E89" w:rsidRPr="00990897" w:rsidRDefault="00080E89" w:rsidP="00080E89">
      <w:pPr>
        <w:pStyle w:val="Paragraphedeliste"/>
        <w:numPr>
          <w:ilvl w:val="0"/>
          <w:numId w:val="1"/>
        </w:numPr>
        <w:jc w:val="both"/>
        <w:rPr>
          <w:szCs w:val="20"/>
        </w:rPr>
      </w:pPr>
      <m:oMath>
        <m:r>
          <m:rPr>
            <m:sty m:val="b"/>
          </m:rPr>
          <w:rPr>
            <w:rFonts w:ascii="Cambria Math" w:hAnsi="Cambria Math"/>
            <w:szCs w:val="20"/>
          </w:rPr>
          <m:t>0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  pour 0 &lt;=t &lt;= k-1 </m:t>
        </m:r>
      </m:oMath>
      <w:r w:rsidRPr="00990897">
        <w:rPr>
          <w:szCs w:val="20"/>
        </w:rPr>
        <w:t xml:space="preserve"> </w:t>
      </w:r>
    </w:p>
    <w:p w14:paraId="2DFC0384" w14:textId="77777777" w:rsidR="00080E89" w:rsidRPr="007958CE" w:rsidRDefault="00130703" w:rsidP="00080E89">
      <w:pPr>
        <w:pStyle w:val="Paragraphedeliste"/>
        <w:numPr>
          <w:ilvl w:val="0"/>
          <w:numId w:val="1"/>
        </w:numPr>
        <w:jc w:val="both"/>
        <w:rPr>
          <w:rFonts w:ascii="Cambria Math" w:hAnsi="Cambria Math"/>
          <w:b/>
          <w:bCs/>
          <w:sz w:val="22"/>
        </w:rPr>
      </w:pPr>
      <m:oMath>
        <m:sSub>
          <m:sSubPr>
            <m:ctrlPr>
              <w:rPr>
                <w:rFonts w:ascii="Cambria Math" w:hAnsi="Cambria Math"/>
                <w:b/>
                <w:bCs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2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t</m:t>
            </m:r>
          </m:sub>
        </m:sSub>
        <m:r>
          <m:rPr>
            <m:sty m:val="b"/>
          </m:rPr>
          <w:rPr>
            <w:rFonts w:ascii="Cambria Math" w:hAnsi="Cambria Math"/>
            <w:sz w:val="22"/>
          </w:rPr>
          <m:t xml:space="preserve">* </m:t>
        </m:r>
        <m:f>
          <m:fPr>
            <m:ctrlPr>
              <w:rPr>
                <w:rFonts w:ascii="Cambria Math" w:hAnsi="Cambria Math"/>
                <w:b/>
                <w:bCs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sz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mstf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k-t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sz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ms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k-t</m:t>
                </m:r>
              </m:sub>
            </m:sSub>
          </m:den>
        </m:f>
      </m:oMath>
      <w:r w:rsidR="00080E89">
        <w:rPr>
          <w:rFonts w:ascii="Cambria Math" w:eastAsiaTheme="minorEastAsia" w:hAnsi="Cambria Math"/>
          <w:b/>
          <w:bCs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 xml:space="preserve">pour k &lt;=t&lt;= p </m:t>
        </m:r>
      </m:oMath>
      <w:r w:rsidR="00080E89" w:rsidRPr="00990897">
        <w:rPr>
          <w:szCs w:val="20"/>
        </w:rPr>
        <w:t xml:space="preserve"> </w:t>
      </w:r>
    </w:p>
    <w:p w14:paraId="381FBC3D" w14:textId="77777777" w:rsidR="00080E89" w:rsidRDefault="00080E89" w:rsidP="00080E89">
      <w:pPr>
        <w:pStyle w:val="Titre3"/>
        <w:spacing w:after="120"/>
        <w:jc w:val="both"/>
      </w:pPr>
      <w:bookmarkStart w:id="32" w:name="_Toc99978675"/>
      <w:bookmarkStart w:id="33" w:name="_Toc107267774"/>
      <w:bookmarkStart w:id="34" w:name="_Toc107267830"/>
      <w:bookmarkStart w:id="35" w:name="_Toc107267878"/>
      <w:r w:rsidRPr="009C16F9">
        <w:t xml:space="preserve">Calcul des Gaps de Taux Fixe pour </w:t>
      </w:r>
      <w:r>
        <w:t>les produits indexés sur TLA, TLB, CEL ou LEP :</w:t>
      </w:r>
      <w:bookmarkEnd w:id="32"/>
      <w:bookmarkEnd w:id="33"/>
      <w:bookmarkEnd w:id="34"/>
      <w:bookmarkEnd w:id="35"/>
    </w:p>
    <w:p w14:paraId="34854F78" w14:textId="77777777" w:rsidR="00080E89" w:rsidRDefault="00080E89" w:rsidP="00080E89">
      <w:r>
        <w:t xml:space="preserve">Soit </w:t>
      </w:r>
      <w:proofErr w:type="spellStart"/>
      <w:r>
        <w:t>GP_TF</w:t>
      </w:r>
      <w:r w:rsidRPr="007958CE">
        <w:rPr>
          <w:vertAlign w:val="subscript"/>
        </w:rPr>
        <w:t>k</w:t>
      </w:r>
      <w:proofErr w:type="spellEnd"/>
      <w:r>
        <w:t xml:space="preserve">(t) le gap de taux fixe projeté en k au mois t calculé selon les règles précédentes, alors pour les produits </w:t>
      </w:r>
      <w:r w:rsidRPr="007958CE">
        <w:t>indexés sur TLA, TLB, CEL ou LEP</w:t>
      </w:r>
      <w:r>
        <w:t>, le gap de taux fixe projeté en k au mois t est égal à :</w:t>
      </w:r>
    </w:p>
    <w:p w14:paraId="79468A3A" w14:textId="77777777" w:rsidR="00080E89" w:rsidRPr="007958CE" w:rsidRDefault="00080E89" w:rsidP="00080E89">
      <w:pPr>
        <w:pStyle w:val="Paragraphedeliste"/>
        <w:numPr>
          <w:ilvl w:val="0"/>
          <w:numId w:val="1"/>
        </w:numPr>
        <w:jc w:val="both"/>
        <w:rPr>
          <w:rFonts w:ascii="Cambria Math" w:hAnsi="Cambria Math"/>
          <w:b/>
          <w:bCs/>
          <w:sz w:val="22"/>
        </w:rPr>
      </w:pPr>
      <w:r w:rsidRPr="007958CE">
        <w:rPr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TF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  <w:vertAlign w:val="subscript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>(t)</m:t>
        </m:r>
        <m:r>
          <m:rPr>
            <m:sty m:val="b"/>
          </m:rPr>
          <w:rPr>
            <w:rFonts w:ascii="Cambria Math" w:hAnsi="Cambria Math"/>
            <w:szCs w:val="20"/>
          </w:rPr>
          <m:t>+coef</m:t>
        </m:r>
        <m:sSub>
          <m:sSubPr>
            <m:ctrlPr>
              <w:rPr>
                <w:rFonts w:ascii="Cambria Math" w:hAnsi="Cambria Math"/>
                <w:b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0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0"/>
              </w:rPr>
              <m:t>inf</m:t>
            </m:r>
          </m:sub>
        </m:sSub>
        <m:r>
          <m:rPr>
            <m:sty m:val="b"/>
          </m:rPr>
          <w:rPr>
            <w:rFonts w:ascii="Cambria Math" w:hAnsi="Cambria Math"/>
            <w:szCs w:val="20"/>
          </w:rPr>
          <m:t>*</m:t>
        </m:r>
        <m:r>
          <m:rPr>
            <m:sty m:val="bi"/>
          </m:rPr>
          <w:rPr>
            <w:rFonts w:ascii="Cambria Math" w:hAnsi="Cambria Math"/>
            <w:szCs w:val="20"/>
          </w:rPr>
          <m:t>(</m:t>
        </m:r>
        <m:r>
          <m:rPr>
            <m:sty m:val="p"/>
          </m:rPr>
          <w:rPr>
            <w:rFonts w:ascii="Cambria Math" w:hAnsi="Cambria Math"/>
            <w:szCs w:val="20"/>
          </w:rPr>
          <m:t>GP_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LQ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(t)- 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TF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  <w:vertAlign w:val="subscript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>(t)</m:t>
        </m:r>
        <m:r>
          <m:rPr>
            <m:sty m:val="bi"/>
          </m:rPr>
          <w:rPr>
            <w:rFonts w:ascii="Cambria Math" w:hAnsi="Cambria Math"/>
            <w:szCs w:val="20"/>
          </w:rPr>
          <m:t>)</m:t>
        </m:r>
      </m:oMath>
      <w:r>
        <w:rPr>
          <w:rFonts w:ascii="Cambria Math" w:eastAsiaTheme="minorEastAsia" w:hAnsi="Cambria Math"/>
          <w:b/>
          <w:bCs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 xml:space="preserve">pour k &lt;=t&lt;= p </m:t>
        </m:r>
      </m:oMath>
      <w:r w:rsidRPr="00990897">
        <w:rPr>
          <w:szCs w:val="20"/>
        </w:rPr>
        <w:t xml:space="preserve"> </w:t>
      </w:r>
    </w:p>
    <w:p w14:paraId="2231D8E5" w14:textId="77777777" w:rsidR="00080E89" w:rsidRDefault="00080E89" w:rsidP="00080E89">
      <w:pPr>
        <w:pStyle w:val="Paragraphedeliste"/>
        <w:numPr>
          <w:ilvl w:val="1"/>
          <w:numId w:val="1"/>
        </w:numPr>
        <w:jc w:val="both"/>
      </w:pPr>
      <m:oMath>
        <m:r>
          <m:rPr>
            <m:sty m:val="b"/>
          </m:rPr>
          <w:rPr>
            <w:rFonts w:ascii="Cambria Math" w:hAnsi="Cambria Math"/>
            <w:szCs w:val="20"/>
          </w:rPr>
          <m:t>coef</m:t>
        </m:r>
        <m:sSub>
          <m:sSubPr>
            <m:ctrlPr>
              <w:rPr>
                <w:rFonts w:ascii="Cambria Math" w:hAnsi="Cambria Math"/>
                <w:b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0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0"/>
              </w:rPr>
              <m:t>inf</m:t>
            </m:r>
          </m:sub>
        </m:sSub>
      </m:oMath>
      <w:r>
        <w:t xml:space="preserve"> est en paramètre dans l’onglet </w:t>
      </w:r>
      <w:proofErr w:type="spellStart"/>
      <w:r w:rsidRPr="007958CE">
        <w:rPr>
          <w:b/>
          <w:bCs/>
          <w:color w:val="7030A0"/>
        </w:rPr>
        <w:t>Param_Taux</w:t>
      </w:r>
      <w:proofErr w:type="spellEnd"/>
      <w:r w:rsidRPr="007958CE">
        <w:t xml:space="preserve"> et dépend de l’index.</w:t>
      </w:r>
    </w:p>
    <w:p w14:paraId="6D5A8C8D" w14:textId="77777777" w:rsidR="00080E89" w:rsidRPr="00DF6F94" w:rsidRDefault="00080E89" w:rsidP="00080E89">
      <w:pPr>
        <w:pStyle w:val="Paragraphedeliste"/>
        <w:ind w:left="1490"/>
        <w:jc w:val="both"/>
      </w:pPr>
    </w:p>
    <w:p w14:paraId="45CEE260" w14:textId="77777777" w:rsidR="00080E89" w:rsidRDefault="00080E89" w:rsidP="00080E89">
      <w:pPr>
        <w:pStyle w:val="Titre2"/>
      </w:pPr>
      <w:bookmarkStart w:id="36" w:name="_Toc56785272"/>
      <w:bookmarkStart w:id="37" w:name="_Toc99978676"/>
      <w:bookmarkStart w:id="38" w:name="_Toc107267775"/>
      <w:bookmarkStart w:id="39" w:name="_Toc107267831"/>
      <w:bookmarkStart w:id="40" w:name="_Toc107267879"/>
      <w:r w:rsidRPr="009C16F9">
        <w:t xml:space="preserve">Calcul </w:t>
      </w:r>
      <w:r>
        <w:t>du GAP INF</w:t>
      </w:r>
      <w:bookmarkEnd w:id="36"/>
      <w:bookmarkEnd w:id="37"/>
      <w:bookmarkEnd w:id="38"/>
      <w:bookmarkEnd w:id="39"/>
      <w:bookmarkEnd w:id="40"/>
    </w:p>
    <w:p w14:paraId="2CCF5F1C" w14:textId="77777777" w:rsidR="00080E89" w:rsidRPr="009C16F9" w:rsidRDefault="00080E89" w:rsidP="00080E89">
      <w:r>
        <w:t xml:space="preserve">Le GAP inflation est calculé pour les produits indexés sur l’index inflation. </w:t>
      </w:r>
      <w:bookmarkStart w:id="41" w:name="_Toc56785273"/>
      <w:r>
        <w:t>Le gap inflation projeté en k du stock sur les p mois de projection (k&lt;=p) est égal à :</w:t>
      </w:r>
    </w:p>
    <w:p w14:paraId="2A806DAB" w14:textId="77777777" w:rsidR="00080E89" w:rsidRDefault="00080E89" w:rsidP="00080E89">
      <w:pPr>
        <w:pStyle w:val="Paragraphedeliste"/>
        <w:numPr>
          <w:ilvl w:val="0"/>
          <w:numId w:val="1"/>
        </w:numPr>
        <w:jc w:val="both"/>
      </w:pPr>
      <w:r>
        <w:t>Pour les produits non indexés sur TLA, TLB, LEP ou CEL :</w:t>
      </w:r>
    </w:p>
    <w:p w14:paraId="1BFC1150" w14:textId="77777777" w:rsidR="00080E89" w:rsidRDefault="00080E89" w:rsidP="00080E89">
      <w:pPr>
        <w:pStyle w:val="Paragraphedeliste"/>
        <w:numPr>
          <w:ilvl w:val="1"/>
          <w:numId w:val="1"/>
        </w:numPr>
        <w:jc w:val="both"/>
      </w:pPr>
      <w:r w:rsidRPr="009C16F9">
        <w:t>0 entre les mois 0 et k-1 (on se place en effet au mois k)</w:t>
      </w:r>
    </w:p>
    <w:p w14:paraId="3030FBE3" w14:textId="77777777" w:rsidR="00080E89" w:rsidRPr="00854B04" w:rsidRDefault="00080E89" w:rsidP="00080E89">
      <w:pPr>
        <w:pStyle w:val="Paragraphedeliste"/>
        <w:numPr>
          <w:ilvl w:val="1"/>
          <w:numId w:val="1"/>
        </w:numPr>
        <w:jc w:val="both"/>
      </w:pPr>
      <m:oMath>
        <m:r>
          <m:rPr>
            <m:sty m:val="p"/>
          </m:rPr>
          <w:rPr>
            <w:rFonts w:ascii="Cambria Math" w:hAnsi="Cambria Math"/>
            <w:szCs w:val="20"/>
          </w:rPr>
          <m:t>GAP_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LQ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(t)- 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TF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  <w:vertAlign w:val="subscript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>(t)</m:t>
        </m:r>
      </m:oMath>
      <w:r w:rsidRPr="00854B04">
        <w:rPr>
          <w:rFonts w:ascii="Cambria Math" w:eastAsiaTheme="minorEastAsia" w:hAnsi="Cambria Math"/>
          <w:b/>
          <w:bCs/>
          <w:sz w:val="22"/>
        </w:rPr>
        <w:t xml:space="preserve"> </w:t>
      </w:r>
    </w:p>
    <w:p w14:paraId="623BF46D" w14:textId="77777777" w:rsidR="00080E89" w:rsidRDefault="00080E89" w:rsidP="00080E89">
      <w:pPr>
        <w:pStyle w:val="Paragraphedeliste"/>
        <w:numPr>
          <w:ilvl w:val="0"/>
          <w:numId w:val="1"/>
        </w:numPr>
        <w:jc w:val="both"/>
      </w:pPr>
      <w:r>
        <w:t>Pour les produits indexés sur TLA, TLB, LEP ou CEL :</w:t>
      </w:r>
    </w:p>
    <w:p w14:paraId="311CE5F2" w14:textId="77777777" w:rsidR="00080E89" w:rsidRPr="009C16F9" w:rsidRDefault="00080E89" w:rsidP="00080E89">
      <w:pPr>
        <w:pStyle w:val="Paragraphedeliste"/>
        <w:numPr>
          <w:ilvl w:val="1"/>
          <w:numId w:val="1"/>
        </w:numPr>
        <w:jc w:val="both"/>
      </w:pPr>
      <w:r w:rsidRPr="009C16F9">
        <w:lastRenderedPageBreak/>
        <w:t xml:space="preserve">0 entre les mois 0 et k-1 (on se </w:t>
      </w:r>
      <w:proofErr w:type="spellStart"/>
      <w:r w:rsidRPr="009C16F9">
        <w:t>pla</w:t>
      </w:r>
      <w:proofErr w:type="spellEnd"/>
      <w:r>
        <w:t xml:space="preserve"> </w:t>
      </w:r>
      <w:r w:rsidRPr="009C16F9">
        <w:t>ce en effet au mois k)</w:t>
      </w:r>
    </w:p>
    <w:p w14:paraId="3CAE416B" w14:textId="77777777" w:rsidR="00080E89" w:rsidRDefault="00080E89" w:rsidP="00080E89">
      <w:pPr>
        <w:pStyle w:val="Paragraphedeliste"/>
        <w:numPr>
          <w:ilvl w:val="1"/>
          <w:numId w:val="1"/>
        </w:numPr>
        <w:jc w:val="both"/>
      </w:pPr>
      <m:oMath>
        <m:r>
          <m:rPr>
            <m:sty m:val="p"/>
          </m:rPr>
          <w:rPr>
            <w:rFonts w:ascii="Cambria Math" w:hAnsi="Cambria Math"/>
          </w:rPr>
          <m:t>(1+</m:t>
        </m:r>
        <m:r>
          <m:rPr>
            <m:sty m:val="b"/>
          </m:rPr>
          <w:rPr>
            <w:rFonts w:ascii="Cambria Math" w:hAnsi="Cambria Math"/>
            <w:szCs w:val="20"/>
          </w:rPr>
          <m:t>coef</m:t>
        </m:r>
        <m:sSub>
          <m:sSubPr>
            <m:ctrlPr>
              <w:rPr>
                <w:rFonts w:ascii="Cambria Math" w:hAnsi="Cambria Math"/>
                <w:b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0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0"/>
              </w:rPr>
              <m:t>inf</m:t>
            </m:r>
          </m:sub>
        </m:sSub>
        <m:r>
          <m:rPr>
            <m:sty m:val="p"/>
          </m:rPr>
          <w:rPr>
            <w:rFonts w:ascii="Cambria Math" w:hAnsi="Cambria Math"/>
          </w:rPr>
          <m:t>)*(</m:t>
        </m:r>
        <m:r>
          <m:rPr>
            <m:sty m:val="p"/>
          </m:rPr>
          <w:rPr>
            <w:rFonts w:ascii="Cambria Math" w:hAnsi="Cambria Math"/>
            <w:szCs w:val="20"/>
          </w:rPr>
          <m:t>GP_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LIQ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(t)- 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TF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  <w:vertAlign w:val="subscript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>(t)</m:t>
        </m:r>
        <m:r>
          <m:rPr>
            <m:sty m:val="p"/>
          </m:rPr>
          <w:rPr>
            <w:rFonts w:ascii="Cambria Math" w:hAnsi="Cambria Math"/>
          </w:rPr>
          <m:t xml:space="preserve">) </m:t>
        </m:r>
      </m:oMath>
    </w:p>
    <w:p w14:paraId="04106ACF" w14:textId="77777777" w:rsidR="00080E89" w:rsidRPr="00C55515" w:rsidRDefault="00080E89" w:rsidP="00080E89">
      <w:pPr>
        <w:pStyle w:val="Paragraphedeliste"/>
        <w:numPr>
          <w:ilvl w:val="2"/>
          <w:numId w:val="1"/>
        </w:numPr>
        <w:jc w:val="both"/>
      </w:pPr>
      <m:oMath>
        <m:r>
          <m:rPr>
            <m:sty m:val="b"/>
          </m:rPr>
          <w:rPr>
            <w:rFonts w:ascii="Cambria Math" w:hAnsi="Cambria Math"/>
            <w:szCs w:val="20"/>
          </w:rPr>
          <m:t>coef</m:t>
        </m:r>
        <m:sSub>
          <m:sSubPr>
            <m:ctrlPr>
              <w:rPr>
                <w:rFonts w:ascii="Cambria Math" w:hAnsi="Cambria Math"/>
                <w:b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0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0"/>
              </w:rPr>
              <m:t>inf</m:t>
            </m:r>
          </m:sub>
        </m:sSub>
      </m:oMath>
      <w:r>
        <w:rPr>
          <w:rFonts w:eastAsiaTheme="minorEastAsia"/>
          <w:b/>
          <w:szCs w:val="20"/>
        </w:rPr>
        <w:t xml:space="preserve"> </w:t>
      </w:r>
      <w:r>
        <w:t xml:space="preserve">est en paramètre dans l’onglet </w:t>
      </w:r>
      <w:proofErr w:type="spellStart"/>
      <w:r w:rsidRPr="00C01E60">
        <w:rPr>
          <w:b/>
          <w:bCs/>
          <w:color w:val="7030A0"/>
        </w:rPr>
        <w:t>Param_Taux</w:t>
      </w:r>
      <w:proofErr w:type="spellEnd"/>
      <w:r>
        <w:rPr>
          <w:b/>
          <w:bCs/>
          <w:color w:val="7030A0"/>
        </w:rPr>
        <w:t xml:space="preserve"> </w:t>
      </w:r>
      <w:r w:rsidRPr="007958CE">
        <w:t>et dépend de l’index.</w:t>
      </w:r>
    </w:p>
    <w:p w14:paraId="04DE3EE0" w14:textId="77777777" w:rsidR="00080E89" w:rsidRDefault="00080E89" w:rsidP="00080E89">
      <w:pPr>
        <w:pStyle w:val="Titre2"/>
      </w:pPr>
      <w:bookmarkStart w:id="42" w:name="_Toc99978677"/>
      <w:bookmarkStart w:id="43" w:name="_Toc107267776"/>
      <w:bookmarkStart w:id="44" w:name="_Toc107267832"/>
      <w:bookmarkStart w:id="45" w:name="_Toc107267880"/>
      <w:r w:rsidRPr="009C16F9">
        <w:t xml:space="preserve">Calcul </w:t>
      </w:r>
      <w:r>
        <w:t>du GAP REG</w:t>
      </w:r>
      <w:bookmarkEnd w:id="41"/>
      <w:bookmarkEnd w:id="42"/>
      <w:bookmarkEnd w:id="43"/>
      <w:bookmarkEnd w:id="44"/>
      <w:bookmarkEnd w:id="45"/>
    </w:p>
    <w:p w14:paraId="5D1EC947" w14:textId="77777777" w:rsidR="00080E89" w:rsidRDefault="00080E89" w:rsidP="00080E89">
      <w:r>
        <w:t>Le GAP réglementaire projeté en k a mois t (t&lt;p mois de projection) se calcule comme une pondération entre GAP de taux fixe et GAP inflation selon la formule suivante :</w:t>
      </w:r>
    </w:p>
    <w:p w14:paraId="011C8196" w14:textId="77777777" w:rsidR="00080E89" w:rsidRPr="00154A48" w:rsidRDefault="00080E89" w:rsidP="00080E89">
      <w:pPr>
        <w:pStyle w:val="Paragraphedeliste"/>
        <w:numPr>
          <w:ilvl w:val="1"/>
          <w:numId w:val="1"/>
        </w:numPr>
        <w:jc w:val="both"/>
      </w:pPr>
      <m:oMath>
        <m:r>
          <m:rPr>
            <m:sty m:val="b"/>
          </m:rPr>
          <w:rPr>
            <w:rFonts w:ascii="Cambria Math" w:hAnsi="Cambria Math"/>
            <w:szCs w:val="20"/>
          </w:rPr>
          <m:t>coef</m:t>
        </m:r>
        <m:sSub>
          <m:sSubPr>
            <m:ctrlPr>
              <w:rPr>
                <w:rFonts w:ascii="Cambria Math" w:hAnsi="Cambria Math"/>
                <w:b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0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0"/>
              </w:rPr>
              <m:t>reg_inf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GP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INF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k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(t)+ </m:t>
        </m:r>
        <m:r>
          <m:rPr>
            <m:sty m:val="b"/>
          </m:rPr>
          <w:rPr>
            <w:rFonts w:ascii="Cambria Math" w:hAnsi="Cambria Math"/>
            <w:szCs w:val="20"/>
          </w:rPr>
          <m:t>coef</m:t>
        </m:r>
        <m:sSub>
          <m:sSubPr>
            <m:ctrlPr>
              <w:rPr>
                <w:rFonts w:ascii="Cambria Math" w:hAnsi="Cambria Math"/>
                <w:b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0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0"/>
              </w:rPr>
              <m:t>re</m:t>
            </m:r>
            <m:sSub>
              <m:sSubPr>
                <m:ctrlPr>
                  <w:rPr>
                    <w:rFonts w:ascii="Cambria Math" w:hAnsi="Cambria Math"/>
                    <w:b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Cs w:val="20"/>
                  </w:rPr>
                  <m:t>g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0"/>
                  </w:rPr>
                  <m:t>tf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  <w:szCs w:val="20"/>
          </w:rPr>
          <m:t>*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GP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TF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k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  <w:szCs w:val="20"/>
          </w:rPr>
          <m:t xml:space="preserve">(t) </m:t>
        </m:r>
      </m:oMath>
    </w:p>
    <w:p w14:paraId="3DA41456" w14:textId="77777777" w:rsidR="00080E89" w:rsidRPr="007D1D25" w:rsidRDefault="00080E89" w:rsidP="00080E89">
      <w:pPr>
        <w:pStyle w:val="Paragraphedeliste"/>
        <w:numPr>
          <w:ilvl w:val="2"/>
          <w:numId w:val="1"/>
        </w:numPr>
        <w:jc w:val="both"/>
      </w:pPr>
      <m:oMath>
        <m:r>
          <m:rPr>
            <m:sty m:val="b"/>
          </m:rPr>
          <w:rPr>
            <w:rFonts w:ascii="Cambria Math" w:hAnsi="Cambria Math"/>
            <w:szCs w:val="20"/>
          </w:rPr>
          <m:t>coef</m:t>
        </m:r>
        <m:sSub>
          <m:sSubPr>
            <m:ctrlPr>
              <w:rPr>
                <w:rFonts w:ascii="Cambria Math" w:hAnsi="Cambria Math"/>
                <w:b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0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0"/>
              </w:rPr>
              <m:t>reg_inf</m:t>
            </m:r>
          </m:sub>
        </m:sSub>
      </m:oMath>
      <w:r>
        <w:rPr>
          <w:rFonts w:eastAsiaTheme="minorEastAsia"/>
          <w:b/>
          <w:szCs w:val="20"/>
        </w:rPr>
        <w:t xml:space="preserve"> </w:t>
      </w:r>
      <w:r w:rsidRPr="00154A48">
        <w:rPr>
          <w:rFonts w:eastAsiaTheme="minorEastAsia"/>
          <w:bCs/>
          <w:szCs w:val="20"/>
        </w:rPr>
        <w:t>et</w:t>
      </w:r>
      <w:r>
        <w:rPr>
          <w:rFonts w:eastAsiaTheme="minorEastAsia"/>
          <w:b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/>
            <w:szCs w:val="20"/>
          </w:rPr>
          <m:t>coef</m:t>
        </m:r>
        <m:sSub>
          <m:sSubPr>
            <m:ctrlPr>
              <w:rPr>
                <w:rFonts w:ascii="Cambria Math" w:hAnsi="Cambria Math"/>
                <w:b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0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0"/>
              </w:rPr>
              <m:t>reg_tf</m:t>
            </m:r>
          </m:sub>
        </m:sSub>
      </m:oMath>
      <w:r>
        <w:rPr>
          <w:rFonts w:eastAsiaTheme="minorEastAsia"/>
          <w:b/>
          <w:szCs w:val="20"/>
        </w:rPr>
        <w:t xml:space="preserve"> </w:t>
      </w:r>
      <w:r>
        <w:t xml:space="preserve">sont en paramètre dans l’onglet </w:t>
      </w:r>
      <w:proofErr w:type="spellStart"/>
      <w:r w:rsidRPr="00C01E60">
        <w:rPr>
          <w:b/>
          <w:bCs/>
          <w:color w:val="7030A0"/>
        </w:rPr>
        <w:t>Param_Taux</w:t>
      </w:r>
      <w:proofErr w:type="spellEnd"/>
    </w:p>
    <w:p w14:paraId="5AACED9A" w14:textId="77777777" w:rsidR="00080E89" w:rsidRDefault="00080E89" w:rsidP="00080E89">
      <w:pPr>
        <w:pStyle w:val="Titre2"/>
      </w:pPr>
      <w:bookmarkStart w:id="46" w:name="_Toc56785274"/>
      <w:bookmarkStart w:id="47" w:name="_Toc99978678"/>
      <w:bookmarkStart w:id="48" w:name="_Toc107267777"/>
      <w:bookmarkStart w:id="49" w:name="_Toc107267833"/>
      <w:bookmarkStart w:id="50" w:name="_Toc107267881"/>
      <w:r w:rsidRPr="009C16F9">
        <w:t>Calcul de l’EVE</w:t>
      </w:r>
      <w:bookmarkEnd w:id="46"/>
      <w:bookmarkEnd w:id="47"/>
      <w:bookmarkEnd w:id="48"/>
      <w:bookmarkEnd w:id="49"/>
      <w:bookmarkEnd w:id="50"/>
    </w:p>
    <w:p w14:paraId="37240164" w14:textId="77777777" w:rsidR="00080E89" w:rsidRDefault="00080E89" w:rsidP="00080E89">
      <w:r w:rsidRPr="00154A48">
        <w:t>L’EVE ou l’</w:t>
      </w:r>
      <w:proofErr w:type="spellStart"/>
      <w:r w:rsidRPr="00154A48">
        <w:t>Economic</w:t>
      </w:r>
      <w:proofErr w:type="spellEnd"/>
      <w:r w:rsidRPr="00154A48">
        <w:t xml:space="preserve"> Value of </w:t>
      </w:r>
      <w:proofErr w:type="spellStart"/>
      <w:r w:rsidRPr="00154A48">
        <w:t>Equity</w:t>
      </w:r>
      <w:proofErr w:type="spellEnd"/>
      <w:r w:rsidRPr="00154A48">
        <w:t xml:space="preserve"> se définit comme la</w:t>
      </w:r>
      <w:r>
        <w:t xml:space="preserve"> valeur actuelle nette des </w:t>
      </w:r>
      <w:proofErr w:type="spellStart"/>
      <w:r>
        <w:t>cash flow</w:t>
      </w:r>
      <w:proofErr w:type="spellEnd"/>
      <w:r>
        <w:t xml:space="preserve"> du bilan d’une banque. L’EVE projeté au mois k sur p mois de projection, se calcule ainsi comme :</w:t>
      </w:r>
    </w:p>
    <w:p w14:paraId="7B562800" w14:textId="77777777" w:rsidR="00080E89" w:rsidRPr="00192B05" w:rsidRDefault="00130703" w:rsidP="00080E89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t=k+1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p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(t)</m:t>
                    </m:r>
                  </m:e>
                </m:d>
              </m:den>
            </m:f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(t)+F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(t)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avec :</m:t>
            </m:r>
          </m:e>
        </m:nary>
      </m:oMath>
    </w:p>
    <w:p w14:paraId="33497D90" w14:textId="77777777" w:rsidR="00080E89" w:rsidRPr="00192B05" w:rsidRDefault="00130703" w:rsidP="00080E89">
      <w:pPr>
        <w:pStyle w:val="Paragraphedeliste"/>
        <w:numPr>
          <w:ilvl w:val="1"/>
          <w:numId w:val="1"/>
        </w:numPr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k,t</m:t>
                    </m:r>
                  </m:sub>
                </m:sSub>
              </m:e>
            </m:d>
          </m:den>
        </m:f>
      </m:oMath>
      <w:r w:rsidR="00080E89">
        <w:rPr>
          <w:rFonts w:eastAsiaTheme="minorEastAsia"/>
          <w:sz w:val="24"/>
          <w:szCs w:val="24"/>
        </w:rPr>
        <w:t xml:space="preserve"> </w:t>
      </w:r>
      <w:r w:rsidR="00080E89">
        <w:rPr>
          <w:rFonts w:eastAsiaTheme="minorEastAsia"/>
          <w:szCs w:val="20"/>
        </w:rPr>
        <w:t>le coefficient d’actualisation en t vu de k.</w:t>
      </w:r>
    </w:p>
    <w:p w14:paraId="2562D701" w14:textId="77777777" w:rsidR="00080E89" w:rsidRPr="002B76CB" w:rsidRDefault="00080E89" w:rsidP="00080E89">
      <w:pPr>
        <w:pStyle w:val="Paragraphedeliste"/>
        <w:numPr>
          <w:ilvl w:val="1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(t)</m:t>
        </m:r>
      </m:oMath>
      <w:r>
        <w:rPr>
          <w:rFonts w:eastAsiaTheme="minorEastAsia"/>
          <w:sz w:val="24"/>
          <w:szCs w:val="24"/>
        </w:rPr>
        <w:t xml:space="preserve"> </w:t>
      </w:r>
      <w:r w:rsidRPr="002B76CB">
        <w:rPr>
          <w:rFonts w:eastAsiaTheme="minorEastAsia"/>
          <w:szCs w:val="20"/>
        </w:rPr>
        <w:t>le flux d’intérêt généré par le bilan projeté en k au mois</w:t>
      </w:r>
      <w:r>
        <w:rPr>
          <w:rFonts w:eastAsiaTheme="minorEastAsia"/>
          <w:szCs w:val="20"/>
        </w:rPr>
        <w:t> t:</w:t>
      </w:r>
    </w:p>
    <w:p w14:paraId="5BDF0519" w14:textId="77777777" w:rsidR="00080E89" w:rsidRPr="002B76CB" w:rsidRDefault="00080E89" w:rsidP="00080E89">
      <w:pPr>
        <w:pStyle w:val="Paragraphedeliste"/>
        <w:numPr>
          <w:ilvl w:val="2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(t)</m:t>
        </m:r>
      </m:oMath>
      <w:r w:rsidRPr="002B76CB">
        <w:rPr>
          <w:rFonts w:eastAsiaTheme="minorEastAsia"/>
          <w:sz w:val="24"/>
          <w:szCs w:val="24"/>
        </w:rPr>
        <w:t xml:space="preserve"> = </w:t>
      </w:r>
      <m:oMath>
        <m:r>
          <w:rPr>
            <w:rFonts w:ascii="Cambria Math" w:hAnsi="Cambria Math"/>
            <w:sz w:val="24"/>
            <w:szCs w:val="24"/>
          </w:rPr>
          <m:t>MN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(t)</m:t>
        </m:r>
      </m:oMath>
      <w:r>
        <w:rPr>
          <w:rFonts w:eastAsiaTheme="minorEastAsia"/>
          <w:sz w:val="24"/>
          <w:szCs w:val="24"/>
        </w:rPr>
        <w:t xml:space="preserve"> </w:t>
      </w:r>
      <w:r w:rsidRPr="00C5569A">
        <w:rPr>
          <w:rFonts w:eastAsiaTheme="minorEastAsia"/>
          <w:szCs w:val="20"/>
        </w:rPr>
        <w:t>mais calculée à partir du GAP</w:t>
      </w:r>
      <w:r w:rsidRPr="00C5569A">
        <w:rPr>
          <w:rFonts w:eastAsiaTheme="minorEastAsia"/>
          <w:szCs w:val="20"/>
          <w:vertAlign w:val="subscript"/>
        </w:rPr>
        <w:t>REG</w:t>
      </w:r>
      <w:r w:rsidRPr="00C5569A">
        <w:rPr>
          <w:rFonts w:eastAsiaTheme="minorEastAsia"/>
          <w:sz w:val="24"/>
          <w:szCs w:val="24"/>
          <w:vertAlign w:val="subscript"/>
        </w:rPr>
        <w:t xml:space="preserve"> </w:t>
      </w:r>
    </w:p>
    <w:p w14:paraId="15D371B7" w14:textId="77777777" w:rsidR="00080E89" w:rsidRPr="002B76CB" w:rsidRDefault="00080E89" w:rsidP="00080E89">
      <w:pPr>
        <w:pStyle w:val="Paragraphedeliste"/>
        <w:numPr>
          <w:ilvl w:val="1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(t)</m:t>
        </m:r>
      </m:oMath>
      <w:r>
        <w:rPr>
          <w:rFonts w:eastAsiaTheme="minorEastAsia"/>
          <w:sz w:val="24"/>
          <w:szCs w:val="24"/>
        </w:rPr>
        <w:t xml:space="preserve"> </w:t>
      </w:r>
      <w:r w:rsidRPr="002B76CB">
        <w:rPr>
          <w:rFonts w:eastAsiaTheme="minorEastAsia"/>
          <w:szCs w:val="20"/>
        </w:rPr>
        <w:t xml:space="preserve">le flux </w:t>
      </w:r>
      <w:r>
        <w:rPr>
          <w:rFonts w:eastAsiaTheme="minorEastAsia"/>
          <w:szCs w:val="20"/>
        </w:rPr>
        <w:t>de capital</w:t>
      </w:r>
      <w:r w:rsidRPr="002B76CB">
        <w:rPr>
          <w:rFonts w:eastAsiaTheme="minorEastAsia"/>
          <w:szCs w:val="20"/>
        </w:rPr>
        <w:t xml:space="preserve"> généré par le bilan projeté en k au mois</w:t>
      </w:r>
      <w:r>
        <w:rPr>
          <w:rFonts w:eastAsiaTheme="minorEastAsia"/>
          <w:szCs w:val="20"/>
        </w:rPr>
        <w:t xml:space="preserve"> t :</w:t>
      </w:r>
    </w:p>
    <w:p w14:paraId="6BBE46F4" w14:textId="77777777" w:rsidR="00080E89" w:rsidRPr="00B845F8" w:rsidRDefault="00080E89" w:rsidP="00080E89">
      <w:pPr>
        <w:pStyle w:val="Paragraphedeliste"/>
        <w:numPr>
          <w:ilvl w:val="2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(t)</m:t>
        </m:r>
      </m:oMath>
      <w:r w:rsidRPr="002B76CB">
        <w:rPr>
          <w:rFonts w:eastAsiaTheme="minorEastAsia"/>
          <w:sz w:val="24"/>
          <w:szCs w:val="24"/>
        </w:rPr>
        <w:t xml:space="preserve"> =</w:t>
      </w:r>
      <w:r>
        <w:rPr>
          <w:rFonts w:eastAsiaTheme="minorEastAsia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REG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t-1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REG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</w:p>
    <w:p w14:paraId="7DB4F7CC" w14:textId="77777777" w:rsidR="00080E89" w:rsidRPr="00B845F8" w:rsidRDefault="00080E89" w:rsidP="00080E89">
      <w:pPr>
        <w:pStyle w:val="Paragraphedeliste"/>
        <w:numPr>
          <w:ilvl w:val="2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(240)</m:t>
        </m:r>
      </m:oMath>
      <w:r w:rsidRPr="002B76CB">
        <w:rPr>
          <w:rFonts w:eastAsiaTheme="minorEastAsia"/>
          <w:sz w:val="24"/>
          <w:szCs w:val="24"/>
        </w:rPr>
        <w:t xml:space="preserve"> =</w:t>
      </w:r>
      <w:r>
        <w:rPr>
          <w:rFonts w:eastAsiaTheme="minorEastAsia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TREG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240</m:t>
            </m:r>
          </m:e>
        </m:d>
      </m:oMath>
    </w:p>
    <w:p w14:paraId="22934260" w14:textId="77777777" w:rsidR="00080E89" w:rsidRPr="00192B05" w:rsidRDefault="00080E89" w:rsidP="00080E89">
      <w:pPr>
        <w:pStyle w:val="Paragraphedeliste"/>
        <w:ind w:left="1490"/>
        <w:rPr>
          <w:sz w:val="24"/>
          <w:szCs w:val="24"/>
        </w:rPr>
      </w:pPr>
    </w:p>
    <w:p w14:paraId="06661AB2" w14:textId="77777777" w:rsidR="00080E89" w:rsidRPr="009C16F9" w:rsidRDefault="00080E89" w:rsidP="00080E89">
      <w:pPr>
        <w:jc w:val="both"/>
        <w:rPr>
          <w:b/>
          <w:bCs/>
        </w:rPr>
      </w:pPr>
    </w:p>
    <w:p w14:paraId="5D358316" w14:textId="77777777" w:rsidR="00F14309" w:rsidRDefault="00F14309"/>
    <w:sectPr w:rsidR="00F14309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C9636" w14:textId="77777777" w:rsidR="00130703" w:rsidRDefault="00130703">
      <w:pPr>
        <w:spacing w:after="0" w:line="240" w:lineRule="auto"/>
      </w:pPr>
      <w:r>
        <w:separator/>
      </w:r>
    </w:p>
  </w:endnote>
  <w:endnote w:type="continuationSeparator" w:id="0">
    <w:p w14:paraId="1A7AF099" w14:textId="77777777" w:rsidR="00130703" w:rsidRDefault="00130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EA392" w14:textId="77777777" w:rsidR="00130703" w:rsidRDefault="00130703">
      <w:pPr>
        <w:spacing w:after="0" w:line="240" w:lineRule="auto"/>
      </w:pPr>
      <w:r>
        <w:separator/>
      </w:r>
    </w:p>
  </w:footnote>
  <w:footnote w:type="continuationSeparator" w:id="0">
    <w:p w14:paraId="7EC1865F" w14:textId="77777777" w:rsidR="00130703" w:rsidRDefault="00130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2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26"/>
      <w:gridCol w:w="4551"/>
      <w:gridCol w:w="2925"/>
    </w:tblGrid>
    <w:tr w:rsidR="0051493D" w14:paraId="453C5BF6" w14:textId="77777777" w:rsidTr="007E3240">
      <w:trPr>
        <w:cantSplit/>
        <w:trHeight w:val="699"/>
        <w:jc w:val="center"/>
      </w:trPr>
      <w:tc>
        <w:tcPr>
          <w:tcW w:w="29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27416A" w14:textId="77777777" w:rsidR="0051493D" w:rsidRPr="00667A02" w:rsidRDefault="00080E89" w:rsidP="0051493D">
          <w:pPr>
            <w:jc w:val="center"/>
            <w:rPr>
              <w:rFonts w:cstheme="minorHAnsi"/>
              <w:szCs w:val="20"/>
            </w:rPr>
          </w:pPr>
          <w:r w:rsidRPr="00667A02">
            <w:rPr>
              <w:rFonts w:cstheme="minorHAnsi"/>
              <w:noProof/>
              <w:szCs w:val="20"/>
              <w:lang w:eastAsia="fr-FR"/>
            </w:rPr>
            <w:drawing>
              <wp:inline distT="0" distB="0" distL="0" distR="0" wp14:anchorId="46259FE5" wp14:editId="2C73FD9E">
                <wp:extent cx="1530350" cy="463550"/>
                <wp:effectExtent l="0" t="0" r="0" b="0"/>
                <wp:docPr id="1" name="Image 1" descr="RVB_BPCE_10c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VB_BPCE_10c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6729" t="13882" r="3032" b="155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03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5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pct10" w:color="auto" w:fill="auto"/>
          <w:vAlign w:val="center"/>
        </w:tcPr>
        <w:p w14:paraId="49055659" w14:textId="77777777" w:rsidR="0051493D" w:rsidRDefault="00080E89" w:rsidP="0051493D">
          <w:pPr>
            <w:jc w:val="center"/>
            <w:rPr>
              <w:rFonts w:cstheme="minorHAnsi"/>
              <w:b/>
              <w:szCs w:val="20"/>
            </w:rPr>
          </w:pPr>
          <w:r>
            <w:rPr>
              <w:rFonts w:cstheme="minorHAnsi"/>
              <w:b/>
              <w:szCs w:val="20"/>
            </w:rPr>
            <w:t>DOCUMENTATION PASS-ALM</w:t>
          </w:r>
        </w:p>
        <w:p w14:paraId="6CCE822D" w14:textId="77777777" w:rsidR="0051493D" w:rsidRPr="000A25FB" w:rsidRDefault="00080E89" w:rsidP="0051493D">
          <w:pPr>
            <w:jc w:val="center"/>
            <w:rPr>
              <w:rFonts w:cstheme="minorHAnsi"/>
              <w:b/>
              <w:szCs w:val="20"/>
            </w:rPr>
          </w:pPr>
          <w:r>
            <w:rPr>
              <w:rFonts w:cstheme="minorHAnsi"/>
              <w:b/>
              <w:szCs w:val="20"/>
            </w:rPr>
            <w:t>BRIQUE MOTEUR</w:t>
          </w:r>
        </w:p>
      </w:tc>
      <w:tc>
        <w:tcPr>
          <w:tcW w:w="2925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4964DD20" w14:textId="77777777" w:rsidR="0051493D" w:rsidRPr="000A25FB" w:rsidRDefault="00130703" w:rsidP="0051493D">
          <w:pPr>
            <w:rPr>
              <w:rFonts w:cstheme="minorHAnsi"/>
              <w:szCs w:val="20"/>
            </w:rPr>
          </w:pPr>
        </w:p>
        <w:p w14:paraId="3D83FA4E" w14:textId="77777777" w:rsidR="0051493D" w:rsidRPr="00FF66ED" w:rsidRDefault="00080E89" w:rsidP="0051493D">
          <w:pPr>
            <w:jc w:val="center"/>
            <w:rPr>
              <w:rFonts w:cstheme="minorHAnsi"/>
              <w:b/>
              <w:szCs w:val="20"/>
            </w:rPr>
          </w:pPr>
          <w:r w:rsidRPr="00FF66ED">
            <w:rPr>
              <w:rFonts w:cstheme="minorHAnsi"/>
              <w:b/>
              <w:szCs w:val="20"/>
            </w:rPr>
            <w:t>Service :</w:t>
          </w:r>
        </w:p>
        <w:p w14:paraId="0B264879" w14:textId="77777777" w:rsidR="0051493D" w:rsidRDefault="00080E89" w:rsidP="0051493D">
          <w:pPr>
            <w:jc w:val="center"/>
            <w:rPr>
              <w:rFonts w:cstheme="minorHAnsi"/>
              <w:sz w:val="16"/>
              <w:szCs w:val="16"/>
            </w:rPr>
          </w:pPr>
          <w:r>
            <w:rPr>
              <w:rFonts w:cstheme="minorHAnsi"/>
              <w:sz w:val="16"/>
              <w:szCs w:val="16"/>
            </w:rPr>
            <w:t>FINANCE ALM</w:t>
          </w:r>
        </w:p>
        <w:p w14:paraId="56B6FE08" w14:textId="77777777" w:rsidR="0051493D" w:rsidRPr="00FF66ED" w:rsidRDefault="00130703" w:rsidP="0051493D">
          <w:pPr>
            <w:jc w:val="center"/>
            <w:rPr>
              <w:rFonts w:cstheme="minorHAnsi"/>
              <w:szCs w:val="18"/>
            </w:rPr>
          </w:pPr>
        </w:p>
      </w:tc>
    </w:tr>
  </w:tbl>
  <w:p w14:paraId="37A0CB27" w14:textId="77777777" w:rsidR="0051493D" w:rsidRPr="007F0D66" w:rsidRDefault="00080E89" w:rsidP="0051493D">
    <w:pPr>
      <w:pStyle w:val="En-tte"/>
      <w:rPr>
        <w:sz w:val="16"/>
        <w:szCs w:val="16"/>
      </w:rPr>
    </w:pPr>
    <w:r>
      <w:rPr>
        <w:sz w:val="16"/>
        <w:szCs w:val="16"/>
      </w:rPr>
      <w:t>PASS-ALM v5.2 – NOVEMBRE 2023</w:t>
    </w:r>
    <w:r w:rsidRPr="00C2579B">
      <w:rPr>
        <w:sz w:val="16"/>
        <w:szCs w:val="16"/>
      </w:rPr>
      <w:tab/>
    </w:r>
    <w:r w:rsidRPr="00C2579B">
      <w:rPr>
        <w:sz w:val="16"/>
        <w:szCs w:val="16"/>
      </w:rPr>
      <w:tab/>
    </w:r>
  </w:p>
  <w:p w14:paraId="2E9E6864" w14:textId="77777777" w:rsidR="0051493D" w:rsidRDefault="00130703" w:rsidP="0051493D">
    <w:pPr>
      <w:pStyle w:val="En-tte"/>
    </w:pPr>
  </w:p>
  <w:p w14:paraId="0E179A46" w14:textId="77777777" w:rsidR="00C43398" w:rsidRDefault="00130703">
    <w:pPr>
      <w:pStyle w:val="En-tte"/>
    </w:pPr>
  </w:p>
  <w:p w14:paraId="3A863005" w14:textId="77777777" w:rsidR="00C43398" w:rsidRDefault="0013070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829A6"/>
    <w:multiLevelType w:val="hybridMultilevel"/>
    <w:tmpl w:val="D2A47072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58E6CA1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2278" w:hanging="576"/>
      </w:pPr>
    </w:lvl>
    <w:lvl w:ilvl="2">
      <w:start w:val="1"/>
      <w:numFmt w:val="decimal"/>
      <w:pStyle w:val="Titre3"/>
      <w:lvlText w:val="%1.%2.%3"/>
      <w:lvlJc w:val="left"/>
      <w:pPr>
        <w:ind w:left="2989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27B4CC2"/>
    <w:multiLevelType w:val="hybridMultilevel"/>
    <w:tmpl w:val="03B6D0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65E9F"/>
    <w:multiLevelType w:val="hybridMultilevel"/>
    <w:tmpl w:val="108C12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09"/>
    <w:rsid w:val="00080E89"/>
    <w:rsid w:val="00130703"/>
    <w:rsid w:val="00A21759"/>
    <w:rsid w:val="00F1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03A9F"/>
  <w15:chartTrackingRefBased/>
  <w15:docId w15:val="{4917B365-645B-426D-92BA-F52F05E1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E89"/>
    <w:rPr>
      <w:rFonts w:ascii="Cambria" w:hAnsi="Cambria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080E89"/>
    <w:pPr>
      <w:keepNext/>
      <w:keepLines/>
      <w:numPr>
        <w:numId w:val="4"/>
      </w:numPr>
      <w:spacing w:before="240" w:after="40"/>
      <w:outlineLvl w:val="0"/>
    </w:pPr>
    <w:rPr>
      <w:rFonts w:eastAsiaTheme="majorEastAsia" w:cstheme="majorBidi"/>
      <w:b/>
      <w:color w:val="5D2884"/>
      <w:sz w:val="28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080E89"/>
    <w:pPr>
      <w:numPr>
        <w:ilvl w:val="1"/>
      </w:numPr>
      <w:spacing w:after="120"/>
      <w:ind w:left="576"/>
      <w:outlineLvl w:val="1"/>
    </w:pPr>
    <w:rPr>
      <w:b w:val="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E89"/>
    <w:pPr>
      <w:keepNext/>
      <w:keepLines/>
      <w:numPr>
        <w:ilvl w:val="2"/>
        <w:numId w:val="4"/>
      </w:numPr>
      <w:spacing w:before="240" w:after="40"/>
      <w:ind w:left="510" w:hanging="510"/>
      <w:outlineLvl w:val="2"/>
    </w:pPr>
    <w:rPr>
      <w:rFonts w:eastAsiaTheme="majorEastAsia" w:cstheme="majorBidi"/>
      <w:b/>
      <w:color w:val="7030A0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80E89"/>
    <w:pPr>
      <w:keepNext/>
      <w:keepLines/>
      <w:numPr>
        <w:ilvl w:val="3"/>
        <w:numId w:val="4"/>
      </w:numPr>
      <w:spacing w:before="240" w:after="80"/>
      <w:ind w:left="1713" w:hanging="862"/>
      <w:outlineLvl w:val="3"/>
    </w:pPr>
    <w:rPr>
      <w:rFonts w:eastAsiaTheme="majorEastAsia" w:cstheme="majorBidi"/>
      <w:i/>
      <w:iCs/>
      <w:color w:val="7030A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80E8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80E8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80E8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80E8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80E8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0E89"/>
    <w:rPr>
      <w:rFonts w:ascii="Cambria" w:eastAsiaTheme="majorEastAsia" w:hAnsi="Cambria" w:cstheme="majorBidi"/>
      <w:b/>
      <w:color w:val="5D2884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80E89"/>
    <w:rPr>
      <w:rFonts w:ascii="Cambria" w:eastAsiaTheme="majorEastAsia" w:hAnsi="Cambria" w:cstheme="majorBidi"/>
      <w:color w:val="5D2884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E89"/>
    <w:rPr>
      <w:rFonts w:ascii="Cambria" w:eastAsiaTheme="majorEastAsia" w:hAnsi="Cambria" w:cstheme="majorBidi"/>
      <w:b/>
      <w:color w:val="7030A0"/>
      <w:sz w:val="20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080E89"/>
    <w:rPr>
      <w:rFonts w:ascii="Cambria" w:eastAsiaTheme="majorEastAsia" w:hAnsi="Cambria" w:cstheme="majorBidi"/>
      <w:i/>
      <w:iCs/>
      <w:color w:val="7030A0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080E89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080E89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080E89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080E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80E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080E89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080E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080E89"/>
    <w:rPr>
      <w:rFonts w:ascii="Cambria" w:hAnsi="Cambri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1092</Words>
  <Characters>6009</Characters>
  <Application>Microsoft Office Word</Application>
  <DocSecurity>0</DocSecurity>
  <Lines>50</Lines>
  <Paragraphs>14</Paragraphs>
  <ScaleCrop>false</ScaleCrop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Hossayne</dc:creator>
  <cp:keywords/>
  <dc:description/>
  <cp:lastModifiedBy>Hossayne</cp:lastModifiedBy>
  <cp:revision>3</cp:revision>
  <dcterms:created xsi:type="dcterms:W3CDTF">2025-02-28T09:31:00Z</dcterms:created>
  <dcterms:modified xsi:type="dcterms:W3CDTF">2025-02-28T14:35:00Z</dcterms:modified>
</cp:coreProperties>
</file>