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77777777" w:rsidR="007E612E" w:rsidRPr="00FE3F6E" w:rsidRDefault="007E612E" w:rsidP="00FE3F6E">
      <w:pPr>
        <w:jc w:val="both"/>
        <w:rPr>
          <w:rFonts w:cstheme="majorBidi"/>
        </w:rPr>
      </w:pPr>
    </w:p>
    <w:p w14:paraId="677974E6" w14:textId="06DB6D4D" w:rsidR="007E612E" w:rsidRPr="00FE3F6E" w:rsidRDefault="007E612E" w:rsidP="00075F61">
      <w:pPr>
        <w:jc w:val="center"/>
        <w:rPr>
          <w:rFonts w:cstheme="majorBidi"/>
          <w:b/>
          <w:bCs/>
          <w:sz w:val="30"/>
          <w:szCs w:val="30"/>
        </w:rPr>
      </w:pPr>
      <w:r w:rsidRPr="00FE3F6E">
        <w:rPr>
          <w:rFonts w:cstheme="majorBidi"/>
          <w:b/>
          <w:bCs/>
          <w:sz w:val="30"/>
          <w:szCs w:val="30"/>
        </w:rPr>
        <w:t>DOCUMENTATION PASS-ALM</w:t>
      </w:r>
    </w:p>
    <w:p w14:paraId="39868C66" w14:textId="77777777" w:rsidR="007E612E" w:rsidRPr="00075F61" w:rsidRDefault="007E612E" w:rsidP="00075F61">
      <w:pPr>
        <w:jc w:val="center"/>
        <w:rPr>
          <w:rFonts w:cstheme="majorBidi"/>
          <w:b/>
          <w:bCs/>
          <w:color w:val="7030A0"/>
          <w:sz w:val="28"/>
          <w:szCs w:val="28"/>
        </w:rPr>
      </w:pPr>
      <w:r w:rsidRPr="00075F61">
        <w:rPr>
          <w:rFonts w:cstheme="majorBidi"/>
          <w:b/>
          <w:bCs/>
          <w:color w:val="7030A0"/>
          <w:sz w:val="28"/>
          <w:szCs w:val="28"/>
        </w:rPr>
        <w:t>BRIQUE SCENARIO</w:t>
      </w:r>
    </w:p>
    <w:p w14:paraId="368AC07D" w14:textId="77777777" w:rsidR="006B6285" w:rsidRPr="00FE3F6E" w:rsidRDefault="006B6285" w:rsidP="00FE3F6E">
      <w:pPr>
        <w:jc w:val="both"/>
        <w:rPr>
          <w:rFonts w:cstheme="majorBidi"/>
          <w:b/>
          <w:bCs/>
          <w:color w:val="7030A0"/>
          <w:sz w:val="34"/>
          <w:szCs w:val="34"/>
        </w:rPr>
      </w:pPr>
    </w:p>
    <w:p w14:paraId="24B25437" w14:textId="77777777" w:rsidR="006B6285" w:rsidRPr="00075F61" w:rsidRDefault="006B6285" w:rsidP="00FE3F6E">
      <w:pPr>
        <w:jc w:val="both"/>
        <w:rPr>
          <w:rFonts w:cstheme="majorBidi"/>
          <w:b/>
          <w:bCs/>
          <w:color w:val="7030A0"/>
          <w:sz w:val="34"/>
          <w:szCs w:val="34"/>
        </w:rPr>
      </w:pPr>
    </w:p>
    <w:p w14:paraId="79C4EDA8" w14:textId="29C7D376" w:rsidR="007E612E" w:rsidRPr="00075F61" w:rsidRDefault="006B6285" w:rsidP="00FE3F6E">
      <w:pPr>
        <w:jc w:val="both"/>
        <w:rPr>
          <w:rFonts w:cstheme="majorBidi"/>
          <w:b/>
          <w:bCs/>
          <w:color w:val="7030A0"/>
          <w:sz w:val="34"/>
          <w:szCs w:val="34"/>
        </w:rPr>
      </w:pPr>
      <w:r w:rsidRPr="00075F61">
        <w:rPr>
          <w:rFonts w:cstheme="majorBidi"/>
          <w:b/>
          <w:bCs/>
          <w:color w:val="7030A0"/>
          <w:sz w:val="34"/>
          <w:szCs w:val="34"/>
        </w:rPr>
        <w:t xml:space="preserve">DOCUMENTATION DU MODÈLE </w:t>
      </w:r>
      <w:r w:rsidR="00C204B1">
        <w:rPr>
          <w:rFonts w:cstheme="majorBidi"/>
          <w:b/>
          <w:bCs/>
          <w:color w:val="7030A0"/>
          <w:sz w:val="34"/>
          <w:szCs w:val="34"/>
        </w:rPr>
        <w:t>D</w:t>
      </w:r>
      <w:r w:rsidR="00F02B47">
        <w:rPr>
          <w:rFonts w:cstheme="majorBidi"/>
          <w:b/>
          <w:bCs/>
          <w:color w:val="7030A0"/>
          <w:sz w:val="34"/>
          <w:szCs w:val="34"/>
        </w:rPr>
        <w:t>’</w:t>
      </w:r>
      <w:r w:rsidR="000D77BB">
        <w:rPr>
          <w:rFonts w:cstheme="majorBidi"/>
          <w:b/>
          <w:bCs/>
          <w:color w:val="7030A0"/>
          <w:sz w:val="34"/>
          <w:szCs w:val="34"/>
        </w:rPr>
        <w:t>ECOULEMENT DES PRODUITS NON ÉCHÉANCÉS DITS NMDs</w:t>
      </w:r>
    </w:p>
    <w:p w14:paraId="70578462" w14:textId="77777777" w:rsidR="00B64C60" w:rsidRPr="00FE3F6E" w:rsidRDefault="00B64C60" w:rsidP="00FE3F6E">
      <w:pPr>
        <w:jc w:val="both"/>
        <w:rPr>
          <w:rFonts w:cstheme="majorBidi"/>
        </w:rPr>
      </w:pPr>
    </w:p>
    <w:p w14:paraId="38600074" w14:textId="70946CDA" w:rsidR="00B64C60" w:rsidRPr="00FE3F6E" w:rsidRDefault="00B64C60" w:rsidP="00FE3F6E">
      <w:pPr>
        <w:jc w:val="both"/>
        <w:rPr>
          <w:rFonts w:cstheme="majorBidi"/>
          <w:b/>
          <w:bCs/>
          <w:color w:val="7030A0"/>
          <w:sz w:val="28"/>
          <w:szCs w:val="28"/>
        </w:rPr>
      </w:pPr>
      <w:r w:rsidRPr="00FE3F6E">
        <w:rPr>
          <w:rFonts w:cstheme="majorBidi"/>
          <w:b/>
          <w:bCs/>
          <w:color w:val="7030A0"/>
          <w:sz w:val="28"/>
          <w:szCs w:val="28"/>
        </w:rPr>
        <w:t>Sommaire</w:t>
      </w:r>
    </w:p>
    <w:p w14:paraId="14401596" w14:textId="401EBAF7" w:rsidR="007A4574"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69283237" w:history="1">
        <w:r w:rsidR="007A4574" w:rsidRPr="007B4B78">
          <w:rPr>
            <w:rStyle w:val="Lienhypertexte"/>
            <w:noProof/>
          </w:rPr>
          <w:t>1.</w:t>
        </w:r>
        <w:r w:rsidR="007A4574">
          <w:rPr>
            <w:rFonts w:asciiTheme="minorHAnsi" w:eastAsiaTheme="minorEastAsia" w:hAnsiTheme="minorHAnsi"/>
            <w:noProof/>
            <w:lang w:eastAsia="fr-FR"/>
          </w:rPr>
          <w:tab/>
        </w:r>
        <w:r w:rsidR="007A4574" w:rsidRPr="007B4B78">
          <w:rPr>
            <w:rStyle w:val="Lienhypertexte"/>
            <w:noProof/>
          </w:rPr>
          <w:t>Synthèse du document</w:t>
        </w:r>
        <w:r w:rsidR="007A4574">
          <w:rPr>
            <w:noProof/>
            <w:webHidden/>
          </w:rPr>
          <w:tab/>
        </w:r>
        <w:r w:rsidR="007A4574">
          <w:rPr>
            <w:noProof/>
            <w:webHidden/>
          </w:rPr>
          <w:fldChar w:fldCharType="begin"/>
        </w:r>
        <w:r w:rsidR="007A4574">
          <w:rPr>
            <w:noProof/>
            <w:webHidden/>
          </w:rPr>
          <w:instrText xml:space="preserve"> PAGEREF _Toc169283237 \h </w:instrText>
        </w:r>
        <w:r w:rsidR="007A4574">
          <w:rPr>
            <w:noProof/>
            <w:webHidden/>
          </w:rPr>
        </w:r>
        <w:r w:rsidR="007A4574">
          <w:rPr>
            <w:noProof/>
            <w:webHidden/>
          </w:rPr>
          <w:fldChar w:fldCharType="separate"/>
        </w:r>
        <w:r w:rsidR="007A4574">
          <w:rPr>
            <w:noProof/>
            <w:webHidden/>
          </w:rPr>
          <w:t>2</w:t>
        </w:r>
        <w:r w:rsidR="007A4574">
          <w:rPr>
            <w:noProof/>
            <w:webHidden/>
          </w:rPr>
          <w:fldChar w:fldCharType="end"/>
        </w:r>
      </w:hyperlink>
    </w:p>
    <w:p w14:paraId="7988CB25" w14:textId="0C50FF26" w:rsidR="007A4574" w:rsidRDefault="002F5A5D">
      <w:pPr>
        <w:pStyle w:val="TM1"/>
        <w:tabs>
          <w:tab w:val="right" w:leader="dot" w:pos="9062"/>
        </w:tabs>
        <w:rPr>
          <w:rFonts w:asciiTheme="minorHAnsi" w:eastAsiaTheme="minorEastAsia" w:hAnsiTheme="minorHAnsi"/>
          <w:noProof/>
          <w:lang w:eastAsia="fr-FR"/>
        </w:rPr>
      </w:pPr>
      <w:hyperlink w:anchor="_Toc169283238" w:history="1">
        <w:r w:rsidR="007A4574" w:rsidRPr="007B4B78">
          <w:rPr>
            <w:rStyle w:val="Lienhypertexte"/>
            <w:noProof/>
          </w:rPr>
          <w:t>2. Données &amp; Sources</w:t>
        </w:r>
        <w:r w:rsidR="007A4574">
          <w:rPr>
            <w:noProof/>
            <w:webHidden/>
          </w:rPr>
          <w:tab/>
        </w:r>
        <w:r w:rsidR="007A4574">
          <w:rPr>
            <w:noProof/>
            <w:webHidden/>
          </w:rPr>
          <w:fldChar w:fldCharType="begin"/>
        </w:r>
        <w:r w:rsidR="007A4574">
          <w:rPr>
            <w:noProof/>
            <w:webHidden/>
          </w:rPr>
          <w:instrText xml:space="preserve"> PAGEREF _Toc169283238 \h </w:instrText>
        </w:r>
        <w:r w:rsidR="007A4574">
          <w:rPr>
            <w:noProof/>
            <w:webHidden/>
          </w:rPr>
        </w:r>
        <w:r w:rsidR="007A4574">
          <w:rPr>
            <w:noProof/>
            <w:webHidden/>
          </w:rPr>
          <w:fldChar w:fldCharType="separate"/>
        </w:r>
        <w:r w:rsidR="007A4574">
          <w:rPr>
            <w:noProof/>
            <w:webHidden/>
          </w:rPr>
          <w:t>3</w:t>
        </w:r>
        <w:r w:rsidR="007A4574">
          <w:rPr>
            <w:noProof/>
            <w:webHidden/>
          </w:rPr>
          <w:fldChar w:fldCharType="end"/>
        </w:r>
      </w:hyperlink>
    </w:p>
    <w:p w14:paraId="0FE6385D" w14:textId="16A222BA" w:rsidR="007A4574" w:rsidRDefault="002F5A5D">
      <w:pPr>
        <w:pStyle w:val="TM2"/>
        <w:tabs>
          <w:tab w:val="right" w:leader="dot" w:pos="9062"/>
        </w:tabs>
        <w:rPr>
          <w:rFonts w:asciiTheme="minorHAnsi" w:eastAsiaTheme="minorEastAsia" w:hAnsiTheme="minorHAnsi"/>
          <w:noProof/>
          <w:lang w:eastAsia="fr-FR"/>
        </w:rPr>
      </w:pPr>
      <w:hyperlink w:anchor="_Toc169283239" w:history="1">
        <w:r w:rsidR="007A4574" w:rsidRPr="007B4B78">
          <w:rPr>
            <w:rStyle w:val="Lienhypertexte"/>
            <w:rFonts w:cstheme="majorBidi"/>
            <w:noProof/>
          </w:rPr>
          <w:t>2.1 Sources RCO</w:t>
        </w:r>
        <w:r w:rsidR="007A4574">
          <w:rPr>
            <w:noProof/>
            <w:webHidden/>
          </w:rPr>
          <w:tab/>
        </w:r>
        <w:r w:rsidR="007A4574">
          <w:rPr>
            <w:noProof/>
            <w:webHidden/>
          </w:rPr>
          <w:fldChar w:fldCharType="begin"/>
        </w:r>
        <w:r w:rsidR="007A4574">
          <w:rPr>
            <w:noProof/>
            <w:webHidden/>
          </w:rPr>
          <w:instrText xml:space="preserve"> PAGEREF _Toc169283239 \h </w:instrText>
        </w:r>
        <w:r w:rsidR="007A4574">
          <w:rPr>
            <w:noProof/>
            <w:webHidden/>
          </w:rPr>
        </w:r>
        <w:r w:rsidR="007A4574">
          <w:rPr>
            <w:noProof/>
            <w:webHidden/>
          </w:rPr>
          <w:fldChar w:fldCharType="separate"/>
        </w:r>
        <w:r w:rsidR="007A4574">
          <w:rPr>
            <w:noProof/>
            <w:webHidden/>
          </w:rPr>
          <w:t>3</w:t>
        </w:r>
        <w:r w:rsidR="007A4574">
          <w:rPr>
            <w:noProof/>
            <w:webHidden/>
          </w:rPr>
          <w:fldChar w:fldCharType="end"/>
        </w:r>
      </w:hyperlink>
    </w:p>
    <w:p w14:paraId="0E0D0D3F" w14:textId="7193EE4B" w:rsidR="007A4574" w:rsidRDefault="002F5A5D">
      <w:pPr>
        <w:pStyle w:val="TM2"/>
        <w:tabs>
          <w:tab w:val="right" w:leader="dot" w:pos="9062"/>
        </w:tabs>
        <w:rPr>
          <w:rFonts w:asciiTheme="minorHAnsi" w:eastAsiaTheme="minorEastAsia" w:hAnsiTheme="minorHAnsi"/>
          <w:noProof/>
          <w:lang w:eastAsia="fr-FR"/>
        </w:rPr>
      </w:pPr>
      <w:hyperlink w:anchor="_Toc169283240" w:history="1">
        <w:r w:rsidR="007A4574" w:rsidRPr="007B4B78">
          <w:rPr>
            <w:rStyle w:val="Lienhypertexte"/>
            <w:rFonts w:cstheme="majorBidi"/>
            <w:noProof/>
          </w:rPr>
          <w:t>2.2 Fichier de paramétrage Modèle</w:t>
        </w:r>
        <w:r w:rsidR="007A4574">
          <w:rPr>
            <w:noProof/>
            <w:webHidden/>
          </w:rPr>
          <w:tab/>
        </w:r>
        <w:r w:rsidR="007A4574">
          <w:rPr>
            <w:noProof/>
            <w:webHidden/>
          </w:rPr>
          <w:fldChar w:fldCharType="begin"/>
        </w:r>
        <w:r w:rsidR="007A4574">
          <w:rPr>
            <w:noProof/>
            <w:webHidden/>
          </w:rPr>
          <w:instrText xml:space="preserve"> PAGEREF _Toc169283240 \h </w:instrText>
        </w:r>
        <w:r w:rsidR="007A4574">
          <w:rPr>
            <w:noProof/>
            <w:webHidden/>
          </w:rPr>
        </w:r>
        <w:r w:rsidR="007A4574">
          <w:rPr>
            <w:noProof/>
            <w:webHidden/>
          </w:rPr>
          <w:fldChar w:fldCharType="separate"/>
        </w:r>
        <w:r w:rsidR="007A4574">
          <w:rPr>
            <w:noProof/>
            <w:webHidden/>
          </w:rPr>
          <w:t>4</w:t>
        </w:r>
        <w:r w:rsidR="007A4574">
          <w:rPr>
            <w:noProof/>
            <w:webHidden/>
          </w:rPr>
          <w:fldChar w:fldCharType="end"/>
        </w:r>
      </w:hyperlink>
    </w:p>
    <w:p w14:paraId="25C1EBFA" w14:textId="3EDDD97C" w:rsidR="007A4574" w:rsidRDefault="002F5A5D">
      <w:pPr>
        <w:pStyle w:val="TM2"/>
        <w:tabs>
          <w:tab w:val="right" w:leader="dot" w:pos="9062"/>
        </w:tabs>
        <w:rPr>
          <w:rFonts w:asciiTheme="minorHAnsi" w:eastAsiaTheme="minorEastAsia" w:hAnsiTheme="minorHAnsi"/>
          <w:noProof/>
          <w:lang w:eastAsia="fr-FR"/>
        </w:rPr>
      </w:pPr>
      <w:hyperlink w:anchor="_Toc169283241" w:history="1">
        <w:r w:rsidR="007A4574" w:rsidRPr="007B4B78">
          <w:rPr>
            <w:rStyle w:val="Lienhypertexte"/>
            <w:rFonts w:cstheme="majorBidi"/>
            <w:noProof/>
          </w:rPr>
          <w:t>2.3 Scénarios de taux</w:t>
        </w:r>
        <w:r w:rsidR="007A4574">
          <w:rPr>
            <w:noProof/>
            <w:webHidden/>
          </w:rPr>
          <w:tab/>
        </w:r>
        <w:r w:rsidR="007A4574">
          <w:rPr>
            <w:noProof/>
            <w:webHidden/>
          </w:rPr>
          <w:fldChar w:fldCharType="begin"/>
        </w:r>
        <w:r w:rsidR="007A4574">
          <w:rPr>
            <w:noProof/>
            <w:webHidden/>
          </w:rPr>
          <w:instrText xml:space="preserve"> PAGEREF _Toc169283241 \h </w:instrText>
        </w:r>
        <w:r w:rsidR="007A4574">
          <w:rPr>
            <w:noProof/>
            <w:webHidden/>
          </w:rPr>
        </w:r>
        <w:r w:rsidR="007A4574">
          <w:rPr>
            <w:noProof/>
            <w:webHidden/>
          </w:rPr>
          <w:fldChar w:fldCharType="separate"/>
        </w:r>
        <w:r w:rsidR="007A4574">
          <w:rPr>
            <w:noProof/>
            <w:webHidden/>
          </w:rPr>
          <w:t>6</w:t>
        </w:r>
        <w:r w:rsidR="007A4574">
          <w:rPr>
            <w:noProof/>
            <w:webHidden/>
          </w:rPr>
          <w:fldChar w:fldCharType="end"/>
        </w:r>
      </w:hyperlink>
    </w:p>
    <w:p w14:paraId="1B86913E" w14:textId="31FD2CEF" w:rsidR="007A4574" w:rsidRDefault="002F5A5D">
      <w:pPr>
        <w:pStyle w:val="TM2"/>
        <w:tabs>
          <w:tab w:val="right" w:leader="dot" w:pos="9062"/>
        </w:tabs>
        <w:rPr>
          <w:rFonts w:asciiTheme="minorHAnsi" w:eastAsiaTheme="minorEastAsia" w:hAnsiTheme="minorHAnsi"/>
          <w:noProof/>
          <w:lang w:eastAsia="fr-FR"/>
        </w:rPr>
      </w:pPr>
      <w:hyperlink w:anchor="_Toc169283242" w:history="1">
        <w:r w:rsidR="007A4574" w:rsidRPr="007B4B78">
          <w:rPr>
            <w:rStyle w:val="Lienhypertexte"/>
            <w:rFonts w:cstheme="majorBidi"/>
            <w:noProof/>
          </w:rPr>
          <w:t>2.5 Périmètre</w:t>
        </w:r>
        <w:r w:rsidR="007A4574">
          <w:rPr>
            <w:noProof/>
            <w:webHidden/>
          </w:rPr>
          <w:tab/>
        </w:r>
        <w:r w:rsidR="007A4574">
          <w:rPr>
            <w:noProof/>
            <w:webHidden/>
          </w:rPr>
          <w:fldChar w:fldCharType="begin"/>
        </w:r>
        <w:r w:rsidR="007A4574">
          <w:rPr>
            <w:noProof/>
            <w:webHidden/>
          </w:rPr>
          <w:instrText xml:space="preserve"> PAGEREF _Toc169283242 \h </w:instrText>
        </w:r>
        <w:r w:rsidR="007A4574">
          <w:rPr>
            <w:noProof/>
            <w:webHidden/>
          </w:rPr>
        </w:r>
        <w:r w:rsidR="007A4574">
          <w:rPr>
            <w:noProof/>
            <w:webHidden/>
          </w:rPr>
          <w:fldChar w:fldCharType="separate"/>
        </w:r>
        <w:r w:rsidR="007A4574">
          <w:rPr>
            <w:noProof/>
            <w:webHidden/>
          </w:rPr>
          <w:t>6</w:t>
        </w:r>
        <w:r w:rsidR="007A4574">
          <w:rPr>
            <w:noProof/>
            <w:webHidden/>
          </w:rPr>
          <w:fldChar w:fldCharType="end"/>
        </w:r>
      </w:hyperlink>
    </w:p>
    <w:p w14:paraId="147EAC93" w14:textId="70744F16" w:rsidR="007A4574" w:rsidRDefault="002F5A5D">
      <w:pPr>
        <w:pStyle w:val="TM1"/>
        <w:tabs>
          <w:tab w:val="right" w:leader="dot" w:pos="9062"/>
        </w:tabs>
        <w:rPr>
          <w:rFonts w:asciiTheme="minorHAnsi" w:eastAsiaTheme="minorEastAsia" w:hAnsiTheme="minorHAnsi"/>
          <w:noProof/>
          <w:lang w:eastAsia="fr-FR"/>
        </w:rPr>
      </w:pPr>
      <w:hyperlink w:anchor="_Toc169283243" w:history="1">
        <w:r w:rsidR="007A4574" w:rsidRPr="007B4B78">
          <w:rPr>
            <w:rStyle w:val="Lienhypertexte"/>
            <w:noProof/>
          </w:rPr>
          <w:t>3. Modélisation</w:t>
        </w:r>
        <w:r w:rsidR="007A4574">
          <w:rPr>
            <w:noProof/>
            <w:webHidden/>
          </w:rPr>
          <w:tab/>
        </w:r>
        <w:r w:rsidR="007A4574">
          <w:rPr>
            <w:noProof/>
            <w:webHidden/>
          </w:rPr>
          <w:fldChar w:fldCharType="begin"/>
        </w:r>
        <w:r w:rsidR="007A4574">
          <w:rPr>
            <w:noProof/>
            <w:webHidden/>
          </w:rPr>
          <w:instrText xml:space="preserve"> PAGEREF _Toc169283243 \h </w:instrText>
        </w:r>
        <w:r w:rsidR="007A4574">
          <w:rPr>
            <w:noProof/>
            <w:webHidden/>
          </w:rPr>
        </w:r>
        <w:r w:rsidR="007A4574">
          <w:rPr>
            <w:noProof/>
            <w:webHidden/>
          </w:rPr>
          <w:fldChar w:fldCharType="separate"/>
        </w:r>
        <w:r w:rsidR="007A4574">
          <w:rPr>
            <w:noProof/>
            <w:webHidden/>
          </w:rPr>
          <w:t>7</w:t>
        </w:r>
        <w:r w:rsidR="007A4574">
          <w:rPr>
            <w:noProof/>
            <w:webHidden/>
          </w:rPr>
          <w:fldChar w:fldCharType="end"/>
        </w:r>
      </w:hyperlink>
    </w:p>
    <w:p w14:paraId="5AAF4DF4" w14:textId="16B9F9EB" w:rsidR="007A4574" w:rsidRDefault="002F5A5D">
      <w:pPr>
        <w:pStyle w:val="TM2"/>
        <w:tabs>
          <w:tab w:val="right" w:leader="dot" w:pos="9062"/>
        </w:tabs>
        <w:rPr>
          <w:rFonts w:asciiTheme="minorHAnsi" w:eastAsiaTheme="minorEastAsia" w:hAnsiTheme="minorHAnsi"/>
          <w:noProof/>
          <w:lang w:eastAsia="fr-FR"/>
        </w:rPr>
      </w:pPr>
      <w:hyperlink w:anchor="_Toc169283244" w:history="1">
        <w:r w:rsidR="007A4574" w:rsidRPr="007B4B78">
          <w:rPr>
            <w:rStyle w:val="Lienhypertexte"/>
            <w:rFonts w:cstheme="majorBidi"/>
            <w:noProof/>
          </w:rPr>
          <w:t>3.1 Détermination des taux d’intérêt pour les produits à taux variable</w:t>
        </w:r>
        <w:r w:rsidR="007A4574">
          <w:rPr>
            <w:noProof/>
            <w:webHidden/>
          </w:rPr>
          <w:tab/>
        </w:r>
        <w:r w:rsidR="007A4574">
          <w:rPr>
            <w:noProof/>
            <w:webHidden/>
          </w:rPr>
          <w:fldChar w:fldCharType="begin"/>
        </w:r>
        <w:r w:rsidR="007A4574">
          <w:rPr>
            <w:noProof/>
            <w:webHidden/>
          </w:rPr>
          <w:instrText xml:space="preserve"> PAGEREF _Toc169283244 \h </w:instrText>
        </w:r>
        <w:r w:rsidR="007A4574">
          <w:rPr>
            <w:noProof/>
            <w:webHidden/>
          </w:rPr>
        </w:r>
        <w:r w:rsidR="007A4574">
          <w:rPr>
            <w:noProof/>
            <w:webHidden/>
          </w:rPr>
          <w:fldChar w:fldCharType="separate"/>
        </w:r>
        <w:r w:rsidR="007A4574">
          <w:rPr>
            <w:noProof/>
            <w:webHidden/>
          </w:rPr>
          <w:t>7</w:t>
        </w:r>
        <w:r w:rsidR="007A4574">
          <w:rPr>
            <w:noProof/>
            <w:webHidden/>
          </w:rPr>
          <w:fldChar w:fldCharType="end"/>
        </w:r>
      </w:hyperlink>
    </w:p>
    <w:p w14:paraId="124E7F95" w14:textId="6F77960D" w:rsidR="007A4574" w:rsidRDefault="002F5A5D">
      <w:pPr>
        <w:pStyle w:val="TM2"/>
        <w:tabs>
          <w:tab w:val="right" w:leader="dot" w:pos="9062"/>
        </w:tabs>
        <w:rPr>
          <w:rFonts w:asciiTheme="minorHAnsi" w:eastAsiaTheme="minorEastAsia" w:hAnsiTheme="minorHAnsi"/>
          <w:noProof/>
          <w:lang w:eastAsia="fr-FR"/>
        </w:rPr>
      </w:pPr>
      <w:hyperlink w:anchor="_Toc169283245" w:history="1">
        <w:r w:rsidR="007A4574" w:rsidRPr="007B4B78">
          <w:rPr>
            <w:rStyle w:val="Lienhypertexte"/>
            <w:rFonts w:cstheme="majorBidi"/>
            <w:noProof/>
          </w:rPr>
          <w:t>3.2 Ecoulement des contrats du stock</w:t>
        </w:r>
        <w:r w:rsidR="007A4574">
          <w:rPr>
            <w:noProof/>
            <w:webHidden/>
          </w:rPr>
          <w:tab/>
        </w:r>
        <w:r w:rsidR="007A4574">
          <w:rPr>
            <w:noProof/>
            <w:webHidden/>
          </w:rPr>
          <w:fldChar w:fldCharType="begin"/>
        </w:r>
        <w:r w:rsidR="007A4574">
          <w:rPr>
            <w:noProof/>
            <w:webHidden/>
          </w:rPr>
          <w:instrText xml:space="preserve"> PAGEREF _Toc169283245 \h </w:instrText>
        </w:r>
        <w:r w:rsidR="007A4574">
          <w:rPr>
            <w:noProof/>
            <w:webHidden/>
          </w:rPr>
        </w:r>
        <w:r w:rsidR="007A4574">
          <w:rPr>
            <w:noProof/>
            <w:webHidden/>
          </w:rPr>
          <w:fldChar w:fldCharType="separate"/>
        </w:r>
        <w:r w:rsidR="007A4574">
          <w:rPr>
            <w:noProof/>
            <w:webHidden/>
          </w:rPr>
          <w:t>7</w:t>
        </w:r>
        <w:r w:rsidR="007A4574">
          <w:rPr>
            <w:noProof/>
            <w:webHidden/>
          </w:rPr>
          <w:fldChar w:fldCharType="end"/>
        </w:r>
      </w:hyperlink>
    </w:p>
    <w:p w14:paraId="688126DB" w14:textId="163A4BCC" w:rsidR="007A4574" w:rsidRDefault="002F5A5D">
      <w:pPr>
        <w:pStyle w:val="TM2"/>
        <w:tabs>
          <w:tab w:val="right" w:leader="dot" w:pos="9062"/>
        </w:tabs>
        <w:rPr>
          <w:rFonts w:asciiTheme="minorHAnsi" w:eastAsiaTheme="minorEastAsia" w:hAnsiTheme="minorHAnsi"/>
          <w:noProof/>
          <w:lang w:eastAsia="fr-FR"/>
        </w:rPr>
      </w:pPr>
      <w:hyperlink w:anchor="_Toc169283246" w:history="1">
        <w:r w:rsidR="007A4574" w:rsidRPr="007B4B78">
          <w:rPr>
            <w:rStyle w:val="Lienhypertexte"/>
            <w:rFonts w:cstheme="majorBidi"/>
            <w:noProof/>
          </w:rPr>
          <w:t>3.3 Modélisation de l’écoulement des PNs</w:t>
        </w:r>
        <w:r w:rsidR="007A4574">
          <w:rPr>
            <w:noProof/>
            <w:webHidden/>
          </w:rPr>
          <w:tab/>
        </w:r>
        <w:r w:rsidR="007A4574">
          <w:rPr>
            <w:noProof/>
            <w:webHidden/>
          </w:rPr>
          <w:fldChar w:fldCharType="begin"/>
        </w:r>
        <w:r w:rsidR="007A4574">
          <w:rPr>
            <w:noProof/>
            <w:webHidden/>
          </w:rPr>
          <w:instrText xml:space="preserve"> PAGEREF _Toc169283246 \h </w:instrText>
        </w:r>
        <w:r w:rsidR="007A4574">
          <w:rPr>
            <w:noProof/>
            <w:webHidden/>
          </w:rPr>
        </w:r>
        <w:r w:rsidR="007A4574">
          <w:rPr>
            <w:noProof/>
            <w:webHidden/>
          </w:rPr>
          <w:fldChar w:fldCharType="separate"/>
        </w:r>
        <w:r w:rsidR="007A4574">
          <w:rPr>
            <w:noProof/>
            <w:webHidden/>
          </w:rPr>
          <w:t>11</w:t>
        </w:r>
        <w:r w:rsidR="007A4574">
          <w:rPr>
            <w:noProof/>
            <w:webHidden/>
          </w:rPr>
          <w:fldChar w:fldCharType="end"/>
        </w:r>
      </w:hyperlink>
    </w:p>
    <w:p w14:paraId="3DBC9472" w14:textId="6B0F51D5" w:rsidR="007A4574" w:rsidRDefault="002F5A5D">
      <w:pPr>
        <w:pStyle w:val="TM1"/>
        <w:tabs>
          <w:tab w:val="right" w:leader="dot" w:pos="9062"/>
        </w:tabs>
        <w:rPr>
          <w:rFonts w:asciiTheme="minorHAnsi" w:eastAsiaTheme="minorEastAsia" w:hAnsiTheme="minorHAnsi"/>
          <w:noProof/>
          <w:lang w:eastAsia="fr-FR"/>
        </w:rPr>
      </w:pPr>
      <w:hyperlink w:anchor="_Toc169283247" w:history="1">
        <w:r w:rsidR="007A4574" w:rsidRPr="007B4B78">
          <w:rPr>
            <w:rStyle w:val="Lienhypertexte"/>
            <w:noProof/>
          </w:rPr>
          <w:t>5. Comparaison avec RCO</w:t>
        </w:r>
        <w:r w:rsidR="007A4574">
          <w:rPr>
            <w:noProof/>
            <w:webHidden/>
          </w:rPr>
          <w:tab/>
        </w:r>
        <w:r w:rsidR="007A4574">
          <w:rPr>
            <w:noProof/>
            <w:webHidden/>
          </w:rPr>
          <w:fldChar w:fldCharType="begin"/>
        </w:r>
        <w:r w:rsidR="007A4574">
          <w:rPr>
            <w:noProof/>
            <w:webHidden/>
          </w:rPr>
          <w:instrText xml:space="preserve"> PAGEREF _Toc169283247 \h </w:instrText>
        </w:r>
        <w:r w:rsidR="007A4574">
          <w:rPr>
            <w:noProof/>
            <w:webHidden/>
          </w:rPr>
        </w:r>
        <w:r w:rsidR="007A4574">
          <w:rPr>
            <w:noProof/>
            <w:webHidden/>
          </w:rPr>
          <w:fldChar w:fldCharType="separate"/>
        </w:r>
        <w:r w:rsidR="007A4574">
          <w:rPr>
            <w:noProof/>
            <w:webHidden/>
          </w:rPr>
          <w:t>15</w:t>
        </w:r>
        <w:r w:rsidR="007A4574">
          <w:rPr>
            <w:noProof/>
            <w:webHidden/>
          </w:rPr>
          <w:fldChar w:fldCharType="end"/>
        </w:r>
      </w:hyperlink>
    </w:p>
    <w:p w14:paraId="3CCF7AFA" w14:textId="0697C10B" w:rsidR="004808B9" w:rsidRDefault="00B64C60" w:rsidP="000F3F99">
      <w:pPr>
        <w:jc w:val="both"/>
        <w:rPr>
          <w:rFonts w:cstheme="majorBidi"/>
        </w:rPr>
      </w:pPr>
      <w:r w:rsidRPr="00FE3F6E">
        <w:rPr>
          <w:rFonts w:cstheme="majorBidi"/>
        </w:rPr>
        <w:fldChar w:fldCharType="end"/>
      </w:r>
      <w:bookmarkStart w:id="0" w:name="_Toc131065310"/>
      <w:bookmarkStart w:id="1" w:name="_Toc131065699"/>
    </w:p>
    <w:p w14:paraId="63F8B994" w14:textId="77777777" w:rsidR="004808B9" w:rsidRDefault="004808B9" w:rsidP="000F3F99">
      <w:pPr>
        <w:jc w:val="both"/>
        <w:rPr>
          <w:rFonts w:cstheme="majorBidi"/>
        </w:rPr>
      </w:pPr>
    </w:p>
    <w:p w14:paraId="4FD71734" w14:textId="77777777" w:rsidR="004808B9" w:rsidRDefault="004808B9" w:rsidP="000F3F99">
      <w:pPr>
        <w:jc w:val="both"/>
        <w:rPr>
          <w:rFonts w:cstheme="majorBidi"/>
        </w:rPr>
      </w:pPr>
    </w:p>
    <w:p w14:paraId="28D663D9" w14:textId="77777777" w:rsidR="004808B9" w:rsidRDefault="004808B9" w:rsidP="000F3F99">
      <w:pPr>
        <w:jc w:val="both"/>
        <w:rPr>
          <w:rFonts w:cstheme="majorBidi"/>
        </w:rPr>
      </w:pPr>
    </w:p>
    <w:p w14:paraId="65B975F0" w14:textId="77777777" w:rsidR="004808B9" w:rsidRDefault="004808B9" w:rsidP="000F3F99">
      <w:pPr>
        <w:jc w:val="both"/>
        <w:rPr>
          <w:rFonts w:cstheme="majorBidi"/>
        </w:rPr>
      </w:pPr>
    </w:p>
    <w:p w14:paraId="57CD278C" w14:textId="645BBDBC" w:rsidR="00075F61" w:rsidRDefault="000676D5">
      <w:pPr>
        <w:pStyle w:val="Titre1"/>
        <w:numPr>
          <w:ilvl w:val="0"/>
          <w:numId w:val="2"/>
        </w:numPr>
      </w:pPr>
      <w:bookmarkStart w:id="2" w:name="_Toc131063847"/>
      <w:bookmarkStart w:id="3" w:name="_Toc131065311"/>
      <w:bookmarkStart w:id="4" w:name="_Toc131065700"/>
      <w:bookmarkStart w:id="5" w:name="_Toc169283237"/>
      <w:bookmarkEnd w:id="0"/>
      <w:bookmarkEnd w:id="1"/>
      <w:r w:rsidRPr="00FE3F6E">
        <w:lastRenderedPageBreak/>
        <w:t>Synthèse</w:t>
      </w:r>
      <w:bookmarkEnd w:id="2"/>
      <w:bookmarkEnd w:id="3"/>
      <w:bookmarkEnd w:id="4"/>
      <w:r w:rsidR="00075F61">
        <w:t xml:space="preserve"> du document</w:t>
      </w:r>
      <w:bookmarkEnd w:id="5"/>
    </w:p>
    <w:p w14:paraId="41DDAC65" w14:textId="2D2FB493" w:rsidR="009D49D6" w:rsidRDefault="009D49D6" w:rsidP="009D49D6">
      <w:pPr>
        <w:jc w:val="both"/>
        <w:rPr>
          <w:rFonts w:cstheme="majorBidi"/>
        </w:rPr>
      </w:pPr>
      <w:r w:rsidRPr="009D49D6">
        <w:rPr>
          <w:rFonts w:cstheme="majorBidi"/>
        </w:rPr>
        <w:t xml:space="preserve">Ce fichier documente </w:t>
      </w:r>
      <w:r>
        <w:rPr>
          <w:rFonts w:cstheme="majorBidi"/>
        </w:rPr>
        <w:t>la méthodologie utilisée par PASS-ALM</w:t>
      </w:r>
      <w:r w:rsidRPr="009D49D6">
        <w:rPr>
          <w:rFonts w:cstheme="majorBidi"/>
        </w:rPr>
        <w:t xml:space="preserve"> </w:t>
      </w:r>
      <w:r>
        <w:rPr>
          <w:rFonts w:cstheme="majorBidi"/>
        </w:rPr>
        <w:t>pour é</w:t>
      </w:r>
      <w:r w:rsidRPr="009D49D6">
        <w:rPr>
          <w:rFonts w:cstheme="majorBidi"/>
        </w:rPr>
        <w:t>coule</w:t>
      </w:r>
      <w:r>
        <w:rPr>
          <w:rFonts w:cstheme="majorBidi"/>
        </w:rPr>
        <w:t>r</w:t>
      </w:r>
      <w:r w:rsidRPr="009D49D6">
        <w:rPr>
          <w:rFonts w:cstheme="majorBidi"/>
        </w:rPr>
        <w:t xml:space="preserve"> </w:t>
      </w:r>
      <w:r>
        <w:rPr>
          <w:rFonts w:cstheme="majorBidi"/>
        </w:rPr>
        <w:t>l</w:t>
      </w:r>
      <w:r w:rsidRPr="009D49D6">
        <w:rPr>
          <w:rFonts w:cstheme="majorBidi"/>
        </w:rPr>
        <w:t>es produits non échéancés</w:t>
      </w:r>
      <w:r w:rsidR="001F2E4C">
        <w:rPr>
          <w:rFonts w:cstheme="majorBidi"/>
        </w:rPr>
        <w:t xml:space="preserve"> (dits NMDs</w:t>
      </w:r>
      <w:r w:rsidR="00343384">
        <w:rPr>
          <w:rFonts w:cstheme="majorBidi"/>
        </w:rPr>
        <w:t xml:space="preserve"> par la suite</w:t>
      </w:r>
      <w:r w:rsidR="001F2E4C">
        <w:rPr>
          <w:rFonts w:cstheme="majorBidi"/>
        </w:rPr>
        <w:t>)</w:t>
      </w:r>
      <w:r w:rsidR="00834937">
        <w:rPr>
          <w:rFonts w:cstheme="majorBidi"/>
        </w:rPr>
        <w:t xml:space="preserve">, que </w:t>
      </w:r>
      <w:r>
        <w:rPr>
          <w:rFonts w:cstheme="majorBidi"/>
        </w:rPr>
        <w:t>soit l’écoulement statique (STOCK) ou dynamique (STOCK + PN)</w:t>
      </w:r>
      <w:r w:rsidRPr="009D49D6">
        <w:rPr>
          <w:rFonts w:cstheme="majorBidi"/>
        </w:rPr>
        <w:t xml:space="preserve">. </w:t>
      </w:r>
      <w:r>
        <w:rPr>
          <w:rFonts w:cstheme="majorBidi"/>
        </w:rPr>
        <w:t xml:space="preserve">Cette </w:t>
      </w:r>
      <w:r w:rsidR="00834937">
        <w:rPr>
          <w:rFonts w:cstheme="majorBidi"/>
        </w:rPr>
        <w:t>méthodologie</w:t>
      </w:r>
      <w:r>
        <w:rPr>
          <w:rFonts w:cstheme="majorBidi"/>
        </w:rPr>
        <w:t xml:space="preserve"> est conforme à celle qui est utilisée par RCO.</w:t>
      </w:r>
    </w:p>
    <w:p w14:paraId="2E8AAFF6" w14:textId="6BDD135E" w:rsidR="009D49D6" w:rsidRPr="009D49D6" w:rsidRDefault="00834937" w:rsidP="009D49D6">
      <w:pPr>
        <w:jc w:val="both"/>
        <w:rPr>
          <w:rFonts w:cstheme="majorBidi"/>
        </w:rPr>
      </w:pPr>
      <w:r>
        <w:rPr>
          <w:rFonts w:cstheme="majorBidi"/>
        </w:rPr>
        <w:t xml:space="preserve">En </w:t>
      </w:r>
      <w:r w:rsidR="00F2495B">
        <w:rPr>
          <w:rFonts w:cstheme="majorBidi"/>
        </w:rPr>
        <w:t>particulier</w:t>
      </w:r>
      <w:r>
        <w:rPr>
          <w:rFonts w:cstheme="majorBidi"/>
        </w:rPr>
        <w:t>, l</w:t>
      </w:r>
      <w:r w:rsidR="009D49D6">
        <w:rPr>
          <w:rFonts w:cstheme="majorBidi"/>
        </w:rPr>
        <w:t xml:space="preserve">e présent document </w:t>
      </w:r>
      <w:r w:rsidR="00F2495B">
        <w:rPr>
          <w:rFonts w:cstheme="majorBidi"/>
        </w:rPr>
        <w:t>décrit</w:t>
      </w:r>
      <w:r w:rsidR="009D49D6" w:rsidRPr="009D49D6">
        <w:rPr>
          <w:rFonts w:cstheme="majorBidi"/>
        </w:rPr>
        <w:t xml:space="preserve"> les sources utilisée</w:t>
      </w:r>
      <w:r w:rsidR="009D49D6">
        <w:rPr>
          <w:rFonts w:cstheme="majorBidi"/>
        </w:rPr>
        <w:t xml:space="preserve">s, explicite </w:t>
      </w:r>
      <w:r w:rsidR="009D49D6" w:rsidRPr="009D49D6">
        <w:rPr>
          <w:rFonts w:cstheme="majorBidi"/>
        </w:rPr>
        <w:t>les modèles implémentés</w:t>
      </w:r>
      <w:r w:rsidR="009D49D6">
        <w:rPr>
          <w:rFonts w:cstheme="majorBidi"/>
        </w:rPr>
        <w:t xml:space="preserve"> et </w:t>
      </w:r>
      <w:r w:rsidR="00F2495B">
        <w:rPr>
          <w:rFonts w:cstheme="majorBidi"/>
        </w:rPr>
        <w:t>compare les résultats issus</w:t>
      </w:r>
      <w:r w:rsidR="009D49D6" w:rsidRPr="009D49D6">
        <w:rPr>
          <w:rFonts w:cstheme="majorBidi"/>
        </w:rPr>
        <w:t xml:space="preserve"> des modélisations </w:t>
      </w:r>
      <w:r w:rsidR="00F2495B">
        <w:rPr>
          <w:rFonts w:cstheme="majorBidi"/>
        </w:rPr>
        <w:t xml:space="preserve">respectives </w:t>
      </w:r>
      <w:r w:rsidR="009D49D6">
        <w:rPr>
          <w:rFonts w:cstheme="majorBidi"/>
        </w:rPr>
        <w:t xml:space="preserve">de </w:t>
      </w:r>
      <w:r w:rsidR="009D49D6" w:rsidRPr="009D49D6">
        <w:rPr>
          <w:rFonts w:cstheme="majorBidi"/>
        </w:rPr>
        <w:t>PASS-ALM et RCO</w:t>
      </w:r>
      <w:r w:rsidR="00F2495B">
        <w:rPr>
          <w:rFonts w:cstheme="majorBidi"/>
        </w:rPr>
        <w:t>. Une synthèse</w:t>
      </w:r>
      <w:r w:rsidR="009D49D6">
        <w:rPr>
          <w:rFonts w:cstheme="majorBidi"/>
        </w:rPr>
        <w:t xml:space="preserve"> </w:t>
      </w:r>
      <w:r w:rsidR="00F2495B">
        <w:rPr>
          <w:rFonts w:cstheme="majorBidi"/>
        </w:rPr>
        <w:t>de ces résultats</w:t>
      </w:r>
      <w:r w:rsidR="009D49D6">
        <w:rPr>
          <w:rFonts w:cstheme="majorBidi"/>
        </w:rPr>
        <w:t xml:space="preserve"> </w:t>
      </w:r>
      <w:r w:rsidR="00F2495B">
        <w:rPr>
          <w:rFonts w:cstheme="majorBidi"/>
        </w:rPr>
        <w:t>se trouve</w:t>
      </w:r>
      <w:r w:rsidR="009D49D6">
        <w:rPr>
          <w:rFonts w:cstheme="majorBidi"/>
        </w:rPr>
        <w:t xml:space="preserve"> dans les tableaux </w:t>
      </w:r>
      <w:r w:rsidR="00F2495B">
        <w:rPr>
          <w:rFonts w:cstheme="majorBidi"/>
        </w:rPr>
        <w:t>ci-après</w:t>
      </w:r>
      <w:r w:rsidR="009D49D6">
        <w:rPr>
          <w:rFonts w:cstheme="majorBidi"/>
        </w:rPr>
        <w:t> :</w:t>
      </w:r>
    </w:p>
    <w:p w14:paraId="586EFC68" w14:textId="27A75172" w:rsidR="000F3F99" w:rsidRDefault="00F605AB" w:rsidP="000F3F99">
      <w:pPr>
        <w:pBdr>
          <w:top w:val="single" w:sz="4" w:space="1" w:color="auto"/>
          <w:left w:val="single" w:sz="4" w:space="4" w:color="auto"/>
          <w:bottom w:val="single" w:sz="4" w:space="1" w:color="auto"/>
          <w:right w:val="single" w:sz="4" w:space="4" w:color="auto"/>
        </w:pBdr>
        <w:jc w:val="both"/>
        <w:rPr>
          <w:sz w:val="20"/>
          <w:szCs w:val="20"/>
          <w:lang w:eastAsia="ja-JP"/>
        </w:rPr>
      </w:pPr>
      <w:r w:rsidRPr="00F605AB">
        <w:rPr>
          <w:noProof/>
        </w:rPr>
        <w:drawing>
          <wp:inline distT="0" distB="0" distL="0" distR="0" wp14:anchorId="60D4679A" wp14:editId="25C7EE7B">
            <wp:extent cx="5760720" cy="19221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22145"/>
                    </a:xfrm>
                    <a:prstGeom prst="rect">
                      <a:avLst/>
                    </a:prstGeom>
                    <a:noFill/>
                    <a:ln>
                      <a:noFill/>
                    </a:ln>
                  </pic:spPr>
                </pic:pic>
              </a:graphicData>
            </a:graphic>
          </wp:inline>
        </w:drawing>
      </w:r>
    </w:p>
    <w:p w14:paraId="3CB222C4" w14:textId="573222AD" w:rsidR="004255E9" w:rsidRDefault="004255E9" w:rsidP="004255E9">
      <w:pPr>
        <w:pBdr>
          <w:top w:val="single" w:sz="4" w:space="1" w:color="auto"/>
          <w:left w:val="single" w:sz="4" w:space="4" w:color="auto"/>
          <w:bottom w:val="single" w:sz="4" w:space="1" w:color="auto"/>
          <w:right w:val="single" w:sz="4" w:space="4" w:color="auto"/>
        </w:pBdr>
        <w:jc w:val="both"/>
        <w:rPr>
          <w:sz w:val="20"/>
          <w:szCs w:val="20"/>
          <w:lang w:eastAsia="ja-JP"/>
        </w:rPr>
      </w:pPr>
      <w:r w:rsidRPr="004255E9">
        <w:rPr>
          <w:noProof/>
        </w:rPr>
        <w:drawing>
          <wp:inline distT="0" distB="0" distL="0" distR="0" wp14:anchorId="03A4ECD3" wp14:editId="29FBB99B">
            <wp:extent cx="5760720" cy="13684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68425"/>
                    </a:xfrm>
                    <a:prstGeom prst="rect">
                      <a:avLst/>
                    </a:prstGeom>
                    <a:noFill/>
                    <a:ln>
                      <a:noFill/>
                    </a:ln>
                  </pic:spPr>
                </pic:pic>
              </a:graphicData>
            </a:graphic>
          </wp:inline>
        </w:drawing>
      </w:r>
    </w:p>
    <w:p w14:paraId="5C7AD66D" w14:textId="589643E4" w:rsidR="000F3F99" w:rsidRDefault="00D568B9" w:rsidP="000F3F99">
      <w:pPr>
        <w:pBdr>
          <w:top w:val="single" w:sz="4" w:space="1" w:color="auto"/>
          <w:left w:val="single" w:sz="4" w:space="4" w:color="auto"/>
          <w:bottom w:val="single" w:sz="4" w:space="1" w:color="auto"/>
          <w:right w:val="single" w:sz="4" w:space="4" w:color="auto"/>
        </w:pBdr>
        <w:jc w:val="both"/>
        <w:rPr>
          <w:sz w:val="20"/>
          <w:szCs w:val="20"/>
          <w:lang w:eastAsia="ja-JP"/>
        </w:rPr>
      </w:pPr>
      <w:r w:rsidRPr="00D568B9">
        <w:rPr>
          <w:noProof/>
        </w:rPr>
        <w:drawing>
          <wp:inline distT="0" distB="0" distL="0" distR="0" wp14:anchorId="33ABC3CA" wp14:editId="5001372B">
            <wp:extent cx="5760720" cy="12934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93495"/>
                    </a:xfrm>
                    <a:prstGeom prst="rect">
                      <a:avLst/>
                    </a:prstGeom>
                    <a:noFill/>
                    <a:ln>
                      <a:noFill/>
                    </a:ln>
                  </pic:spPr>
                </pic:pic>
              </a:graphicData>
            </a:graphic>
          </wp:inline>
        </w:drawing>
      </w:r>
    </w:p>
    <w:p w14:paraId="7098EF74" w14:textId="25E64B3F" w:rsidR="00F605AB" w:rsidRDefault="00F605AB" w:rsidP="00F605AB">
      <w:bookmarkStart w:id="6" w:name="_Toc131063848"/>
      <w:bookmarkStart w:id="7" w:name="_Toc131065315"/>
      <w:bookmarkStart w:id="8" w:name="_Toc131065704"/>
    </w:p>
    <w:p w14:paraId="0EE16A42" w14:textId="77777777" w:rsidR="007A4574" w:rsidRDefault="007A4574" w:rsidP="00F605AB"/>
    <w:p w14:paraId="0E3DBCE7" w14:textId="29411E85" w:rsidR="0016255F" w:rsidRPr="00FE3F6E" w:rsidRDefault="007A4574" w:rsidP="00FE3F6E">
      <w:pPr>
        <w:pStyle w:val="Titre1"/>
      </w:pPr>
      <w:bookmarkStart w:id="9" w:name="_Toc169283238"/>
      <w:r>
        <w:lastRenderedPageBreak/>
        <w:t>2</w:t>
      </w:r>
      <w:r w:rsidR="000676D5" w:rsidRPr="00FE3F6E">
        <w:t xml:space="preserve">. </w:t>
      </w:r>
      <w:bookmarkEnd w:id="6"/>
      <w:r w:rsidR="000676D5" w:rsidRPr="00FE3F6E">
        <w:t>Données &amp; Sources</w:t>
      </w:r>
      <w:bookmarkEnd w:id="7"/>
      <w:bookmarkEnd w:id="8"/>
      <w:bookmarkEnd w:id="9"/>
    </w:p>
    <w:p w14:paraId="1AA6123A" w14:textId="28EA14A2" w:rsidR="00424EC6" w:rsidRPr="00FE3F6E" w:rsidRDefault="007A4574" w:rsidP="00FE3F6E">
      <w:pPr>
        <w:pStyle w:val="Titre2"/>
        <w:rPr>
          <w:rFonts w:cstheme="majorBidi"/>
        </w:rPr>
      </w:pPr>
      <w:bookmarkStart w:id="10" w:name="_Toc131065316"/>
      <w:bookmarkStart w:id="11" w:name="_Toc131065705"/>
      <w:bookmarkStart w:id="12" w:name="_Toc169283239"/>
      <w:bookmarkStart w:id="13" w:name="_Toc131063849"/>
      <w:r>
        <w:rPr>
          <w:rFonts w:cstheme="majorBidi"/>
        </w:rPr>
        <w:t>2</w:t>
      </w:r>
      <w:r w:rsidR="00424EC6" w:rsidRPr="00FE3F6E">
        <w:rPr>
          <w:rFonts w:cstheme="majorBidi"/>
        </w:rPr>
        <w:t>.1 Sources RCO</w:t>
      </w:r>
      <w:bookmarkEnd w:id="10"/>
      <w:bookmarkEnd w:id="11"/>
      <w:bookmarkEnd w:id="12"/>
    </w:p>
    <w:p w14:paraId="1E1BD0F0" w14:textId="545F6996" w:rsidR="00C84418" w:rsidRDefault="007A4574" w:rsidP="00FE3F6E">
      <w:pPr>
        <w:pStyle w:val="Titre3"/>
      </w:pPr>
      <w:bookmarkStart w:id="14" w:name="_Toc131065317"/>
      <w:r>
        <w:t>2</w:t>
      </w:r>
      <w:r w:rsidR="00424EC6" w:rsidRPr="00FE3F6E">
        <w:t xml:space="preserve">.1.1 </w:t>
      </w:r>
      <w:r w:rsidR="00C84418" w:rsidRPr="00FE3F6E">
        <w:t>Fichier LDP</w:t>
      </w:r>
      <w:bookmarkEnd w:id="13"/>
      <w:bookmarkEnd w:id="14"/>
    </w:p>
    <w:p w14:paraId="591E9CCB" w14:textId="2DA5C759" w:rsidR="00C84418" w:rsidRPr="00006309" w:rsidRDefault="00C84418" w:rsidP="007A4574">
      <w:pPr>
        <w:jc w:val="both"/>
        <w:rPr>
          <w:rFonts w:cstheme="majorBidi"/>
        </w:rPr>
      </w:pPr>
      <w:r w:rsidRPr="00FE3F6E">
        <w:rPr>
          <w:rFonts w:cstheme="majorBidi"/>
        </w:rPr>
        <w:t>Les fichiers LD</w:t>
      </w:r>
      <w:r w:rsidR="00AD3F9D">
        <w:rPr>
          <w:rFonts w:cstheme="majorBidi"/>
        </w:rPr>
        <w:t>P</w:t>
      </w:r>
      <w:r w:rsidR="000C10E9">
        <w:rPr>
          <w:rFonts w:cstheme="majorBidi"/>
        </w:rPr>
        <w:t xml:space="preserve"> extraits d’RCO</w:t>
      </w:r>
      <w:r w:rsidRPr="00FE3F6E">
        <w:rPr>
          <w:rFonts w:cstheme="majorBidi"/>
        </w:rPr>
        <w:t xml:space="preserve"> contiennent l’ensemble des contrats</w:t>
      </w:r>
      <w:r w:rsidR="00006309">
        <w:rPr>
          <w:rFonts w:cstheme="majorBidi"/>
        </w:rPr>
        <w:t xml:space="preserve"> existants du stock </w:t>
      </w:r>
      <w:r w:rsidR="000C10E9">
        <w:rPr>
          <w:rFonts w:cstheme="majorBidi"/>
        </w:rPr>
        <w:t>pour un bassin ou un établissement donné</w:t>
      </w:r>
      <w:r w:rsidRPr="00FE3F6E">
        <w:rPr>
          <w:rFonts w:cstheme="majorBidi"/>
        </w:rPr>
        <w:t xml:space="preserve">. Les champs utilisés par </w:t>
      </w:r>
      <w:r w:rsidR="00006309">
        <w:rPr>
          <w:rFonts w:cstheme="majorBidi"/>
        </w:rPr>
        <w:t>PASS-ALM pour calculer les écoulements des contrats sont les suivants :</w:t>
      </w:r>
    </w:p>
    <w:p w14:paraId="43D9E164" w14:textId="6264E741" w:rsidR="00006309" w:rsidRDefault="00DC12C6" w:rsidP="00006309">
      <w:pPr>
        <w:rPr>
          <w:lang w:eastAsia="ja-JP"/>
        </w:rPr>
      </w:pPr>
      <w:r w:rsidRPr="00DC12C6">
        <w:rPr>
          <w:noProof/>
        </w:rPr>
        <w:drawing>
          <wp:inline distT="0" distB="0" distL="0" distR="0" wp14:anchorId="5C797FDC" wp14:editId="28812CF3">
            <wp:extent cx="4273122" cy="536863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4901" cy="5370871"/>
                    </a:xfrm>
                    <a:prstGeom prst="rect">
                      <a:avLst/>
                    </a:prstGeom>
                    <a:noFill/>
                    <a:ln>
                      <a:noFill/>
                    </a:ln>
                  </pic:spPr>
                </pic:pic>
              </a:graphicData>
            </a:graphic>
          </wp:inline>
        </w:drawing>
      </w:r>
    </w:p>
    <w:p w14:paraId="54422519" w14:textId="4BDD66CA" w:rsidR="00006309" w:rsidRDefault="007A4574" w:rsidP="00006309">
      <w:pPr>
        <w:pStyle w:val="Titre3"/>
      </w:pPr>
      <w:r>
        <w:lastRenderedPageBreak/>
        <w:t>2</w:t>
      </w:r>
      <w:r w:rsidR="00006309">
        <w:t>.1.3 Données des ENCOURS CIBLE, SPREADs et de TAUX CIBLE</w:t>
      </w:r>
    </w:p>
    <w:p w14:paraId="07BD3BD6" w14:textId="1EF860A0" w:rsidR="007A4574" w:rsidRPr="007A4574" w:rsidRDefault="007A4574" w:rsidP="00E13822">
      <w:pPr>
        <w:jc w:val="both"/>
        <w:rPr>
          <w:lang w:eastAsia="ja-JP"/>
        </w:rPr>
      </w:pPr>
      <w:r>
        <w:rPr>
          <w:lang w:eastAsia="ja-JP"/>
        </w:rPr>
        <w:t xml:space="preserve">Les données des encours cible, des spreads de taux et des taux cible à appliquer aux écoulements </w:t>
      </w:r>
      <w:r w:rsidR="00A92816">
        <w:rPr>
          <w:lang w:eastAsia="ja-JP"/>
        </w:rPr>
        <w:t>dynamiques</w:t>
      </w:r>
      <w:r>
        <w:rPr>
          <w:lang w:eastAsia="ja-JP"/>
        </w:rPr>
        <w:t xml:space="preserve"> </w:t>
      </w:r>
      <w:r w:rsidR="0004659E">
        <w:rPr>
          <w:lang w:eastAsia="ja-JP"/>
        </w:rPr>
        <w:t xml:space="preserve">des NMDs </w:t>
      </w:r>
      <w:r>
        <w:rPr>
          <w:lang w:eastAsia="ja-JP"/>
        </w:rPr>
        <w:t>se trouvent dans un fichier</w:t>
      </w:r>
      <w:r w:rsidR="00A92816">
        <w:rPr>
          <w:lang w:eastAsia="ja-JP"/>
        </w:rPr>
        <w:t>/onglet</w:t>
      </w:r>
      <w:r>
        <w:rPr>
          <w:lang w:eastAsia="ja-JP"/>
        </w:rPr>
        <w:t xml:space="preserve"> dédié</w:t>
      </w:r>
      <w:r w:rsidR="005F257D">
        <w:rPr>
          <w:lang w:eastAsia="ja-JP"/>
        </w:rPr>
        <w:t xml:space="preserve"> et se présentent ainsi :</w:t>
      </w:r>
    </w:p>
    <w:p w14:paraId="3594B772" w14:textId="1C57767A" w:rsidR="00006309" w:rsidRDefault="00006309" w:rsidP="005F257D">
      <w:pPr>
        <w:rPr>
          <w:lang w:eastAsia="ja-JP"/>
        </w:rPr>
      </w:pPr>
      <w:r w:rsidRPr="00006309">
        <w:rPr>
          <w:noProof/>
        </w:rPr>
        <w:drawing>
          <wp:inline distT="0" distB="0" distL="0" distR="0" wp14:anchorId="3BD079A3" wp14:editId="341C49D8">
            <wp:extent cx="5375564" cy="969421"/>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6750"/>
                    <a:stretch/>
                  </pic:blipFill>
                  <pic:spPr bwMode="auto">
                    <a:xfrm>
                      <a:off x="0" y="0"/>
                      <a:ext cx="5396955" cy="973279"/>
                    </a:xfrm>
                    <a:prstGeom prst="rect">
                      <a:avLst/>
                    </a:prstGeom>
                    <a:noFill/>
                    <a:ln>
                      <a:noFill/>
                    </a:ln>
                    <a:extLst>
                      <a:ext uri="{53640926-AAD7-44D8-BBD7-CCE9431645EC}">
                        <a14:shadowObscured xmlns:a14="http://schemas.microsoft.com/office/drawing/2010/main"/>
                      </a:ext>
                    </a:extLst>
                  </pic:spPr>
                </pic:pic>
              </a:graphicData>
            </a:graphic>
          </wp:inline>
        </w:drawing>
      </w:r>
    </w:p>
    <w:p w14:paraId="6268D599" w14:textId="77777777" w:rsidR="00421DB0" w:rsidRDefault="00421DB0" w:rsidP="005F257D">
      <w:pPr>
        <w:rPr>
          <w:lang w:eastAsia="ja-JP"/>
        </w:rPr>
      </w:pPr>
    </w:p>
    <w:p w14:paraId="0DDA2A10" w14:textId="6AD74005" w:rsidR="00006309" w:rsidRDefault="007A4574" w:rsidP="00006309">
      <w:pPr>
        <w:pStyle w:val="Titre3"/>
      </w:pPr>
      <w:r>
        <w:t>2</w:t>
      </w:r>
      <w:r w:rsidR="00006309">
        <w:t>.1.4 Données de flux de calage</w:t>
      </w:r>
    </w:p>
    <w:p w14:paraId="5EC0002B" w14:textId="1E7FA669" w:rsidR="00421DB0" w:rsidRPr="00421DB0" w:rsidRDefault="00421DB0" w:rsidP="00421DB0">
      <w:pPr>
        <w:jc w:val="both"/>
        <w:rPr>
          <w:lang w:eastAsia="ja-JP"/>
        </w:rPr>
      </w:pPr>
      <w:r>
        <w:rPr>
          <w:lang w:eastAsia="ja-JP"/>
        </w:rPr>
        <w:t>Comme on va pouvoir le voir par la suite, la méthodologie de calcul des écoulements dynamiques des NMDs nécessite des flux de calage. Ces derniers se trouvent dans un fichier/onglet dédié et se présentent ainsi :</w:t>
      </w:r>
    </w:p>
    <w:p w14:paraId="533AFA72" w14:textId="3C49C241" w:rsidR="00006309" w:rsidRDefault="00006309" w:rsidP="00FE3F6E">
      <w:pPr>
        <w:jc w:val="both"/>
        <w:rPr>
          <w:rFonts w:cstheme="majorBidi"/>
          <w:b/>
          <w:bCs/>
        </w:rPr>
      </w:pPr>
      <w:r w:rsidRPr="00006309">
        <w:rPr>
          <w:noProof/>
        </w:rPr>
        <w:drawing>
          <wp:inline distT="0" distB="0" distL="0" distR="0" wp14:anchorId="1564DA09" wp14:editId="23F12A58">
            <wp:extent cx="5760720" cy="15671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67180"/>
                    </a:xfrm>
                    <a:prstGeom prst="rect">
                      <a:avLst/>
                    </a:prstGeom>
                    <a:noFill/>
                    <a:ln>
                      <a:noFill/>
                    </a:ln>
                  </pic:spPr>
                </pic:pic>
              </a:graphicData>
            </a:graphic>
          </wp:inline>
        </w:drawing>
      </w:r>
    </w:p>
    <w:p w14:paraId="27FBE4DC" w14:textId="7685D4F3" w:rsidR="00DC12C6" w:rsidRDefault="00DC12C6" w:rsidP="00FE3F6E">
      <w:pPr>
        <w:jc w:val="both"/>
        <w:rPr>
          <w:rFonts w:cstheme="majorBidi"/>
          <w:b/>
          <w:bCs/>
        </w:rPr>
      </w:pPr>
    </w:p>
    <w:p w14:paraId="074774C7" w14:textId="5B57AB91" w:rsidR="00D27681" w:rsidRDefault="00D27681" w:rsidP="00FE3F6E">
      <w:pPr>
        <w:jc w:val="both"/>
        <w:rPr>
          <w:rFonts w:cstheme="majorBidi"/>
          <w:b/>
          <w:bCs/>
        </w:rPr>
      </w:pPr>
    </w:p>
    <w:p w14:paraId="4D5DB922" w14:textId="2A685C63" w:rsidR="00D27681" w:rsidRDefault="00D27681" w:rsidP="00FE3F6E">
      <w:pPr>
        <w:jc w:val="both"/>
        <w:rPr>
          <w:rFonts w:cstheme="majorBidi"/>
          <w:b/>
          <w:bCs/>
        </w:rPr>
      </w:pPr>
    </w:p>
    <w:p w14:paraId="00AD1224" w14:textId="009D57F9" w:rsidR="00D27681" w:rsidRDefault="00D27681" w:rsidP="00FE3F6E">
      <w:pPr>
        <w:jc w:val="both"/>
        <w:rPr>
          <w:rFonts w:cstheme="majorBidi"/>
          <w:b/>
          <w:bCs/>
        </w:rPr>
      </w:pPr>
    </w:p>
    <w:p w14:paraId="2F449977" w14:textId="22A26BA7" w:rsidR="00D27681" w:rsidRDefault="00D27681" w:rsidP="00FE3F6E">
      <w:pPr>
        <w:jc w:val="both"/>
        <w:rPr>
          <w:rFonts w:cstheme="majorBidi"/>
          <w:b/>
          <w:bCs/>
        </w:rPr>
      </w:pPr>
    </w:p>
    <w:p w14:paraId="4C08BD09" w14:textId="2B463273" w:rsidR="00D27681" w:rsidRDefault="00D27681" w:rsidP="00FE3F6E">
      <w:pPr>
        <w:jc w:val="both"/>
        <w:rPr>
          <w:rFonts w:cstheme="majorBidi"/>
          <w:b/>
          <w:bCs/>
        </w:rPr>
      </w:pPr>
    </w:p>
    <w:p w14:paraId="3F0A32A7" w14:textId="2FBBB69C" w:rsidR="00D27681" w:rsidRDefault="00D27681" w:rsidP="00FE3F6E">
      <w:pPr>
        <w:jc w:val="both"/>
        <w:rPr>
          <w:rFonts w:cstheme="majorBidi"/>
          <w:b/>
          <w:bCs/>
        </w:rPr>
      </w:pPr>
    </w:p>
    <w:p w14:paraId="4F5945EE" w14:textId="161D9BE0" w:rsidR="00D27681" w:rsidRDefault="00D27681" w:rsidP="00FE3F6E">
      <w:pPr>
        <w:jc w:val="both"/>
        <w:rPr>
          <w:rFonts w:cstheme="majorBidi"/>
          <w:b/>
          <w:bCs/>
        </w:rPr>
      </w:pPr>
    </w:p>
    <w:p w14:paraId="08F1A324" w14:textId="73E55838" w:rsidR="00D27681" w:rsidRDefault="00D27681" w:rsidP="00FE3F6E">
      <w:pPr>
        <w:jc w:val="both"/>
        <w:rPr>
          <w:rFonts w:cstheme="majorBidi"/>
          <w:b/>
          <w:bCs/>
        </w:rPr>
      </w:pPr>
    </w:p>
    <w:p w14:paraId="407658F3" w14:textId="77777777" w:rsidR="00D27681" w:rsidRDefault="00D27681" w:rsidP="00FE3F6E">
      <w:pPr>
        <w:jc w:val="both"/>
        <w:rPr>
          <w:rFonts w:cstheme="majorBidi"/>
          <w:b/>
          <w:bCs/>
        </w:rPr>
      </w:pPr>
    </w:p>
    <w:p w14:paraId="2E8F4990" w14:textId="3825CA7E" w:rsidR="00753D77" w:rsidRDefault="007A4574" w:rsidP="00006309">
      <w:pPr>
        <w:pStyle w:val="Titre2"/>
        <w:rPr>
          <w:rFonts w:cstheme="majorBidi"/>
        </w:rPr>
      </w:pPr>
      <w:bookmarkStart w:id="15" w:name="_Toc131065319"/>
      <w:bookmarkStart w:id="16" w:name="_Toc131065706"/>
      <w:bookmarkStart w:id="17" w:name="_Toc169283240"/>
      <w:r>
        <w:rPr>
          <w:rFonts w:cstheme="majorBidi"/>
        </w:rPr>
        <w:lastRenderedPageBreak/>
        <w:t>2</w:t>
      </w:r>
      <w:r w:rsidR="00424EC6" w:rsidRPr="00FE3F6E">
        <w:rPr>
          <w:rFonts w:cstheme="majorBidi"/>
        </w:rPr>
        <w:t>.2 Fichier de paramétrage Modèle</w:t>
      </w:r>
      <w:bookmarkStart w:id="18" w:name="_Toc131065322"/>
      <w:bookmarkEnd w:id="15"/>
      <w:bookmarkEnd w:id="16"/>
      <w:bookmarkEnd w:id="17"/>
    </w:p>
    <w:p w14:paraId="1CD61F90" w14:textId="107A5AD3" w:rsidR="00D27681" w:rsidRPr="00D27681" w:rsidRDefault="00D27681" w:rsidP="00D27681">
      <w:pPr>
        <w:jc w:val="both"/>
        <w:rPr>
          <w:lang w:eastAsia="ja-JP"/>
        </w:rPr>
      </w:pPr>
      <w:r>
        <w:rPr>
          <w:lang w:eastAsia="ja-JP"/>
        </w:rPr>
        <w:t>On dispose d’un fichier modèle dédié aux produits NMDs</w:t>
      </w:r>
      <w:r w:rsidR="00202A51">
        <w:rPr>
          <w:lang w:eastAsia="ja-JP"/>
        </w:rPr>
        <w:t xml:space="preserve">. Il permet </w:t>
      </w:r>
      <w:r>
        <w:rPr>
          <w:lang w:eastAsia="ja-JP"/>
        </w:rPr>
        <w:t>de stocker les paramètres des modèles utilisés</w:t>
      </w:r>
      <w:r w:rsidR="006504AE">
        <w:rPr>
          <w:lang w:eastAsia="ja-JP"/>
        </w:rPr>
        <w:t xml:space="preserve">. Ces paramètres </w:t>
      </w:r>
      <w:r w:rsidR="00C1207A">
        <w:rPr>
          <w:lang w:eastAsia="ja-JP"/>
        </w:rPr>
        <w:t>peuvent être sujets à modification</w:t>
      </w:r>
      <w:r>
        <w:rPr>
          <w:lang w:eastAsia="ja-JP"/>
        </w:rPr>
        <w:t xml:space="preserve"> chaque trimestre </w:t>
      </w:r>
      <w:r w:rsidR="00C1207A">
        <w:rPr>
          <w:lang w:eastAsia="ja-JP"/>
        </w:rPr>
        <w:t>et peuvent</w:t>
      </w:r>
      <w:r>
        <w:rPr>
          <w:lang w:eastAsia="ja-JP"/>
        </w:rPr>
        <w:t xml:space="preserve"> </w:t>
      </w:r>
      <w:r w:rsidR="003E328A">
        <w:rPr>
          <w:lang w:eastAsia="ja-JP"/>
        </w:rPr>
        <w:t xml:space="preserve">être </w:t>
      </w:r>
      <w:r w:rsidR="00C1207A">
        <w:rPr>
          <w:lang w:eastAsia="ja-JP"/>
        </w:rPr>
        <w:t xml:space="preserve">changés </w:t>
      </w:r>
      <w:r>
        <w:rPr>
          <w:lang w:eastAsia="ja-JP"/>
        </w:rPr>
        <w:t>par l’utilisateur dans le cadre de simulations ad hoc. Dans les paragraphes qui suivent, nous donnerons une description cursive des différents paramètres de ce fichier.</w:t>
      </w:r>
    </w:p>
    <w:p w14:paraId="6754C9CA" w14:textId="5DC9F123" w:rsidR="0088238A" w:rsidRDefault="007A4574" w:rsidP="00FE3F6E">
      <w:pPr>
        <w:pStyle w:val="Titre3"/>
      </w:pPr>
      <w:r>
        <w:t>2</w:t>
      </w:r>
      <w:r w:rsidR="00424EC6" w:rsidRPr="00FE3F6E">
        <w:t>.2.</w:t>
      </w:r>
      <w:r w:rsidR="00023A21">
        <w:t>1</w:t>
      </w:r>
      <w:r w:rsidR="00424EC6" w:rsidRPr="00FE3F6E">
        <w:t xml:space="preserve"> </w:t>
      </w:r>
      <w:bookmarkEnd w:id="18"/>
      <w:r w:rsidR="00753D77">
        <w:t>Les modèles d’écoulement</w:t>
      </w:r>
    </w:p>
    <w:p w14:paraId="17FEF62D" w14:textId="7C8BEC3A" w:rsidR="004808E3" w:rsidRDefault="00753D77" w:rsidP="00D22EA4">
      <w:pPr>
        <w:jc w:val="both"/>
        <w:rPr>
          <w:rFonts w:cstheme="majorBidi"/>
        </w:rPr>
      </w:pPr>
      <w:r w:rsidRPr="00753D77">
        <w:rPr>
          <w:noProof/>
        </w:rPr>
        <w:drawing>
          <wp:inline distT="0" distB="0" distL="0" distR="0" wp14:anchorId="69ABB9A4" wp14:editId="115D040C">
            <wp:extent cx="5760720" cy="5734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3405"/>
                    </a:xfrm>
                    <a:prstGeom prst="rect">
                      <a:avLst/>
                    </a:prstGeom>
                    <a:noFill/>
                    <a:ln>
                      <a:noFill/>
                    </a:ln>
                  </pic:spPr>
                </pic:pic>
              </a:graphicData>
            </a:graphic>
          </wp:inline>
        </w:drawing>
      </w:r>
    </w:p>
    <w:p w14:paraId="23619A39" w14:textId="47158045" w:rsidR="00EF7690" w:rsidRDefault="006B5095" w:rsidP="009311D0">
      <w:pPr>
        <w:jc w:val="both"/>
        <w:rPr>
          <w:rFonts w:cstheme="majorBidi"/>
        </w:rPr>
      </w:pPr>
      <w:r>
        <w:rPr>
          <w:rFonts w:cstheme="majorBidi"/>
        </w:rPr>
        <w:t xml:space="preserve">Chaque produit NMD est </w:t>
      </w:r>
      <w:r w:rsidR="00A04509">
        <w:rPr>
          <w:rFonts w:cstheme="majorBidi"/>
        </w:rPr>
        <w:t>décomposé</w:t>
      </w:r>
      <w:r>
        <w:rPr>
          <w:rFonts w:cstheme="majorBidi"/>
        </w:rPr>
        <w:t xml:space="preserve"> en parts stable et volatile. </w:t>
      </w:r>
      <w:r w:rsidR="002453B3">
        <w:rPr>
          <w:rFonts w:cstheme="majorBidi"/>
        </w:rPr>
        <w:t>Le</w:t>
      </w:r>
      <w:r>
        <w:rPr>
          <w:rFonts w:cstheme="majorBidi"/>
        </w:rPr>
        <w:t xml:space="preserve"> tableau</w:t>
      </w:r>
      <w:r w:rsidR="002453B3">
        <w:rPr>
          <w:rFonts w:cstheme="majorBidi"/>
        </w:rPr>
        <w:t xml:space="preserve"> ci-contre</w:t>
      </w:r>
      <w:r>
        <w:rPr>
          <w:rFonts w:cstheme="majorBidi"/>
        </w:rPr>
        <w:t xml:space="preserve"> associe à chaque type de produit NMD (CONTRAT * DEVISE * MARCHE etc.) un modèle d’écoulement </w:t>
      </w:r>
      <w:r w:rsidR="008658C4">
        <w:rPr>
          <w:rFonts w:cstheme="majorBidi"/>
        </w:rPr>
        <w:t>du stock et de la PN</w:t>
      </w:r>
      <w:r>
        <w:rPr>
          <w:rFonts w:cstheme="majorBidi"/>
        </w:rPr>
        <w:t>: le nombre de parts associée à chaque produit, leur poids respectif et le nom de leur profil d’écoul</w:t>
      </w:r>
      <w:r w:rsidR="006860F4">
        <w:rPr>
          <w:rFonts w:cstheme="majorBidi"/>
        </w:rPr>
        <w:t>e</w:t>
      </w:r>
      <w:r>
        <w:rPr>
          <w:rFonts w:cstheme="majorBidi"/>
        </w:rPr>
        <w:t>ment</w:t>
      </w:r>
      <w:r w:rsidR="005F4945">
        <w:rPr>
          <w:rFonts w:cstheme="majorBidi"/>
        </w:rPr>
        <w:t xml:space="preserve"> en fonction du signe du capital de départ du produit</w:t>
      </w:r>
      <w:r>
        <w:rPr>
          <w:rFonts w:cstheme="majorBidi"/>
        </w:rPr>
        <w:t>.</w:t>
      </w:r>
    </w:p>
    <w:p w14:paraId="432595F9" w14:textId="1923D38E" w:rsidR="00753D77" w:rsidRDefault="007A4574" w:rsidP="00753D77">
      <w:pPr>
        <w:pStyle w:val="Titre3"/>
      </w:pPr>
      <w:r>
        <w:t>2</w:t>
      </w:r>
      <w:r w:rsidR="00753D77">
        <w:t>.2.2 Les mappings des flux</w:t>
      </w:r>
    </w:p>
    <w:p w14:paraId="0E77B579" w14:textId="19C36D07" w:rsidR="002F08CF" w:rsidRDefault="002F08CF" w:rsidP="00AA63F3">
      <w:pPr>
        <w:jc w:val="both"/>
        <w:rPr>
          <w:lang w:eastAsia="ja-JP"/>
        </w:rPr>
      </w:pPr>
      <w:r>
        <w:rPr>
          <w:lang w:eastAsia="ja-JP"/>
        </w:rPr>
        <w:t xml:space="preserve">Le fichier modèle </w:t>
      </w:r>
      <w:r w:rsidR="002453B3">
        <w:rPr>
          <w:lang w:eastAsia="ja-JP"/>
        </w:rPr>
        <w:t>dispose</w:t>
      </w:r>
      <w:r>
        <w:rPr>
          <w:lang w:eastAsia="ja-JP"/>
        </w:rPr>
        <w:t xml:space="preserve"> de mappings qui permettent de cartographier les noms profils d’écoulements avec des identifiants de profils d’écoulements. On distingue trois types d’écoulement :</w:t>
      </w:r>
    </w:p>
    <w:p w14:paraId="1B841081" w14:textId="742F4349" w:rsidR="002F08CF" w:rsidRPr="002F08CF" w:rsidRDefault="002F08CF" w:rsidP="002F08CF">
      <w:pPr>
        <w:rPr>
          <w:lang w:eastAsia="ja-JP"/>
        </w:rPr>
      </w:pPr>
      <w:r>
        <w:rPr>
          <w:lang w:eastAsia="ja-JP"/>
        </w:rPr>
        <w:t>Les écoulements standard</w:t>
      </w:r>
      <w:r w:rsidR="00AA63F3">
        <w:rPr>
          <w:lang w:eastAsia="ja-JP"/>
        </w:rPr>
        <w:t xml:space="preserve"> </w:t>
      </w:r>
      <w:r>
        <w:rPr>
          <w:lang w:eastAsia="ja-JP"/>
        </w:rPr>
        <w:t>sont les écoulements prioritaires</w:t>
      </w:r>
      <w:r w:rsidR="00AA63F3">
        <w:rPr>
          <w:lang w:eastAsia="ja-JP"/>
        </w:rPr>
        <w:t> :</w:t>
      </w:r>
    </w:p>
    <w:p w14:paraId="6A3C0BDE" w14:textId="1D16847F" w:rsidR="00753D77" w:rsidRDefault="00753D77" w:rsidP="00F1314D">
      <w:pPr>
        <w:jc w:val="center"/>
        <w:rPr>
          <w:rFonts w:cstheme="majorBidi"/>
        </w:rPr>
      </w:pPr>
      <w:r w:rsidRPr="00753D77">
        <w:rPr>
          <w:noProof/>
        </w:rPr>
        <w:drawing>
          <wp:inline distT="0" distB="0" distL="0" distR="0" wp14:anchorId="5D5307DB" wp14:editId="2E1B6CF8">
            <wp:extent cx="3145155" cy="1835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155" cy="1835785"/>
                    </a:xfrm>
                    <a:prstGeom prst="rect">
                      <a:avLst/>
                    </a:prstGeom>
                    <a:noFill/>
                    <a:ln>
                      <a:noFill/>
                    </a:ln>
                  </pic:spPr>
                </pic:pic>
              </a:graphicData>
            </a:graphic>
          </wp:inline>
        </w:drawing>
      </w:r>
    </w:p>
    <w:p w14:paraId="2682B78E" w14:textId="7FC87A2E" w:rsidR="002F08CF" w:rsidRDefault="002F08CF" w:rsidP="002F08CF">
      <w:pPr>
        <w:rPr>
          <w:rFonts w:cstheme="majorBidi"/>
        </w:rPr>
      </w:pPr>
    </w:p>
    <w:p w14:paraId="49042E5F" w14:textId="5141DD96" w:rsidR="002F08CF" w:rsidRPr="002F08CF" w:rsidRDefault="002F08CF" w:rsidP="00D9658F">
      <w:pPr>
        <w:jc w:val="both"/>
        <w:rPr>
          <w:lang w:eastAsia="ja-JP"/>
        </w:rPr>
      </w:pPr>
      <w:r>
        <w:rPr>
          <w:lang w:eastAsia="ja-JP"/>
        </w:rPr>
        <w:t xml:space="preserve">Les écoulements à formule sont plus complexes et dépendent d’une formule </w:t>
      </w:r>
      <w:r w:rsidR="00AA63F3">
        <w:rPr>
          <w:lang w:eastAsia="ja-JP"/>
        </w:rPr>
        <w:t>déterminée</w:t>
      </w:r>
      <w:r>
        <w:rPr>
          <w:lang w:eastAsia="ja-JP"/>
        </w:rPr>
        <w:t xml:space="preserve"> par l’utilisateur</w:t>
      </w:r>
      <w:r w:rsidR="00AA63F3">
        <w:rPr>
          <w:lang w:eastAsia="ja-JP"/>
        </w:rPr>
        <w:t> :</w:t>
      </w:r>
    </w:p>
    <w:p w14:paraId="46323A74" w14:textId="731502B8" w:rsidR="00753D77" w:rsidRDefault="00753D77" w:rsidP="00F1314D">
      <w:pPr>
        <w:jc w:val="center"/>
        <w:rPr>
          <w:rFonts w:cstheme="majorBidi"/>
        </w:rPr>
      </w:pPr>
      <w:r w:rsidRPr="00753D77">
        <w:rPr>
          <w:noProof/>
        </w:rPr>
        <w:drawing>
          <wp:inline distT="0" distB="0" distL="0" distR="0" wp14:anchorId="6FFBB730" wp14:editId="41E7C247">
            <wp:extent cx="2424430" cy="7410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430" cy="741045"/>
                    </a:xfrm>
                    <a:prstGeom prst="rect">
                      <a:avLst/>
                    </a:prstGeom>
                    <a:noFill/>
                    <a:ln>
                      <a:noFill/>
                    </a:ln>
                  </pic:spPr>
                </pic:pic>
              </a:graphicData>
            </a:graphic>
          </wp:inline>
        </w:drawing>
      </w:r>
    </w:p>
    <w:p w14:paraId="21A6EA78" w14:textId="680A60B1" w:rsidR="002F08CF" w:rsidRPr="002F08CF" w:rsidRDefault="002F08CF" w:rsidP="00D9658F">
      <w:pPr>
        <w:jc w:val="both"/>
        <w:rPr>
          <w:lang w:eastAsia="ja-JP"/>
        </w:rPr>
      </w:pPr>
      <w:r>
        <w:rPr>
          <w:lang w:eastAsia="ja-JP"/>
        </w:rPr>
        <w:lastRenderedPageBreak/>
        <w:t>Les écoulements historiques interviennent lorsque ni un écoulement à formule ni un écoulement standard ne sont disponibles. Ce sont les écoulements par défaut</w:t>
      </w:r>
      <w:r w:rsidR="00D9658F">
        <w:rPr>
          <w:lang w:eastAsia="ja-JP"/>
        </w:rPr>
        <w:t> :</w:t>
      </w:r>
    </w:p>
    <w:p w14:paraId="06DDCEF8" w14:textId="75300AE2" w:rsidR="00753D77" w:rsidRDefault="00753D77" w:rsidP="002F08CF">
      <w:pPr>
        <w:jc w:val="center"/>
        <w:rPr>
          <w:rFonts w:cstheme="majorBidi"/>
        </w:rPr>
      </w:pPr>
      <w:r w:rsidRPr="00753D77">
        <w:rPr>
          <w:noProof/>
        </w:rPr>
        <w:drawing>
          <wp:inline distT="0" distB="0" distL="0" distR="0" wp14:anchorId="130AFF10" wp14:editId="42EE5AF1">
            <wp:extent cx="3041015" cy="1288415"/>
            <wp:effectExtent l="0" t="0" r="6985"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1288415"/>
                    </a:xfrm>
                    <a:prstGeom prst="rect">
                      <a:avLst/>
                    </a:prstGeom>
                    <a:noFill/>
                    <a:ln>
                      <a:noFill/>
                    </a:ln>
                  </pic:spPr>
                </pic:pic>
              </a:graphicData>
            </a:graphic>
          </wp:inline>
        </w:drawing>
      </w:r>
    </w:p>
    <w:p w14:paraId="3A59EF31" w14:textId="4F1E7836" w:rsidR="00753D77" w:rsidRDefault="007A4574" w:rsidP="00753D77">
      <w:pPr>
        <w:pStyle w:val="Titre3"/>
      </w:pPr>
      <w:r>
        <w:t>2</w:t>
      </w:r>
      <w:r w:rsidR="00753D77">
        <w:t>.2.3 Les profils d’écoulements</w:t>
      </w:r>
    </w:p>
    <w:p w14:paraId="5EF6900C" w14:textId="1584AA48" w:rsidR="002F08CF" w:rsidRDefault="002F08CF" w:rsidP="008556FD">
      <w:pPr>
        <w:jc w:val="both"/>
        <w:rPr>
          <w:lang w:eastAsia="ja-JP"/>
        </w:rPr>
      </w:pPr>
      <w:r>
        <w:rPr>
          <w:lang w:eastAsia="ja-JP"/>
        </w:rPr>
        <w:t>Les profils d</w:t>
      </w:r>
      <w:r w:rsidR="00241FD5">
        <w:rPr>
          <w:lang w:eastAsia="ja-JP"/>
        </w:rPr>
        <w:t>’é</w:t>
      </w:r>
      <w:r>
        <w:rPr>
          <w:lang w:eastAsia="ja-JP"/>
        </w:rPr>
        <w:t xml:space="preserve">coulements associent simplement des coefficients </w:t>
      </w:r>
      <w:r w:rsidR="00914CDB">
        <w:rPr>
          <w:lang w:eastAsia="ja-JP"/>
        </w:rPr>
        <w:t xml:space="preserve">mensuels </w:t>
      </w:r>
      <w:r>
        <w:rPr>
          <w:lang w:eastAsia="ja-JP"/>
        </w:rPr>
        <w:t xml:space="preserve">d’écoulements aux </w:t>
      </w:r>
      <w:r w:rsidR="00241FD5">
        <w:rPr>
          <w:lang w:eastAsia="ja-JP"/>
        </w:rPr>
        <w:t>modèles d’</w:t>
      </w:r>
      <w:r>
        <w:rPr>
          <w:lang w:eastAsia="ja-JP"/>
        </w:rPr>
        <w:t>écoulements stand</w:t>
      </w:r>
      <w:r w:rsidR="00914CDB">
        <w:rPr>
          <w:lang w:eastAsia="ja-JP"/>
        </w:rPr>
        <w:t>ard</w:t>
      </w:r>
      <w:r>
        <w:rPr>
          <w:lang w:eastAsia="ja-JP"/>
        </w:rPr>
        <w:t xml:space="preserve">s, à formule ou historiques présents dans les mappings. Ces coefficients peuvent être donnés en relatif (DATE_TYPE = R), c’est-à-dire </w:t>
      </w:r>
      <w:r w:rsidR="000379D8">
        <w:rPr>
          <w:lang w:eastAsia="ja-JP"/>
        </w:rPr>
        <w:t>qu’ils ne dépendent</w:t>
      </w:r>
      <w:r>
        <w:rPr>
          <w:lang w:eastAsia="ja-JP"/>
        </w:rPr>
        <w:t xml:space="preserve"> pas d’une date précise dans le calendrier</w:t>
      </w:r>
      <w:r w:rsidR="00C26E29">
        <w:rPr>
          <w:lang w:eastAsia="ja-JP"/>
        </w:rPr>
        <w:t>,</w:t>
      </w:r>
      <w:r>
        <w:rPr>
          <w:lang w:eastAsia="ja-JP"/>
        </w:rPr>
        <w:t xml:space="preserve"> ou en absolu (DATE_TYPE = A).</w:t>
      </w:r>
      <w:r w:rsidR="008658C4">
        <w:rPr>
          <w:lang w:eastAsia="ja-JP"/>
        </w:rPr>
        <w:t xml:space="preserve"> </w:t>
      </w:r>
    </w:p>
    <w:p w14:paraId="1D853FA2" w14:textId="4C45F1E8" w:rsidR="008658C4" w:rsidRPr="002F08CF" w:rsidRDefault="008658C4" w:rsidP="008556FD">
      <w:pPr>
        <w:jc w:val="both"/>
        <w:rPr>
          <w:lang w:eastAsia="ja-JP"/>
        </w:rPr>
      </w:pPr>
      <w:r>
        <w:rPr>
          <w:lang w:eastAsia="ja-JP"/>
        </w:rPr>
        <w:t>Chaque coefficient mensuel représente le pourcentage du capital de départ qui est perdu.</w:t>
      </w:r>
    </w:p>
    <w:p w14:paraId="31906B5B" w14:textId="6EA202E9" w:rsidR="00753D77" w:rsidRDefault="00753D77" w:rsidP="00D22EA4">
      <w:pPr>
        <w:jc w:val="both"/>
        <w:rPr>
          <w:rFonts w:cstheme="majorBidi"/>
        </w:rPr>
      </w:pPr>
      <w:r w:rsidRPr="00753D77">
        <w:rPr>
          <w:noProof/>
        </w:rPr>
        <w:drawing>
          <wp:inline distT="0" distB="0" distL="0" distR="0" wp14:anchorId="2B921392" wp14:editId="5504B566">
            <wp:extent cx="5760720" cy="25209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20950"/>
                    </a:xfrm>
                    <a:prstGeom prst="rect">
                      <a:avLst/>
                    </a:prstGeom>
                    <a:noFill/>
                    <a:ln>
                      <a:noFill/>
                    </a:ln>
                  </pic:spPr>
                </pic:pic>
              </a:graphicData>
            </a:graphic>
          </wp:inline>
        </w:drawing>
      </w:r>
    </w:p>
    <w:p w14:paraId="2957FEEA" w14:textId="513D3265" w:rsidR="00753D77" w:rsidRDefault="00753D77" w:rsidP="00D22EA4">
      <w:pPr>
        <w:jc w:val="both"/>
        <w:rPr>
          <w:rFonts w:cstheme="majorBidi"/>
        </w:rPr>
      </w:pPr>
    </w:p>
    <w:p w14:paraId="33C32ACD" w14:textId="614DD9B4" w:rsidR="00914CDB" w:rsidRDefault="00914CDB" w:rsidP="00D22EA4">
      <w:pPr>
        <w:jc w:val="both"/>
        <w:rPr>
          <w:rFonts w:cstheme="majorBidi"/>
        </w:rPr>
      </w:pPr>
    </w:p>
    <w:p w14:paraId="02A5C96D" w14:textId="2D2D17D1" w:rsidR="00914CDB" w:rsidRDefault="00914CDB" w:rsidP="00D22EA4">
      <w:pPr>
        <w:jc w:val="both"/>
        <w:rPr>
          <w:rFonts w:cstheme="majorBidi"/>
        </w:rPr>
      </w:pPr>
    </w:p>
    <w:p w14:paraId="35F76FC4" w14:textId="70877D94" w:rsidR="00914CDB" w:rsidRDefault="00914CDB" w:rsidP="00D22EA4">
      <w:pPr>
        <w:jc w:val="both"/>
        <w:rPr>
          <w:rFonts w:cstheme="majorBidi"/>
        </w:rPr>
      </w:pPr>
    </w:p>
    <w:p w14:paraId="18E98CA1" w14:textId="52C4CBB0" w:rsidR="00914CDB" w:rsidRDefault="00914CDB" w:rsidP="00D22EA4">
      <w:pPr>
        <w:jc w:val="both"/>
        <w:rPr>
          <w:rFonts w:cstheme="majorBidi"/>
        </w:rPr>
      </w:pPr>
    </w:p>
    <w:p w14:paraId="62C6F88D" w14:textId="77777777" w:rsidR="00914CDB" w:rsidRDefault="00914CDB" w:rsidP="00D22EA4">
      <w:pPr>
        <w:jc w:val="both"/>
        <w:rPr>
          <w:rFonts w:cstheme="majorBidi"/>
        </w:rPr>
      </w:pPr>
    </w:p>
    <w:p w14:paraId="5D4AD839" w14:textId="063A1C5B" w:rsidR="00B8296B" w:rsidRDefault="007A4574" w:rsidP="00DC12C6">
      <w:pPr>
        <w:pStyle w:val="Titre3"/>
      </w:pPr>
      <w:r>
        <w:lastRenderedPageBreak/>
        <w:t>2</w:t>
      </w:r>
      <w:r w:rsidR="00753D77">
        <w:t xml:space="preserve">.2.4 Les modèles pour les templates de PN </w:t>
      </w:r>
    </w:p>
    <w:p w14:paraId="4517F28C" w14:textId="1CD1C104" w:rsidR="00671F6F" w:rsidRDefault="00914CDB" w:rsidP="00914CDB">
      <w:pPr>
        <w:jc w:val="both"/>
        <w:rPr>
          <w:lang w:eastAsia="ja-JP"/>
        </w:rPr>
      </w:pPr>
      <w:r>
        <w:rPr>
          <w:lang w:eastAsia="ja-JP"/>
        </w:rPr>
        <w:t xml:space="preserve">Comme on va le voir par la suite, les encours cibles de PN sont donnés </w:t>
      </w:r>
      <w:r w:rsidR="00671F6F">
        <w:rPr>
          <w:lang w:eastAsia="ja-JP"/>
        </w:rPr>
        <w:t xml:space="preserve">à </w:t>
      </w:r>
      <w:r>
        <w:rPr>
          <w:lang w:eastAsia="ja-JP"/>
        </w:rPr>
        <w:t xml:space="preserve">des niveaux très agrégés. </w:t>
      </w:r>
      <w:r w:rsidR="00C26E29">
        <w:rPr>
          <w:rFonts w:cstheme="majorBidi"/>
          <w:lang w:eastAsia="ja-JP"/>
        </w:rPr>
        <w:t>À</w:t>
      </w:r>
      <w:r>
        <w:rPr>
          <w:lang w:eastAsia="ja-JP"/>
        </w:rPr>
        <w:t xml:space="preserve"> ces niveaux appelés </w:t>
      </w:r>
      <w:r w:rsidRPr="00671F6F">
        <w:rPr>
          <w:b/>
          <w:bCs/>
          <w:lang w:eastAsia="ja-JP"/>
        </w:rPr>
        <w:t>clés</w:t>
      </w:r>
      <w:r>
        <w:rPr>
          <w:lang w:eastAsia="ja-JP"/>
        </w:rPr>
        <w:t xml:space="preserve">, PASS-ALM va </w:t>
      </w:r>
      <w:r w:rsidR="00C26E29">
        <w:rPr>
          <w:lang w:eastAsia="ja-JP"/>
        </w:rPr>
        <w:t>associer</w:t>
      </w:r>
      <w:r>
        <w:rPr>
          <w:lang w:eastAsia="ja-JP"/>
        </w:rPr>
        <w:t xml:space="preserve"> des produits NMDs </w:t>
      </w:r>
      <w:r w:rsidR="00C26E29">
        <w:rPr>
          <w:lang w:eastAsia="ja-JP"/>
        </w:rPr>
        <w:t xml:space="preserve">dits </w:t>
      </w:r>
      <w:r w:rsidRPr="00671F6F">
        <w:rPr>
          <w:b/>
          <w:bCs/>
          <w:lang w:eastAsia="ja-JP"/>
        </w:rPr>
        <w:t>templates</w:t>
      </w:r>
      <w:r>
        <w:rPr>
          <w:lang w:eastAsia="ja-JP"/>
        </w:rPr>
        <w:t xml:space="preserve"> </w:t>
      </w:r>
      <w:r w:rsidR="00671F6F">
        <w:rPr>
          <w:lang w:eastAsia="ja-JP"/>
        </w:rPr>
        <w:t xml:space="preserve">dont les caractéristiques de projection sont </w:t>
      </w:r>
      <w:r w:rsidR="00C26E29">
        <w:rPr>
          <w:lang w:eastAsia="ja-JP"/>
        </w:rPr>
        <w:t>générés à partir</w:t>
      </w:r>
      <w:r>
        <w:rPr>
          <w:lang w:eastAsia="ja-JP"/>
        </w:rPr>
        <w:t xml:space="preserve"> des </w:t>
      </w:r>
      <w:r w:rsidR="000379D8">
        <w:rPr>
          <w:lang w:eastAsia="ja-JP"/>
        </w:rPr>
        <w:t>données</w:t>
      </w:r>
      <w:r>
        <w:rPr>
          <w:lang w:eastAsia="ja-JP"/>
        </w:rPr>
        <w:t xml:space="preserve"> réelles du stock </w:t>
      </w:r>
      <w:r w:rsidR="00C26E29">
        <w:rPr>
          <w:lang w:eastAsia="ja-JP"/>
        </w:rPr>
        <w:t>et dont ils sont censés être le reflet</w:t>
      </w:r>
      <w:r w:rsidR="00B93B32">
        <w:rPr>
          <w:lang w:eastAsia="ja-JP"/>
        </w:rPr>
        <w:t xml:space="preserve">. </w:t>
      </w:r>
    </w:p>
    <w:p w14:paraId="7E5E8E72" w14:textId="342129E5" w:rsidR="00914CDB" w:rsidRDefault="00B93B32" w:rsidP="00914CDB">
      <w:pPr>
        <w:jc w:val="both"/>
        <w:rPr>
          <w:lang w:eastAsia="ja-JP"/>
        </w:rPr>
      </w:pPr>
      <w:r>
        <w:rPr>
          <w:lang w:eastAsia="ja-JP"/>
        </w:rPr>
        <w:t xml:space="preserve">Ces templates seront projetés afin de calculer les </w:t>
      </w:r>
      <w:r w:rsidR="00C804A2">
        <w:rPr>
          <w:lang w:eastAsia="ja-JP"/>
        </w:rPr>
        <w:t>écoulements</w:t>
      </w:r>
      <w:r>
        <w:rPr>
          <w:lang w:eastAsia="ja-JP"/>
        </w:rPr>
        <w:t xml:space="preserve"> des PN</w:t>
      </w:r>
      <w:r w:rsidR="00921F07">
        <w:rPr>
          <w:lang w:eastAsia="ja-JP"/>
        </w:rPr>
        <w:t>s</w:t>
      </w:r>
      <w:r>
        <w:rPr>
          <w:lang w:eastAsia="ja-JP"/>
        </w:rPr>
        <w:t xml:space="preserve"> des NMDs.</w:t>
      </w:r>
    </w:p>
    <w:p w14:paraId="2FC0C244" w14:textId="2E6F3C5D" w:rsidR="00914CDB" w:rsidRPr="00914CDB" w:rsidRDefault="00914CDB" w:rsidP="00C26E29">
      <w:pPr>
        <w:jc w:val="both"/>
        <w:rPr>
          <w:lang w:eastAsia="ja-JP"/>
        </w:rPr>
      </w:pPr>
      <w:r w:rsidRPr="00914CDB">
        <w:rPr>
          <w:lang w:eastAsia="ja-JP"/>
        </w:rPr>
        <w:t>L</w:t>
      </w:r>
      <w:r w:rsidR="000379D8">
        <w:rPr>
          <w:lang w:eastAsia="ja-JP"/>
        </w:rPr>
        <w:t>es informations sur la méthodologie de génération</w:t>
      </w:r>
      <w:r w:rsidRPr="00914CDB">
        <w:rPr>
          <w:lang w:eastAsia="ja-JP"/>
        </w:rPr>
        <w:t xml:space="preserve"> </w:t>
      </w:r>
      <w:r w:rsidR="000379D8">
        <w:rPr>
          <w:lang w:eastAsia="ja-JP"/>
        </w:rPr>
        <w:t xml:space="preserve">des </w:t>
      </w:r>
      <w:r w:rsidRPr="00914CDB">
        <w:rPr>
          <w:lang w:eastAsia="ja-JP"/>
        </w:rPr>
        <w:t>t</w:t>
      </w:r>
      <w:r>
        <w:rPr>
          <w:lang w:eastAsia="ja-JP"/>
        </w:rPr>
        <w:t xml:space="preserve">emplates </w:t>
      </w:r>
      <w:r w:rsidR="000379D8">
        <w:rPr>
          <w:lang w:eastAsia="ja-JP"/>
        </w:rPr>
        <w:t xml:space="preserve">sont consignées </w:t>
      </w:r>
      <w:r>
        <w:rPr>
          <w:lang w:eastAsia="ja-JP"/>
        </w:rPr>
        <w:t xml:space="preserve">dans les onglets </w:t>
      </w:r>
      <w:r w:rsidR="008B7652">
        <w:rPr>
          <w:b/>
          <w:bCs/>
          <w:i/>
          <w:iCs/>
          <w:lang w:eastAsia="ja-JP"/>
        </w:rPr>
        <w:t>BPCE ALLOC SET</w:t>
      </w:r>
      <w:r>
        <w:rPr>
          <w:lang w:eastAsia="ja-JP"/>
        </w:rPr>
        <w:t xml:space="preserve"> et </w:t>
      </w:r>
      <w:r w:rsidR="008B7652">
        <w:rPr>
          <w:b/>
          <w:bCs/>
          <w:i/>
          <w:iCs/>
          <w:lang w:eastAsia="ja-JP"/>
        </w:rPr>
        <w:t>SML ALLOC ITEM</w:t>
      </w:r>
      <w:r>
        <w:rPr>
          <w:lang w:eastAsia="ja-JP"/>
        </w:rPr>
        <w:t xml:space="preserve"> du fichier modèle.</w:t>
      </w:r>
    </w:p>
    <w:p w14:paraId="1B25A8C2" w14:textId="7EE9E9ED" w:rsidR="00753D77" w:rsidRPr="00914CDB" w:rsidRDefault="00753D77" w:rsidP="00FE3F6E">
      <w:pPr>
        <w:jc w:val="both"/>
        <w:rPr>
          <w:rFonts w:cstheme="majorBidi"/>
          <w:b/>
          <w:bCs/>
          <w:i/>
          <w:iCs/>
          <w:lang w:val="en-US"/>
        </w:rPr>
      </w:pPr>
      <w:r w:rsidRPr="00914CDB">
        <w:rPr>
          <w:rFonts w:cstheme="majorBidi"/>
          <w:b/>
          <w:bCs/>
          <w:i/>
          <w:iCs/>
          <w:lang w:val="en-US"/>
        </w:rPr>
        <w:t xml:space="preserve">Onglet : </w:t>
      </w:r>
      <w:r w:rsidR="008B7652">
        <w:rPr>
          <w:b/>
          <w:bCs/>
          <w:i/>
          <w:iCs/>
          <w:lang w:eastAsia="ja-JP"/>
        </w:rPr>
        <w:t>BPCE ALLOC SET</w:t>
      </w:r>
    </w:p>
    <w:p w14:paraId="54366CFE" w14:textId="3C2D1CFF" w:rsidR="00753D77" w:rsidRDefault="00753D77" w:rsidP="00FE3F6E">
      <w:pPr>
        <w:jc w:val="both"/>
        <w:rPr>
          <w:rFonts w:cstheme="majorBidi"/>
        </w:rPr>
      </w:pPr>
      <w:r w:rsidRPr="00753D77">
        <w:rPr>
          <w:noProof/>
        </w:rPr>
        <w:drawing>
          <wp:inline distT="0" distB="0" distL="0" distR="0" wp14:anchorId="3530E78C" wp14:editId="38BDA6B3">
            <wp:extent cx="5760720" cy="909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909320"/>
                    </a:xfrm>
                    <a:prstGeom prst="rect">
                      <a:avLst/>
                    </a:prstGeom>
                    <a:noFill/>
                    <a:ln>
                      <a:noFill/>
                    </a:ln>
                  </pic:spPr>
                </pic:pic>
              </a:graphicData>
            </a:graphic>
          </wp:inline>
        </w:drawing>
      </w:r>
    </w:p>
    <w:p w14:paraId="29BE39DB" w14:textId="46615C6B" w:rsidR="00753D77" w:rsidRPr="00F1314D" w:rsidRDefault="00753D77" w:rsidP="00FE3F6E">
      <w:pPr>
        <w:jc w:val="both"/>
        <w:rPr>
          <w:rFonts w:cstheme="majorBidi"/>
          <w:b/>
          <w:bCs/>
          <w:i/>
          <w:iCs/>
        </w:rPr>
      </w:pPr>
      <w:r w:rsidRPr="00F1314D">
        <w:rPr>
          <w:rFonts w:cstheme="majorBidi"/>
          <w:b/>
          <w:bCs/>
          <w:i/>
          <w:iCs/>
        </w:rPr>
        <w:t xml:space="preserve">ONGLET : </w:t>
      </w:r>
      <w:r w:rsidR="008B7652">
        <w:rPr>
          <w:rFonts w:cstheme="majorBidi"/>
          <w:b/>
          <w:bCs/>
          <w:i/>
          <w:iCs/>
        </w:rPr>
        <w:t>SML ALLOC ITEM</w:t>
      </w:r>
    </w:p>
    <w:p w14:paraId="45CD1876" w14:textId="326E0710" w:rsidR="00F605AB" w:rsidRDefault="00753D77" w:rsidP="004808B9">
      <w:pPr>
        <w:rPr>
          <w:rFonts w:cstheme="majorBidi"/>
        </w:rPr>
      </w:pPr>
      <w:bookmarkStart w:id="19" w:name="_Toc131065324"/>
      <w:bookmarkStart w:id="20" w:name="_Toc131065707"/>
      <w:r w:rsidRPr="00753D77">
        <w:rPr>
          <w:noProof/>
        </w:rPr>
        <w:drawing>
          <wp:inline distT="0" distB="0" distL="0" distR="0" wp14:anchorId="5E967B0D" wp14:editId="4C1C10EE">
            <wp:extent cx="5760720" cy="776605"/>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76605"/>
                    </a:xfrm>
                    <a:prstGeom prst="rect">
                      <a:avLst/>
                    </a:prstGeom>
                    <a:noFill/>
                    <a:ln>
                      <a:noFill/>
                    </a:ln>
                  </pic:spPr>
                </pic:pic>
              </a:graphicData>
            </a:graphic>
          </wp:inline>
        </w:drawing>
      </w:r>
    </w:p>
    <w:p w14:paraId="69FC1447" w14:textId="61D692D4" w:rsidR="007F5F09" w:rsidRPr="00FE3F6E" w:rsidRDefault="007A4574" w:rsidP="00FE3F6E">
      <w:pPr>
        <w:pStyle w:val="Titre2"/>
        <w:rPr>
          <w:rFonts w:cstheme="majorBidi"/>
        </w:rPr>
      </w:pPr>
      <w:bookmarkStart w:id="21" w:name="_Toc169283241"/>
      <w:r>
        <w:rPr>
          <w:rFonts w:cstheme="majorBidi"/>
        </w:rPr>
        <w:t>2</w:t>
      </w:r>
      <w:r w:rsidR="00424EC6" w:rsidRPr="00FE3F6E">
        <w:rPr>
          <w:rFonts w:cstheme="majorBidi"/>
        </w:rPr>
        <w:t>.3 Scénarios de taux</w:t>
      </w:r>
      <w:bookmarkEnd w:id="19"/>
      <w:bookmarkEnd w:id="20"/>
      <w:bookmarkEnd w:id="21"/>
    </w:p>
    <w:p w14:paraId="005065B0" w14:textId="55422769" w:rsidR="00BF38CD" w:rsidRPr="00FE3F6E" w:rsidRDefault="00D22EA4" w:rsidP="001C7829">
      <w:pPr>
        <w:jc w:val="both"/>
        <w:rPr>
          <w:rFonts w:cstheme="majorBidi"/>
        </w:rPr>
      </w:pPr>
      <w:r>
        <w:rPr>
          <w:rFonts w:cstheme="majorBidi"/>
        </w:rPr>
        <w:t>Les s</w:t>
      </w:r>
      <w:r w:rsidR="007F5F09" w:rsidRPr="00FE3F6E">
        <w:rPr>
          <w:rFonts w:cstheme="majorBidi"/>
        </w:rPr>
        <w:t xml:space="preserve">cénarios de taux </w:t>
      </w:r>
      <w:r w:rsidR="002572F2">
        <w:rPr>
          <w:rFonts w:cstheme="majorBidi"/>
        </w:rPr>
        <w:t xml:space="preserve">(taux CMS lissés) </w:t>
      </w:r>
      <w:r>
        <w:rPr>
          <w:rFonts w:cstheme="majorBidi"/>
        </w:rPr>
        <w:t xml:space="preserve">sont </w:t>
      </w:r>
      <w:r w:rsidR="007F5F09" w:rsidRPr="00FE3F6E">
        <w:rPr>
          <w:rFonts w:cstheme="majorBidi"/>
        </w:rPr>
        <w:t>fournis par l’utilisateur</w:t>
      </w:r>
      <w:r w:rsidR="001C7829">
        <w:rPr>
          <w:rFonts w:cstheme="majorBidi"/>
        </w:rPr>
        <w:t xml:space="preserve"> sur l’ensemble des index et des devises nécessaires</w:t>
      </w:r>
      <w:r w:rsidR="007F5F09" w:rsidRPr="00FE3F6E">
        <w:rPr>
          <w:rFonts w:cstheme="majorBidi"/>
        </w:rPr>
        <w:t xml:space="preserve">. </w:t>
      </w:r>
    </w:p>
    <w:p w14:paraId="6DCBE341" w14:textId="4804B296" w:rsidR="00E910CA" w:rsidRDefault="007A4574" w:rsidP="00E910CA">
      <w:pPr>
        <w:pStyle w:val="Titre2"/>
        <w:rPr>
          <w:rFonts w:cstheme="majorBidi"/>
        </w:rPr>
      </w:pPr>
      <w:bookmarkStart w:id="22" w:name="_Toc169283242"/>
      <w:r>
        <w:rPr>
          <w:rFonts w:cstheme="majorBidi"/>
        </w:rPr>
        <w:t>2</w:t>
      </w:r>
      <w:r w:rsidR="00E910CA" w:rsidRPr="00FE3F6E">
        <w:rPr>
          <w:rFonts w:cstheme="majorBidi"/>
        </w:rPr>
        <w:t>.</w:t>
      </w:r>
      <w:r w:rsidR="00E910CA">
        <w:rPr>
          <w:rFonts w:cstheme="majorBidi"/>
        </w:rPr>
        <w:t>5</w:t>
      </w:r>
      <w:r w:rsidR="00E910CA" w:rsidRPr="00FE3F6E">
        <w:rPr>
          <w:rFonts w:cstheme="majorBidi"/>
        </w:rPr>
        <w:t xml:space="preserve"> </w:t>
      </w:r>
      <w:r w:rsidR="00E910CA">
        <w:rPr>
          <w:rFonts w:cstheme="majorBidi"/>
        </w:rPr>
        <w:t>Périmètre</w:t>
      </w:r>
      <w:bookmarkEnd w:id="22"/>
    </w:p>
    <w:p w14:paraId="5E26F33E" w14:textId="4460D19D" w:rsidR="00E910CA" w:rsidRDefault="00E910CA" w:rsidP="00E910CA">
      <w:pPr>
        <w:jc w:val="both"/>
        <w:rPr>
          <w:rFonts w:cstheme="majorBidi"/>
        </w:rPr>
      </w:pPr>
      <w:r w:rsidRPr="00FE3F6E">
        <w:rPr>
          <w:rFonts w:cstheme="majorBidi"/>
        </w:rPr>
        <w:t>L</w:t>
      </w:r>
      <w:r>
        <w:rPr>
          <w:rFonts w:cstheme="majorBidi"/>
        </w:rPr>
        <w:t xml:space="preserve">e périmètre des contrats </w:t>
      </w:r>
      <w:r w:rsidR="00DC12C6">
        <w:rPr>
          <w:rFonts w:cstheme="majorBidi"/>
        </w:rPr>
        <w:t xml:space="preserve">de type NMD </w:t>
      </w:r>
      <w:r w:rsidR="008E65B1">
        <w:rPr>
          <w:rFonts w:cstheme="majorBidi"/>
        </w:rPr>
        <w:t xml:space="preserve">considéré </w:t>
      </w:r>
      <w:r w:rsidR="00DC12C6">
        <w:rPr>
          <w:rFonts w:cstheme="majorBidi"/>
        </w:rPr>
        <w:t>comprend l’exhaustivité des contrats NMD du groupe BPCE, à l’exception des produits PEL qui font l’objet d’un traitement différencié :</w:t>
      </w:r>
      <w:r>
        <w:rPr>
          <w:rFonts w:cstheme="majorBidi"/>
        </w:rPr>
        <w:t xml:space="preserve"> </w:t>
      </w:r>
    </w:p>
    <w:p w14:paraId="60BAE596" w14:textId="4FFD5793" w:rsidR="00F1314D" w:rsidRPr="003421D0" w:rsidRDefault="00753D77" w:rsidP="003421D0">
      <w:pPr>
        <w:pStyle w:val="Paragraphedeliste"/>
        <w:jc w:val="both"/>
        <w:rPr>
          <w:rFonts w:cstheme="majorBidi"/>
        </w:rPr>
      </w:pPr>
      <w:r w:rsidRPr="00753D77">
        <w:rPr>
          <w:rFonts w:cstheme="majorBidi"/>
          <w:noProof/>
        </w:rPr>
        <w:lastRenderedPageBreak/>
        <w:drawing>
          <wp:inline distT="0" distB="0" distL="0" distR="0" wp14:anchorId="03646F4A" wp14:editId="03560C69">
            <wp:extent cx="5760720" cy="2217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17420"/>
                    </a:xfrm>
                    <a:prstGeom prst="rect">
                      <a:avLst/>
                    </a:prstGeom>
                  </pic:spPr>
                </pic:pic>
              </a:graphicData>
            </a:graphic>
          </wp:inline>
        </w:drawing>
      </w:r>
      <w:r w:rsidR="005241E7">
        <w:rPr>
          <w:rFonts w:cstheme="majorBidi"/>
        </w:rPr>
        <w:t xml:space="preserve"> </w:t>
      </w:r>
      <w:bookmarkStart w:id="23" w:name="_Toc131063854"/>
      <w:bookmarkStart w:id="24" w:name="_Toc131065326"/>
      <w:bookmarkStart w:id="25" w:name="_Toc131065709"/>
    </w:p>
    <w:p w14:paraId="04ADB3FB" w14:textId="0624D8B1" w:rsidR="00587553" w:rsidRPr="00D22EA4" w:rsidRDefault="007A4574" w:rsidP="00D22EA4">
      <w:pPr>
        <w:pStyle w:val="Titre1"/>
      </w:pPr>
      <w:bookmarkStart w:id="26" w:name="_Toc169283243"/>
      <w:r>
        <w:t>3</w:t>
      </w:r>
      <w:r w:rsidR="006834D1" w:rsidRPr="00D22EA4">
        <w:t xml:space="preserve">. </w:t>
      </w:r>
      <w:r w:rsidR="00587553" w:rsidRPr="00D22EA4">
        <w:t>Modélisation</w:t>
      </w:r>
      <w:bookmarkEnd w:id="23"/>
      <w:bookmarkEnd w:id="24"/>
      <w:bookmarkEnd w:id="25"/>
      <w:bookmarkEnd w:id="26"/>
    </w:p>
    <w:p w14:paraId="4F92AA4E" w14:textId="2AA0ED47" w:rsidR="002920BC" w:rsidRDefault="007A4574" w:rsidP="000F3F99">
      <w:pPr>
        <w:pStyle w:val="Titre2"/>
        <w:ind w:left="708" w:hanging="424"/>
        <w:rPr>
          <w:rFonts w:cstheme="majorBidi"/>
        </w:rPr>
      </w:pPr>
      <w:bookmarkStart w:id="27" w:name="_Toc169283244"/>
      <w:r>
        <w:rPr>
          <w:rFonts w:cstheme="majorBidi"/>
        </w:rPr>
        <w:t>3.</w:t>
      </w:r>
      <w:r w:rsidR="00F605AB">
        <w:rPr>
          <w:rFonts w:cstheme="majorBidi"/>
        </w:rPr>
        <w:t>1</w:t>
      </w:r>
      <w:r w:rsidR="002920BC" w:rsidRPr="00FE3F6E">
        <w:rPr>
          <w:rFonts w:cstheme="majorBidi"/>
        </w:rPr>
        <w:t xml:space="preserve"> </w:t>
      </w:r>
      <w:r w:rsidR="00F1314D">
        <w:rPr>
          <w:rFonts w:cstheme="majorBidi"/>
        </w:rPr>
        <w:t>Détermination</w:t>
      </w:r>
      <w:r w:rsidR="000B15BE">
        <w:rPr>
          <w:rFonts w:cstheme="majorBidi"/>
        </w:rPr>
        <w:t xml:space="preserve"> </w:t>
      </w:r>
      <w:r w:rsidR="00F1314D">
        <w:rPr>
          <w:rFonts w:cstheme="majorBidi"/>
        </w:rPr>
        <w:t>des</w:t>
      </w:r>
      <w:r w:rsidR="000B15BE">
        <w:rPr>
          <w:rFonts w:cstheme="majorBidi"/>
        </w:rPr>
        <w:t xml:space="preserve"> </w:t>
      </w:r>
      <w:r w:rsidR="000F3F99">
        <w:rPr>
          <w:rFonts w:cstheme="majorBidi"/>
        </w:rPr>
        <w:t>taux d’in</w:t>
      </w:r>
      <w:r w:rsidR="00F605AB">
        <w:rPr>
          <w:rFonts w:cstheme="majorBidi"/>
        </w:rPr>
        <w:t>t</w:t>
      </w:r>
      <w:r w:rsidR="000F3F99">
        <w:rPr>
          <w:rFonts w:cstheme="majorBidi"/>
        </w:rPr>
        <w:t>érêt</w:t>
      </w:r>
      <w:r w:rsidR="00753D77">
        <w:rPr>
          <w:rFonts w:cstheme="majorBidi"/>
        </w:rPr>
        <w:t xml:space="preserve"> pour les</w:t>
      </w:r>
      <w:r w:rsidR="00F1314D">
        <w:rPr>
          <w:rFonts w:cstheme="majorBidi"/>
        </w:rPr>
        <w:t xml:space="preserve"> produits à taux variable</w:t>
      </w:r>
      <w:bookmarkEnd w:id="27"/>
    </w:p>
    <w:p w14:paraId="3023CD6B" w14:textId="7E6861D9" w:rsidR="00F1314D" w:rsidRDefault="00F1314D" w:rsidP="00F605AB">
      <w:pPr>
        <w:jc w:val="both"/>
        <w:rPr>
          <w:rFonts w:cstheme="majorBidi"/>
          <w:lang w:eastAsia="ja-JP"/>
        </w:rPr>
      </w:pPr>
      <w:bookmarkStart w:id="28" w:name="_Toc131063856"/>
      <w:bookmarkStart w:id="29" w:name="_Toc131065328"/>
      <w:bookmarkStart w:id="30" w:name="_Toc131065711"/>
      <w:r>
        <w:rPr>
          <w:rFonts w:cstheme="majorBidi"/>
          <w:lang w:eastAsia="ja-JP"/>
        </w:rPr>
        <w:t>La détermination des taux d’intérêts par pas de projection pour les produits à taux variable comprend plusieurs étapes :</w:t>
      </w:r>
    </w:p>
    <w:p w14:paraId="3CD7B6E5" w14:textId="77777777" w:rsidR="00F1314D" w:rsidRDefault="00F1314D" w:rsidP="00F1314D">
      <w:pPr>
        <w:ind w:firstLine="708"/>
        <w:jc w:val="both"/>
        <w:rPr>
          <w:rFonts w:cstheme="majorBidi"/>
          <w:lang w:eastAsia="ja-JP"/>
        </w:rPr>
      </w:pPr>
      <w:r>
        <w:rPr>
          <w:rFonts w:cstheme="majorBidi"/>
          <w:lang w:eastAsia="ja-JP"/>
        </w:rPr>
        <w:t>1.En premier lieu, la détermination de l’index de taux associé à chaque produit</w:t>
      </w:r>
    </w:p>
    <w:p w14:paraId="6799335F" w14:textId="77777777" w:rsidR="00F1314D" w:rsidRDefault="00F1314D" w:rsidP="00F1314D">
      <w:pPr>
        <w:ind w:firstLine="708"/>
        <w:jc w:val="both"/>
        <w:rPr>
          <w:rFonts w:cstheme="majorBidi"/>
          <w:lang w:eastAsia="ja-JP"/>
        </w:rPr>
      </w:pPr>
      <w:r>
        <w:rPr>
          <w:rFonts w:cstheme="majorBidi"/>
          <w:lang w:eastAsia="ja-JP"/>
        </w:rPr>
        <w:t>2. Le rebasage des taux en fonction de la convention de base de la courbe de taux et du contrat</w:t>
      </w:r>
    </w:p>
    <w:p w14:paraId="40A4F500" w14:textId="77777777" w:rsidR="00F1314D" w:rsidRDefault="00F1314D" w:rsidP="00F1314D">
      <w:pPr>
        <w:ind w:firstLine="708"/>
        <w:jc w:val="both"/>
        <w:rPr>
          <w:rFonts w:cstheme="majorBidi"/>
          <w:lang w:eastAsia="ja-JP"/>
        </w:rPr>
      </w:pPr>
      <w:r>
        <w:rPr>
          <w:rFonts w:cstheme="majorBidi"/>
          <w:lang w:eastAsia="ja-JP"/>
        </w:rPr>
        <w:t>3. La périodisation des taux en fonction de la fréquence de refixing du produit</w:t>
      </w:r>
    </w:p>
    <w:p w14:paraId="4E17016A" w14:textId="5EDD9C1C" w:rsidR="00F1314D" w:rsidRDefault="00F1314D" w:rsidP="00F1314D">
      <w:pPr>
        <w:ind w:firstLine="708"/>
        <w:jc w:val="both"/>
        <w:rPr>
          <w:rFonts w:cstheme="majorBidi"/>
          <w:lang w:eastAsia="ja-JP"/>
        </w:rPr>
      </w:pPr>
      <w:r>
        <w:rPr>
          <w:rFonts w:cstheme="majorBidi"/>
          <w:lang w:eastAsia="ja-JP"/>
        </w:rPr>
        <w:t xml:space="preserve">4. La détermination du taux d’intérêt pour les pas de projection qui précèdent la date </w:t>
      </w:r>
    </w:p>
    <w:p w14:paraId="3D428AA9" w14:textId="29ABC3F0" w:rsidR="00F1314D" w:rsidRDefault="00F1314D" w:rsidP="00F1314D">
      <w:pPr>
        <w:ind w:firstLine="708"/>
        <w:jc w:val="both"/>
        <w:rPr>
          <w:rFonts w:cstheme="majorBidi"/>
          <w:lang w:eastAsia="ja-JP"/>
        </w:rPr>
      </w:pPr>
      <w:r>
        <w:rPr>
          <w:rFonts w:cstheme="majorBidi"/>
          <w:lang w:eastAsia="ja-JP"/>
        </w:rPr>
        <w:t xml:space="preserve">     de fixing</w:t>
      </w:r>
      <w:r w:rsidR="00DA0A3F">
        <w:rPr>
          <w:rFonts w:cstheme="majorBidi"/>
          <w:lang w:eastAsia="ja-JP"/>
        </w:rPr>
        <w:t xml:space="preserve"> la plus proche</w:t>
      </w:r>
      <w:r>
        <w:rPr>
          <w:rFonts w:cstheme="majorBidi"/>
          <w:lang w:eastAsia="ja-JP"/>
        </w:rPr>
        <w:t>.</w:t>
      </w:r>
    </w:p>
    <w:p w14:paraId="224AB154" w14:textId="77777777" w:rsidR="00F1314D" w:rsidRDefault="00F1314D" w:rsidP="00F1314D">
      <w:pPr>
        <w:ind w:firstLine="708"/>
        <w:jc w:val="both"/>
        <w:rPr>
          <w:rFonts w:cstheme="majorBidi"/>
          <w:lang w:eastAsia="ja-JP"/>
        </w:rPr>
      </w:pPr>
      <w:r>
        <w:rPr>
          <w:rFonts w:cstheme="majorBidi"/>
          <w:lang w:eastAsia="ja-JP"/>
        </w:rPr>
        <w:t>5.  L’application du market spread</w:t>
      </w:r>
    </w:p>
    <w:p w14:paraId="17770A1B" w14:textId="059A8B2C" w:rsidR="00F1314D" w:rsidRDefault="00F1314D" w:rsidP="00F1314D">
      <w:pPr>
        <w:ind w:firstLine="708"/>
        <w:jc w:val="both"/>
        <w:rPr>
          <w:rFonts w:cstheme="majorBidi"/>
          <w:lang w:eastAsia="ja-JP"/>
        </w:rPr>
      </w:pPr>
      <w:r>
        <w:rPr>
          <w:rFonts w:cstheme="majorBidi"/>
          <w:lang w:eastAsia="ja-JP"/>
        </w:rPr>
        <w:t xml:space="preserve">6. L’application des cap et floor. </w:t>
      </w:r>
    </w:p>
    <w:p w14:paraId="10CB5C33" w14:textId="0B9630B7" w:rsidR="00F605AB" w:rsidRPr="00F605AB" w:rsidRDefault="00F1314D" w:rsidP="00F605AB">
      <w:pPr>
        <w:jc w:val="both"/>
        <w:rPr>
          <w:rFonts w:cstheme="majorBidi"/>
          <w:lang w:eastAsia="ja-JP"/>
        </w:rPr>
      </w:pPr>
      <w:r>
        <w:rPr>
          <w:rFonts w:cstheme="majorBidi"/>
          <w:lang w:eastAsia="ja-JP"/>
        </w:rPr>
        <w:t>Pour plus de précisions sur ces étapes</w:t>
      </w:r>
      <w:r w:rsidR="00E71A10">
        <w:rPr>
          <w:rFonts w:cstheme="majorBidi"/>
          <w:lang w:eastAsia="ja-JP"/>
        </w:rPr>
        <w:t>,</w:t>
      </w:r>
      <w:r>
        <w:rPr>
          <w:rFonts w:cstheme="majorBidi"/>
          <w:lang w:eastAsia="ja-JP"/>
        </w:rPr>
        <w:t xml:space="preserve"> se référer au document des modèles échéancés.</w:t>
      </w:r>
    </w:p>
    <w:p w14:paraId="06E58B16" w14:textId="06B47760" w:rsidR="00AB0707" w:rsidRPr="00FE3F6E" w:rsidRDefault="007A4574" w:rsidP="00FE3F6E">
      <w:pPr>
        <w:pStyle w:val="Titre2"/>
        <w:rPr>
          <w:rFonts w:cstheme="majorBidi"/>
        </w:rPr>
      </w:pPr>
      <w:bookmarkStart w:id="31" w:name="_Toc169283245"/>
      <w:r>
        <w:rPr>
          <w:rFonts w:cstheme="majorBidi"/>
        </w:rPr>
        <w:t>3.</w:t>
      </w:r>
      <w:r w:rsidR="00F605AB">
        <w:rPr>
          <w:rFonts w:cstheme="majorBidi"/>
        </w:rPr>
        <w:t>2</w:t>
      </w:r>
      <w:r w:rsidR="006834D1" w:rsidRPr="00FE3F6E">
        <w:rPr>
          <w:rFonts w:cstheme="majorBidi"/>
        </w:rPr>
        <w:t xml:space="preserve"> </w:t>
      </w:r>
      <w:r w:rsidR="00F605AB">
        <w:rPr>
          <w:rFonts w:cstheme="majorBidi"/>
        </w:rPr>
        <w:t>Ecoulement</w:t>
      </w:r>
      <w:r w:rsidR="00AB0707" w:rsidRPr="00FE3F6E">
        <w:rPr>
          <w:rFonts w:cstheme="majorBidi"/>
        </w:rPr>
        <w:t xml:space="preserve"> des contrats</w:t>
      </w:r>
      <w:bookmarkEnd w:id="28"/>
      <w:bookmarkEnd w:id="29"/>
      <w:bookmarkEnd w:id="30"/>
      <w:r w:rsidR="00F605AB">
        <w:rPr>
          <w:rFonts w:cstheme="majorBidi"/>
        </w:rPr>
        <w:t xml:space="preserve"> du stock</w:t>
      </w:r>
      <w:bookmarkEnd w:id="31"/>
    </w:p>
    <w:p w14:paraId="2D33AECD" w14:textId="778E265E" w:rsidR="002D0991" w:rsidRDefault="00F605AB" w:rsidP="002D0991">
      <w:pPr>
        <w:jc w:val="both"/>
      </w:pPr>
      <w:bookmarkStart w:id="32" w:name="_Toc131063857"/>
      <w:bookmarkStart w:id="33" w:name="_Toc131065329"/>
      <w:bookmarkStart w:id="34" w:name="_Toc131065712"/>
      <w:r w:rsidRPr="00C63D43">
        <w:t xml:space="preserve">Un produit NMD ou </w:t>
      </w:r>
      <w:r w:rsidRPr="004B1936">
        <w:rPr>
          <w:i/>
          <w:iCs/>
        </w:rPr>
        <w:t>Non Maturing Deposit</w:t>
      </w:r>
      <w:r w:rsidRPr="00C63D43">
        <w:t xml:space="preserve">, est un produit financier non échéancé, i.e. dont les entrées et </w:t>
      </w:r>
      <w:r w:rsidR="002A6740">
        <w:t>retraits</w:t>
      </w:r>
      <w:r w:rsidRPr="00C63D43">
        <w:t xml:space="preserve"> </w:t>
      </w:r>
      <w:r>
        <w:t xml:space="preserve">de capital </w:t>
      </w:r>
      <w:r w:rsidRPr="00C63D43">
        <w:t xml:space="preserve">ne sont pas codifiées contractuellement </w:t>
      </w:r>
      <w:r>
        <w:t>et ne peuvent être prédit</w:t>
      </w:r>
      <w:r w:rsidR="002A6740">
        <w:t>e</w:t>
      </w:r>
      <w:r>
        <w:t>s de manière</w:t>
      </w:r>
      <w:r w:rsidR="000379D8">
        <w:t xml:space="preserve"> </w:t>
      </w:r>
      <w:r w:rsidR="00921F07">
        <w:t>déterministe</w:t>
      </w:r>
      <w:r w:rsidR="002D0991">
        <w:t xml:space="preserve">. Comme l'indique leur appellation, ils se caractérisent par l'absence d'une maturité prédéfinie. </w:t>
      </w:r>
    </w:p>
    <w:p w14:paraId="473997A1" w14:textId="7CC023B8" w:rsidR="002D0991" w:rsidRDefault="002D0991" w:rsidP="002D0991">
      <w:pPr>
        <w:jc w:val="both"/>
      </w:pPr>
      <w:r>
        <w:t xml:space="preserve">Un exemple courant de ces instruments financiers inclut la majorité des comptes de dépôt, sur lesquels les titulaires peuvent librement effectuer des dépôts ou des retraits, modifiant ainsi le solde du compte à leur gré. Un niveau supplémentaire d'incertitude provient de la possibilité pour l'institution dépositaire, </w:t>
      </w:r>
      <w:r>
        <w:lastRenderedPageBreak/>
        <w:t xml:space="preserve">de modifier le taux de rémunération du dépôt. Ces caractéristiques rendent la gestion des risques associés à ces produits particulièrement complexe. </w:t>
      </w:r>
    </w:p>
    <w:p w14:paraId="1042CBEF" w14:textId="36BF9C11" w:rsidR="00F605AB" w:rsidRDefault="002D0991" w:rsidP="00FD265B">
      <w:pPr>
        <w:jc w:val="both"/>
      </w:pPr>
      <w:r>
        <w:t xml:space="preserve">Par ailleurs, </w:t>
      </w:r>
      <w:r w:rsidR="0048430D">
        <w:t>ce type d’instrument non</w:t>
      </w:r>
      <w:r>
        <w:t xml:space="preserve"> échéancés représentent souvent une part substantielle du financement </w:t>
      </w:r>
      <w:r w:rsidR="00921F07">
        <w:t>d’une banque</w:t>
      </w:r>
      <w:r>
        <w:t xml:space="preserve">, </w:t>
      </w:r>
      <w:r w:rsidR="00921F07">
        <w:t>d’où</w:t>
      </w:r>
      <w:r>
        <w:t xml:space="preserve"> l'importance cruciale </w:t>
      </w:r>
      <w:r w:rsidR="00921F07">
        <w:t>que revêt leur</w:t>
      </w:r>
      <w:r>
        <w:t xml:space="preserve"> gestion adéquate pour la stabilité financière de l'institution.</w:t>
      </w:r>
      <w:r w:rsidR="00FD265B">
        <w:t xml:space="preserve"> </w:t>
      </w:r>
      <w:r w:rsidR="00EF1606">
        <w:t>La capacité d’une banque à prédire</w:t>
      </w:r>
      <w:r w:rsidR="00C11239">
        <w:t xml:space="preserve"> correctement</w:t>
      </w:r>
      <w:r w:rsidR="00EF1606">
        <w:t xml:space="preserve"> des mouvements sur ce type de dépôts est </w:t>
      </w:r>
      <w:r w:rsidR="0055303E">
        <w:t xml:space="preserve">donc </w:t>
      </w:r>
      <w:r w:rsidR="0095275F">
        <w:t>primordiale</w:t>
      </w:r>
      <w:r w:rsidR="00EF1606">
        <w:t xml:space="preserve">. </w:t>
      </w:r>
    </w:p>
    <w:p w14:paraId="66209AE7" w14:textId="1DAF2739" w:rsidR="00555EEB" w:rsidRDefault="00F605AB" w:rsidP="00F605AB">
      <w:pPr>
        <w:jc w:val="both"/>
      </w:pPr>
      <w:r>
        <w:t>L’évolution du capital de ces produits est</w:t>
      </w:r>
      <w:r w:rsidR="00CD56EA">
        <w:t xml:space="preserve"> cependant</w:t>
      </w:r>
      <w:r>
        <w:t xml:space="preserve"> difficile à prédire car </w:t>
      </w:r>
      <w:r w:rsidR="00A37B47">
        <w:t>elle</w:t>
      </w:r>
      <w:r>
        <w:t xml:space="preserve"> est dépendant</w:t>
      </w:r>
      <w:r w:rsidR="00A37B47">
        <w:t>e</w:t>
      </w:r>
      <w:r>
        <w:t xml:space="preserve"> des comportements des </w:t>
      </w:r>
      <w:r w:rsidR="00A37B47">
        <w:t>éparg</w:t>
      </w:r>
      <w:r w:rsidR="00EF1606">
        <w:t>n</w:t>
      </w:r>
      <w:r w:rsidR="00A37B47">
        <w:t>ants</w:t>
      </w:r>
      <w:r>
        <w:t xml:space="preserve"> et des arbitrages qu’ils peuvent faire sur le marché avec les autres produits disponibles. </w:t>
      </w:r>
    </w:p>
    <w:p w14:paraId="6D964013" w14:textId="4228F950" w:rsidR="00F605AB" w:rsidRDefault="00F605AB" w:rsidP="00F605AB">
      <w:pPr>
        <w:jc w:val="both"/>
      </w:pPr>
      <w:r>
        <w:t xml:space="preserve">Ils font </w:t>
      </w:r>
      <w:r w:rsidR="00555EEB">
        <w:t xml:space="preserve">dès lors </w:t>
      </w:r>
      <w:r>
        <w:t xml:space="preserve">l'objet d'une modélisation </w:t>
      </w:r>
      <w:r w:rsidR="00555EEB">
        <w:t xml:space="preserve">statistique et probabiliste </w:t>
      </w:r>
      <w:r>
        <w:t>complexe qui a souvent recours à une segmentation par type de clientèle</w:t>
      </w:r>
      <w:r w:rsidR="00CD56EA">
        <w:t>,</w:t>
      </w:r>
      <w:r w:rsidR="00753D77">
        <w:t xml:space="preserve"> </w:t>
      </w:r>
      <w:r w:rsidR="00DF4B86">
        <w:t xml:space="preserve">la prise en compte </w:t>
      </w:r>
      <w:r w:rsidR="00753D77">
        <w:t>des arbitrages entre le taux du contrat et les taux disponibles sur le marché</w:t>
      </w:r>
      <w:r w:rsidR="00CD56EA">
        <w:t xml:space="preserve">. </w:t>
      </w:r>
    </w:p>
    <w:p w14:paraId="25438133" w14:textId="335382C0" w:rsidR="00CD56EA" w:rsidRDefault="00CD56EA" w:rsidP="0043222E">
      <w:pPr>
        <w:jc w:val="both"/>
      </w:pPr>
      <w:r>
        <w:t>Une autre méthode devenue de plus en plus courante pour gérer les produits non échéancés est l'approche du portefeuille réplicatif</w:t>
      </w:r>
      <w:r w:rsidR="00C02D08">
        <w:t>. Elle</w:t>
      </w:r>
      <w:r>
        <w:t xml:space="preserve"> implique l'attribution de maturités artificielles et de dates de réévaluation aux comptes non échéancés en construisant un portefeuille d'instruments à revenu fixe qui imite les flux de trésorerie de ces comptes. </w:t>
      </w:r>
    </w:p>
    <w:p w14:paraId="15B3FEE2" w14:textId="045C8E30" w:rsidR="001C5AB9" w:rsidRDefault="007A4574" w:rsidP="001C5AB9">
      <w:pPr>
        <w:pStyle w:val="Titre3"/>
      </w:pPr>
      <w:r>
        <w:t>3.</w:t>
      </w:r>
      <w:r w:rsidR="001C5AB9">
        <w:t xml:space="preserve">2.1 </w:t>
      </w:r>
      <w:r w:rsidR="00CE604E">
        <w:t>D</w:t>
      </w:r>
      <w:r w:rsidR="001C5AB9">
        <w:t>ivision en parts stable et volatile</w:t>
      </w:r>
    </w:p>
    <w:p w14:paraId="1153D004" w14:textId="44672971" w:rsidR="001C5AB9" w:rsidRDefault="00F605AB" w:rsidP="00F605AB">
      <w:pPr>
        <w:jc w:val="both"/>
      </w:pPr>
      <w:r>
        <w:t xml:space="preserve">Chez BPCE GROUPE, </w:t>
      </w:r>
      <w:r w:rsidR="00CE604E">
        <w:t>la majeure partie des produits de type</w:t>
      </w:r>
      <w:r>
        <w:t xml:space="preserve"> NMD </w:t>
      </w:r>
      <w:r w:rsidR="00CE604E">
        <w:t>sont segmenté</w:t>
      </w:r>
      <w:r w:rsidR="00323B13">
        <w:t>s</w:t>
      </w:r>
      <w:r w:rsidR="00CE604E">
        <w:t xml:space="preserve"> </w:t>
      </w:r>
      <w:r>
        <w:t xml:space="preserve">en parts stables et en parts volatiles. La part volatile </w:t>
      </w:r>
      <w:r w:rsidR="001C5AB9">
        <w:t>s’écoule sur</w:t>
      </w:r>
      <w:r>
        <w:t xml:space="preserve"> quelques mois tandis que les parts stables sont plus durables et leur écoulement s’échelonne sur une durée</w:t>
      </w:r>
      <w:r w:rsidR="001C5AB9">
        <w:t xml:space="preserve"> plus longue</w:t>
      </w:r>
      <w:r>
        <w:t>.</w:t>
      </w:r>
    </w:p>
    <w:p w14:paraId="221EE0D6" w14:textId="5A5685D6" w:rsidR="001C5AB9" w:rsidRDefault="00F605AB" w:rsidP="00F605AB">
      <w:pPr>
        <w:jc w:val="both"/>
      </w:pPr>
      <w:r>
        <w:t xml:space="preserve">Le poids des parts volatiles et parts stables est déterminé à partir de l’étude des données historiques et est peu susceptible de variations d’un trimestre çà l’autre. </w:t>
      </w:r>
    </w:p>
    <w:p w14:paraId="32D41F7E" w14:textId="77777777" w:rsidR="001C5AB9" w:rsidRDefault="001C5AB9" w:rsidP="001C5AB9">
      <w:pPr>
        <w:jc w:val="both"/>
      </w:pPr>
      <w:r>
        <w:t>Exemple : les livrets A de BP (P-LIV-A-BP), sont divisées en 3 parts stables (94%) et en une part volatile évalué à 6% du montant total :</w:t>
      </w:r>
    </w:p>
    <w:p w14:paraId="445959BA" w14:textId="63529C8D" w:rsidR="001C5AB9" w:rsidRDefault="001C5AB9" w:rsidP="009D19FB">
      <w:pPr>
        <w:jc w:val="both"/>
      </w:pPr>
      <w:r w:rsidRPr="00753D77">
        <w:rPr>
          <w:noProof/>
        </w:rPr>
        <w:drawing>
          <wp:inline distT="0" distB="0" distL="0" distR="0" wp14:anchorId="5104B163" wp14:editId="3C15F9E2">
            <wp:extent cx="5760720" cy="5734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3405"/>
                    </a:xfrm>
                    <a:prstGeom prst="rect">
                      <a:avLst/>
                    </a:prstGeom>
                    <a:noFill/>
                    <a:ln>
                      <a:noFill/>
                    </a:ln>
                  </pic:spPr>
                </pic:pic>
              </a:graphicData>
            </a:graphic>
          </wp:inline>
        </w:drawing>
      </w:r>
    </w:p>
    <w:p w14:paraId="38CE745B" w14:textId="1CB0E4FE" w:rsidR="009D19FB" w:rsidRDefault="009D19FB" w:rsidP="009D19FB">
      <w:pPr>
        <w:jc w:val="both"/>
      </w:pPr>
      <w:r>
        <w:t>La part stable est perçue comme étant moins susceptible aux mouvements de retrait à court terme. Par exemple, dans un livret A, une grande majorité du solde, 94% dans notre exemple, pourrait être classifiée comme stable car les clients la conservent comme une réserve d'épargne à long terme.</w:t>
      </w:r>
    </w:p>
    <w:p w14:paraId="380BD3F0" w14:textId="1B1C7EB4" w:rsidR="009D19FB" w:rsidRDefault="0067600F" w:rsidP="00F605AB">
      <w:pPr>
        <w:jc w:val="both"/>
      </w:pPr>
      <w:r>
        <w:t>La part volatile représente la part du dépôt susceptible d'être retirée à court terme. Pour le même livret A, les 6% restants pourraient être considérés comme volatiles, car ils représentent des fonds que les clients sont plus enclins à utiliser pour des dépenses courantes ou à transférer en réaction à des changements dans d'autres options d'investissement ou des taux d'intérêt.</w:t>
      </w:r>
    </w:p>
    <w:p w14:paraId="1E13AE86" w14:textId="6E8B8831" w:rsidR="00753D77" w:rsidRDefault="001C5AB9" w:rsidP="001C5AB9">
      <w:pPr>
        <w:jc w:val="both"/>
      </w:pPr>
      <w:r>
        <w:t xml:space="preserve">La division en parts stable et volatile </w:t>
      </w:r>
      <w:r w:rsidRPr="001C5AB9">
        <w:rPr>
          <w:b/>
          <w:bCs/>
        </w:rPr>
        <w:t>est un paramètre de la simulation</w:t>
      </w:r>
      <w:r>
        <w:rPr>
          <w:b/>
          <w:bCs/>
        </w:rPr>
        <w:t xml:space="preserve"> et se trouve dans le fichier modèle.</w:t>
      </w:r>
      <w:r>
        <w:t xml:space="preserve"> </w:t>
      </w:r>
    </w:p>
    <w:p w14:paraId="65591B41" w14:textId="534E7405" w:rsidR="00F605AB" w:rsidRDefault="007A4574" w:rsidP="00364E83">
      <w:pPr>
        <w:pStyle w:val="Titre3"/>
      </w:pPr>
      <w:r>
        <w:lastRenderedPageBreak/>
        <w:t>3.</w:t>
      </w:r>
      <w:r w:rsidR="00364E83">
        <w:t>2.</w:t>
      </w:r>
      <w:r w:rsidR="001C5AB9">
        <w:t xml:space="preserve">2 </w:t>
      </w:r>
      <w:r w:rsidR="0043222E">
        <w:t>Modèle réplicatif</w:t>
      </w:r>
      <w:r w:rsidR="0043222E" w:rsidRPr="00FE0F5B">
        <w:t xml:space="preserve"> </w:t>
      </w:r>
      <w:r w:rsidR="00F605AB">
        <w:t xml:space="preserve">des </w:t>
      </w:r>
      <w:r w:rsidR="00F605AB" w:rsidRPr="00FE0F5B">
        <w:t>NMDs</w:t>
      </w:r>
      <w:r w:rsidR="00CE604E">
        <w:t xml:space="preserve"> </w:t>
      </w:r>
    </w:p>
    <w:p w14:paraId="2FD0D477" w14:textId="09D68157" w:rsidR="001C5AB9" w:rsidRPr="001C5AB9" w:rsidRDefault="001C5AB9" w:rsidP="001C5AB9">
      <w:pPr>
        <w:jc w:val="both"/>
        <w:rPr>
          <w:b/>
          <w:bCs/>
        </w:rPr>
      </w:pPr>
      <w:r>
        <w:t xml:space="preserve">A cette division en parts tables et volatile, vient s’ajouter une sous-division de chaque part en strates temporelles. </w:t>
      </w:r>
      <w:r>
        <w:rPr>
          <w:b/>
          <w:bCs/>
        </w:rPr>
        <w:t>C</w:t>
      </w:r>
      <w:r w:rsidRPr="007C6222">
        <w:rPr>
          <w:b/>
          <w:bCs/>
        </w:rPr>
        <w:t xml:space="preserve">es strates représentent </w:t>
      </w:r>
      <w:r w:rsidR="005C28E7" w:rsidRPr="007C6222">
        <w:rPr>
          <w:b/>
          <w:bCs/>
        </w:rPr>
        <w:t xml:space="preserve">une </w:t>
      </w:r>
      <w:r w:rsidR="005C28E7">
        <w:rPr>
          <w:b/>
          <w:bCs/>
        </w:rPr>
        <w:t xml:space="preserve">forme de </w:t>
      </w:r>
      <w:r w:rsidR="005C28E7" w:rsidRPr="007C6222">
        <w:rPr>
          <w:b/>
          <w:bCs/>
        </w:rPr>
        <w:t xml:space="preserve">segmentation </w:t>
      </w:r>
      <w:r w:rsidR="005C28E7">
        <w:rPr>
          <w:b/>
          <w:bCs/>
        </w:rPr>
        <w:t>du capital en sous-parts à échéance fixe et croissantes.</w:t>
      </w:r>
      <w:r>
        <w:rPr>
          <w:b/>
          <w:bCs/>
        </w:rPr>
        <w:t xml:space="preserve"> </w:t>
      </w:r>
    </w:p>
    <w:p w14:paraId="26777897" w14:textId="389AB197" w:rsidR="00F605AB" w:rsidRDefault="005C28E7" w:rsidP="00F605AB">
      <w:pPr>
        <w:jc w:val="both"/>
      </w:pPr>
      <w:r>
        <w:t>Ainsi l</w:t>
      </w:r>
      <w:r w:rsidR="00F605AB">
        <w:t xml:space="preserve">e capital de chaque part d’un produit (stable ou volatile) NMD est divisé en n strates temporelles, chaque strate ayant une échéance de i mois, i allant de 1 à n. </w:t>
      </w:r>
      <w:r w:rsidR="00E71A10">
        <w:rPr>
          <w:rFonts w:cstheme="majorBidi"/>
        </w:rPr>
        <w:t>À</w:t>
      </w:r>
      <w:r w:rsidR="00F605AB">
        <w:t xml:space="preserve"> chaque strate temporelle est associée un coefficient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605AB">
        <w:rPr>
          <w:rFonts w:eastAsiaTheme="minorEastAsia"/>
        </w:rPr>
        <w:t xml:space="preserve">, qui représente son poids par rapport au capital total. Le capital d’une strate au t=0 est donc </w:t>
      </w:r>
      <w:r w:rsidR="00F605AB">
        <w:t>tel que :</w:t>
      </w:r>
    </w:p>
    <w:p w14:paraId="5059F985" w14:textId="77777777" w:rsidR="00F605AB" w:rsidRPr="004319C9" w:rsidRDefault="002F5A5D" w:rsidP="00F605AB">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26C633CB" w14:textId="77777777" w:rsidR="00F605AB" w:rsidRPr="004319C9" w:rsidRDefault="00F605AB" w:rsidP="00F605AB">
      <w:pPr>
        <w:jc w:val="both"/>
        <w:rPr>
          <w:rFonts w:eastAsiaTheme="minorEastAsia"/>
        </w:rPr>
      </w:pPr>
      <m:oMathPara>
        <m:oMath>
          <m:r>
            <w:rPr>
              <w:rFonts w:ascii="Cambria Math" w:hAnsi="Cambria Math"/>
            </w:rPr>
            <m:t xml:space="preserve">avec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le capital de strate i,</m:t>
          </m:r>
        </m:oMath>
      </m:oMathPara>
    </w:p>
    <w:p w14:paraId="1CBDA95F" w14:textId="77777777" w:rsidR="00F605AB" w:rsidRPr="004319C9" w:rsidRDefault="002F5A5D" w:rsidP="00F605AB">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le capital total de départ,</m:t>
          </m:r>
        </m:oMath>
      </m:oMathPara>
    </w:p>
    <w:p w14:paraId="331764F3" w14:textId="77777777" w:rsidR="00F605AB" w:rsidRDefault="00F605AB" w:rsidP="00F605AB">
      <w:pPr>
        <w:jc w:val="center"/>
        <w:rPr>
          <w:rFonts w:eastAsiaTheme="minorEastAsia"/>
        </w:rPr>
      </w:pPr>
      <m:oMath>
        <m:r>
          <w:rPr>
            <w:rFonts w:ascii="Cambria Math" w:hAnsi="Cambria Math"/>
          </w:rPr>
          <m:t xml:space="preserve">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oMath>
      <w:r>
        <w:rPr>
          <w:rFonts w:eastAsiaTheme="minorEastAsia"/>
        </w:rPr>
        <w:t xml:space="preserve"> </w:t>
      </w:r>
    </w:p>
    <w:p w14:paraId="0E2BEBB6" w14:textId="333712A2" w:rsidR="005C4F1A" w:rsidRDefault="005C28E7" w:rsidP="005C28E7">
      <w:pPr>
        <w:jc w:val="both"/>
        <w:rPr>
          <w:rFonts w:eastAsiaTheme="minorEastAsia"/>
        </w:rPr>
      </w:pPr>
      <w:r>
        <w:rPr>
          <w:rFonts w:eastAsiaTheme="minorEastAsia"/>
        </w:rPr>
        <w:t xml:space="preserve">Ainsi le produit P-LIV-A-BP de marché </w:t>
      </w:r>
      <w:r w:rsidR="004D48A1" w:rsidRPr="00C02D08">
        <w:rPr>
          <w:rFonts w:eastAsiaTheme="minorEastAsia"/>
          <w:b/>
          <w:bCs/>
          <w:i/>
          <w:iCs/>
        </w:rPr>
        <w:t>Autres</w:t>
      </w:r>
      <w:r>
        <w:rPr>
          <w:rFonts w:eastAsiaTheme="minorEastAsia"/>
        </w:rPr>
        <w:t xml:space="preserve"> suit pour sa part stable le modèle de stratification </w:t>
      </w:r>
      <w:r w:rsidRPr="005C28E7">
        <w:rPr>
          <w:rFonts w:eastAsiaTheme="minorEastAsia"/>
        </w:rPr>
        <w:t>@TS_PLIVA</w:t>
      </w:r>
      <w:r>
        <w:rPr>
          <w:rFonts w:eastAsiaTheme="minorEastAsia"/>
        </w:rPr>
        <w:t xml:space="preserve"> qui comprend 14</w:t>
      </w:r>
      <w:r w:rsidR="00D36646">
        <w:rPr>
          <w:rFonts w:eastAsiaTheme="minorEastAsia"/>
        </w:rPr>
        <w:t>4</w:t>
      </w:r>
      <w:r>
        <w:rPr>
          <w:rFonts w:eastAsiaTheme="minorEastAsia"/>
        </w:rPr>
        <w:t xml:space="preserve"> strates temporelles, tandis que la part volatile suit le modèle </w:t>
      </w:r>
      <w:r w:rsidRPr="005C28E7">
        <w:rPr>
          <w:rFonts w:eastAsiaTheme="minorEastAsia"/>
        </w:rPr>
        <w:t>@TS_I1M</w:t>
      </w:r>
      <w:r>
        <w:rPr>
          <w:rFonts w:eastAsiaTheme="minorEastAsia"/>
        </w:rPr>
        <w:t>, qui comprend une seule strate temporelle</w:t>
      </w:r>
      <w:r w:rsidR="00E71A10">
        <w:rPr>
          <w:rFonts w:eastAsiaTheme="minorEastAsia"/>
        </w:rPr>
        <w:t xml:space="preserve">. Les coefficients associés au profil </w:t>
      </w:r>
      <w:r w:rsidR="00E71A10" w:rsidRPr="005C28E7">
        <w:rPr>
          <w:rFonts w:eastAsiaTheme="minorEastAsia"/>
        </w:rPr>
        <w:t>@TS_PLIVA</w:t>
      </w:r>
      <w:r w:rsidR="00E71A10">
        <w:rPr>
          <w:rFonts w:eastAsiaTheme="minorEastAsia"/>
        </w:rPr>
        <w:t xml:space="preserve"> sont les </w:t>
      </w:r>
      <w:r w:rsidR="00886F47">
        <w:rPr>
          <w:rFonts w:eastAsiaTheme="minorEastAsia"/>
        </w:rPr>
        <w:t>suivants :</w:t>
      </w:r>
    </w:p>
    <w:p w14:paraId="26C65EE3" w14:textId="6B7D2F62" w:rsidR="004D48A1" w:rsidRDefault="00D36646" w:rsidP="004D48A1">
      <w:pPr>
        <w:jc w:val="center"/>
        <w:rPr>
          <w:rFonts w:eastAsiaTheme="minorEastAsia"/>
        </w:rPr>
      </w:pPr>
      <w:r w:rsidRPr="00D36646">
        <w:rPr>
          <w:noProof/>
        </w:rPr>
        <w:drawing>
          <wp:inline distT="0" distB="0" distL="0" distR="0" wp14:anchorId="22DD16DC" wp14:editId="37F5CB18">
            <wp:extent cx="2216785" cy="23831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6785" cy="2383155"/>
                    </a:xfrm>
                    <a:prstGeom prst="rect">
                      <a:avLst/>
                    </a:prstGeom>
                    <a:noFill/>
                    <a:ln>
                      <a:noFill/>
                    </a:ln>
                  </pic:spPr>
                </pic:pic>
              </a:graphicData>
            </a:graphic>
          </wp:inline>
        </w:drawing>
      </w:r>
    </w:p>
    <w:p w14:paraId="7CE852F9" w14:textId="77777777" w:rsidR="005C28E7" w:rsidRPr="00BE5AB0" w:rsidRDefault="005C28E7" w:rsidP="005C4F1A">
      <w:pPr>
        <w:rPr>
          <w:rFonts w:eastAsiaTheme="minorEastAsia"/>
        </w:rPr>
      </w:pPr>
    </w:p>
    <w:p w14:paraId="4FE851A2" w14:textId="1841F44E" w:rsidR="00D36646" w:rsidRDefault="007A4574" w:rsidP="00D36646">
      <w:pPr>
        <w:pStyle w:val="Titre3"/>
      </w:pPr>
      <w:r>
        <w:t>3.</w:t>
      </w:r>
      <w:r w:rsidR="00D36646">
        <w:t>2.3 Ecoulement du capital d’un produit sans capitalisation des intérêts</w:t>
      </w:r>
    </w:p>
    <w:p w14:paraId="370D47BB" w14:textId="77777777" w:rsidR="00F605AB" w:rsidRDefault="00F605AB" w:rsidP="00F605AB">
      <w:pPr>
        <w:jc w:val="both"/>
      </w:pPr>
      <w:r>
        <w:t>Chaque strate ayant une échéance de i mois, le capital total d’une part suit les deux lois suivantes :</w:t>
      </w:r>
    </w:p>
    <w:p w14:paraId="1385ADD9" w14:textId="73DF2238" w:rsidR="00F605AB" w:rsidRPr="00CE4740" w:rsidRDefault="00F605AB" w:rsidP="00F605AB">
      <w:pPr>
        <w:pStyle w:val="Paragraphedeliste"/>
        <w:numPr>
          <w:ilvl w:val="0"/>
          <w:numId w:val="13"/>
        </w:numPr>
        <w:jc w:val="both"/>
        <w:rPr>
          <w:rFonts w:eastAsiaTheme="minorEastAsia"/>
        </w:rPr>
      </w:pPr>
      <w:r>
        <w:rPr>
          <w:rFonts w:eastAsiaTheme="minorEastAsia"/>
        </w:rPr>
        <w:t>Le capital total en t</w:t>
      </w:r>
      <w:r w:rsidR="00D366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36646">
        <w:rPr>
          <w:rFonts w:eastAsiaTheme="minorEastAsia"/>
        </w:rPr>
        <w:t xml:space="preserve">, </w:t>
      </w:r>
      <w:r>
        <w:rPr>
          <w:rFonts w:eastAsiaTheme="minorEastAsia"/>
        </w:rPr>
        <w:t>est égal au capital de départ moins la somme du poids des strates disparues.</w:t>
      </w:r>
    </w:p>
    <w:p w14:paraId="359F19C8" w14:textId="6A882CB1" w:rsidR="00F605AB" w:rsidRPr="007E11AA" w:rsidRDefault="007E11AA" w:rsidP="00D36646">
      <w:pPr>
        <w:jc w:val="center"/>
        <w:rPr>
          <w:rFonts w:eastAsiaTheme="minorEastAsia"/>
          <w:b/>
          <w:bCs/>
        </w:rPr>
      </w:pPr>
      <m:oMath>
        <m:r>
          <m:rPr>
            <m:sty m:val="bi"/>
          </m:rPr>
          <w:rPr>
            <w:rFonts w:ascii="Cambria Math" w:hAnsi="Cambria Math"/>
            <w:highlight w:val="lightGray"/>
          </w:rPr>
          <m:t>C(t)=</m:t>
        </m:r>
        <m:d>
          <m:dPr>
            <m:ctrlPr>
              <w:rPr>
                <w:rFonts w:ascii="Cambria Math" w:hAnsi="Cambria Math"/>
                <w:b/>
                <w:bCs/>
                <w:i/>
                <w:highlight w:val="lightGray"/>
              </w:rPr>
            </m:ctrlPr>
          </m:dPr>
          <m:e>
            <m:r>
              <m:rPr>
                <m:sty m:val="bi"/>
              </m:rPr>
              <w:rPr>
                <w:rFonts w:ascii="Cambria Math" w:hAnsi="Cambria Math"/>
                <w:highlight w:val="lightGray"/>
              </w:rPr>
              <m:t xml:space="preserve">1- </m:t>
            </m:r>
            <m:nary>
              <m:naryPr>
                <m:chr m:val="∑"/>
                <m:limLoc m:val="undOvr"/>
                <m:ctrlPr>
                  <w:rPr>
                    <w:rFonts w:ascii="Cambria Math" w:hAnsi="Cambria Math"/>
                    <w:b/>
                    <w:bCs/>
                    <w:i/>
                    <w:highlight w:val="lightGray"/>
                  </w:rPr>
                </m:ctrlPr>
              </m:naryPr>
              <m:sub>
                <m:r>
                  <m:rPr>
                    <m:sty m:val="bi"/>
                  </m:rPr>
                  <w:rPr>
                    <w:rFonts w:ascii="Cambria Math" w:hAnsi="Cambria Math"/>
                    <w:highlight w:val="lightGray"/>
                  </w:rPr>
                  <m:t>k=1</m:t>
                </m:r>
              </m:sub>
              <m:sup>
                <m:r>
                  <m:rPr>
                    <m:sty m:val="bi"/>
                  </m:rPr>
                  <w:rPr>
                    <w:rFonts w:ascii="Cambria Math" w:hAnsi="Cambria Math"/>
                    <w:highlight w:val="lightGray"/>
                  </w:rPr>
                  <m:t>t</m:t>
                </m:r>
              </m:sup>
              <m:e>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k</m:t>
                    </m:r>
                  </m:sub>
                </m:sSub>
              </m:e>
            </m:nary>
          </m:e>
        </m:d>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0</m:t>
            </m:r>
          </m:sub>
        </m:sSub>
        <m:r>
          <m:rPr>
            <m:sty m:val="bi"/>
          </m:rPr>
          <w:rPr>
            <w:rFonts w:ascii="Cambria Math" w:hAnsi="Cambria Math"/>
            <w:highlight w:val="lightGray"/>
          </w:rPr>
          <m:t xml:space="preserve">  </m:t>
        </m:r>
      </m:oMath>
      <w:r w:rsidR="00F605AB" w:rsidRPr="005B7E2C">
        <w:rPr>
          <w:rFonts w:eastAsiaTheme="minorEastAsia"/>
          <w:b/>
          <w:bCs/>
          <w:highlight w:val="lightGray"/>
        </w:rPr>
        <w:t>(</w:t>
      </w:r>
      <w:r w:rsidR="00F605AB" w:rsidRPr="005B7E2C">
        <w:rPr>
          <w:rFonts w:ascii="Cambria Math" w:eastAsiaTheme="minorEastAsia" w:hAnsi="Cambria Math" w:cs="Cambria Math"/>
          <w:b/>
          <w:bCs/>
          <w:highlight w:val="lightGray"/>
        </w:rPr>
        <w:t>𝐴</w:t>
      </w:r>
      <w:r w:rsidR="00F605AB" w:rsidRPr="005B7E2C">
        <w:rPr>
          <w:rFonts w:eastAsiaTheme="minorEastAsia"/>
          <w:b/>
          <w:bCs/>
          <w:highlight w:val="lightGray"/>
        </w:rPr>
        <w:t>)</w:t>
      </w:r>
    </w:p>
    <w:p w14:paraId="33ACE27A" w14:textId="77777777" w:rsidR="00F605AB" w:rsidRDefault="00F605AB" w:rsidP="00F605AB">
      <w:pPr>
        <w:pStyle w:val="Paragraphedeliste"/>
        <w:jc w:val="both"/>
        <w:rPr>
          <w:b/>
          <w:bCs/>
        </w:rPr>
      </w:pPr>
    </w:p>
    <w:p w14:paraId="0A792D7A" w14:textId="57366326" w:rsidR="00F605AB" w:rsidRPr="000A13E1" w:rsidRDefault="00F605AB" w:rsidP="00F605AB">
      <w:pPr>
        <w:pStyle w:val="Paragraphedeliste"/>
        <w:numPr>
          <w:ilvl w:val="0"/>
          <w:numId w:val="13"/>
        </w:numPr>
        <w:jc w:val="both"/>
      </w:pPr>
      <w:r w:rsidRPr="000A13E1">
        <w:t>Le corollaire de cette loi est que le capital en t d'une strate i</w:t>
      </w:r>
      <w:r w:rsidR="00D36646">
        <w:t xml:space="preserve">,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D36646">
        <w:rPr>
          <w:rFonts w:eastAsiaTheme="minorEastAsia"/>
        </w:rPr>
        <w:t>,</w:t>
      </w:r>
      <w:r w:rsidRPr="000A13E1">
        <w:t xml:space="preserve"> non échue est toujours égal au capital total en t multiplié par le ratio du coefficient de la strate et de la somme des coefficients des strates toujours en vie.</w:t>
      </w:r>
    </w:p>
    <w:p w14:paraId="65D25BEA" w14:textId="7E54623C" w:rsidR="00F605AB" w:rsidRPr="00FF30BC" w:rsidRDefault="002F5A5D" w:rsidP="00D36646">
      <w:pPr>
        <w:jc w:val="both"/>
        <w:rPr>
          <w:rFonts w:eastAsiaTheme="minorEastAsia"/>
          <w:b/>
          <w:bCs/>
        </w:rPr>
      </w:pPr>
      <m:oMathPara>
        <m:oMath>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i</m:t>
              </m:r>
            </m:sub>
          </m:sSub>
          <m:r>
            <m:rPr>
              <m:sty m:val="bi"/>
            </m:rPr>
            <w:rPr>
              <w:rFonts w:ascii="Cambria Math" w:hAnsi="Cambria Math"/>
              <w:highlight w:val="lightGray"/>
            </w:rPr>
            <m:t>(t)=</m:t>
          </m:r>
          <m:f>
            <m:fPr>
              <m:ctrlPr>
                <w:rPr>
                  <w:rFonts w:ascii="Cambria Math" w:hAnsi="Cambria Math"/>
                  <w:b/>
                  <w:bCs/>
                  <w:i/>
                  <w:highlight w:val="lightGray"/>
                </w:rPr>
              </m:ctrlPr>
            </m:fPr>
            <m:num>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i</m:t>
                  </m:r>
                </m:sub>
              </m:sSub>
            </m:num>
            <m:den>
              <m:nary>
                <m:naryPr>
                  <m:chr m:val="∑"/>
                  <m:limLoc m:val="undOvr"/>
                  <m:ctrlPr>
                    <w:rPr>
                      <w:rFonts w:ascii="Cambria Math" w:hAnsi="Cambria Math"/>
                      <w:b/>
                      <w:bCs/>
                      <w:i/>
                      <w:highlight w:val="lightGray"/>
                    </w:rPr>
                  </m:ctrlPr>
                </m:naryPr>
                <m:sub>
                  <m:r>
                    <m:rPr>
                      <m:sty m:val="bi"/>
                    </m:rPr>
                    <w:rPr>
                      <w:rFonts w:ascii="Cambria Math" w:hAnsi="Cambria Math"/>
                      <w:highlight w:val="lightGray"/>
                    </w:rPr>
                    <m:t>k=t</m:t>
                  </m:r>
                </m:sub>
                <m:sup>
                  <m:r>
                    <m:rPr>
                      <m:sty m:val="bi"/>
                    </m:rPr>
                    <w:rPr>
                      <w:rFonts w:ascii="Cambria Math" w:hAnsi="Cambria Math"/>
                      <w:highlight w:val="lightGray"/>
                    </w:rPr>
                    <m:t>n</m:t>
                  </m:r>
                </m:sup>
                <m:e>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k</m:t>
                      </m:r>
                    </m:sub>
                  </m:sSub>
                </m:e>
              </m:nary>
            </m:den>
          </m:f>
          <m:r>
            <m:rPr>
              <m:sty m:val="bi"/>
            </m:rPr>
            <w:rPr>
              <w:rFonts w:ascii="Cambria Math" w:hAnsi="Cambria Math"/>
              <w:highlight w:val="lightGray"/>
            </w:rPr>
            <m:t>*C(t)</m:t>
          </m:r>
          <m:r>
            <m:rPr>
              <m:sty m:val="bi"/>
            </m:rPr>
            <w:rPr>
              <w:rFonts w:ascii="Cambria Math" w:eastAsiaTheme="minorEastAsia" w:hAnsi="Cambria Math"/>
              <w:highlight w:val="lightGray"/>
            </w:rPr>
            <m:t>*</m:t>
          </m:r>
          <m:sSub>
            <m:sSubPr>
              <m:ctrlPr>
                <w:rPr>
                  <w:rFonts w:ascii="Cambria Math" w:eastAsiaTheme="minorEastAsia" w:hAnsi="Cambria Math"/>
                  <w:b/>
                  <w:bCs/>
                  <w:i/>
                  <w:highlight w:val="lightGray"/>
                </w:rPr>
              </m:ctrlPr>
            </m:sSubPr>
            <m:e>
              <m:r>
                <m:rPr>
                  <m:sty m:val="bi"/>
                </m:rPr>
                <w:rPr>
                  <w:rFonts w:ascii="Cambria Math" w:eastAsiaTheme="minorEastAsia" w:hAnsi="Cambria Math"/>
                  <w:highlight w:val="lightGray"/>
                </w:rPr>
                <m:t>1</m:t>
              </m:r>
            </m:e>
            <m:sub>
              <m:r>
                <m:rPr>
                  <m:sty m:val="bi"/>
                </m:rPr>
                <w:rPr>
                  <w:rFonts w:ascii="Cambria Math" w:eastAsiaTheme="minorEastAsia" w:hAnsi="Cambria Math"/>
                  <w:highlight w:val="lightGray"/>
                </w:rPr>
                <m:t>i&gt;t</m:t>
              </m:r>
            </m:sub>
          </m:sSub>
          <m:r>
            <m:rPr>
              <m:sty m:val="bi"/>
            </m:rPr>
            <w:rPr>
              <w:rFonts w:ascii="Cambria Math" w:eastAsiaTheme="minorEastAsia" w:hAnsi="Cambria Math"/>
              <w:highlight w:val="lightGray"/>
            </w:rPr>
            <m:t xml:space="preserve"> (B)</m:t>
          </m:r>
        </m:oMath>
      </m:oMathPara>
    </w:p>
    <w:p w14:paraId="521CFB7F" w14:textId="77777777" w:rsidR="00F605AB" w:rsidRDefault="00F605AB" w:rsidP="00F605AB">
      <w:pPr>
        <w:jc w:val="both"/>
      </w:pPr>
    </w:p>
    <w:p w14:paraId="51488FE9" w14:textId="5BCE9AEA" w:rsidR="00D36646" w:rsidRDefault="007A4574" w:rsidP="00D36646">
      <w:pPr>
        <w:pStyle w:val="Titre3"/>
      </w:pPr>
      <w:r>
        <w:t>3.</w:t>
      </w:r>
      <w:r w:rsidR="00D36646">
        <w:t>2.3 Ecoulement du capital d’un produit avec capitalisation des intérêts</w:t>
      </w:r>
    </w:p>
    <w:p w14:paraId="52FE06D9" w14:textId="7991F7A5" w:rsidR="00F605AB" w:rsidRDefault="00F605AB" w:rsidP="00F605AB">
      <w:pPr>
        <w:jc w:val="both"/>
      </w:pPr>
      <w:r>
        <w:t>Pour les contrats qui capitalisent leurs intérêts</w:t>
      </w:r>
      <w:r w:rsidR="00FF30BC">
        <w:t xml:space="preserve"> à échéance régulière</w:t>
      </w:r>
      <w:r>
        <w:t xml:space="preserve">, </w:t>
      </w:r>
      <w:r w:rsidR="00FF30BC">
        <w:t xml:space="preserve">les intérêts </w:t>
      </w:r>
      <w:r>
        <w:t xml:space="preserve">sont ajoutés au capital total à une fréquence déterminée contractuellement. Si on note p la fréquence de capitalisation, </w:t>
      </w:r>
      <w:r w:rsidR="00E238A7">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E238A7">
        <w:rPr>
          <w:rFonts w:eastAsiaTheme="minorEastAsia"/>
        </w:rPr>
        <w:t xml:space="preserve"> le taux du contrat au mois 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E238A7">
        <w:rPr>
          <w:rFonts w:eastAsiaTheme="minorEastAsia"/>
        </w:rPr>
        <w:t xml:space="preserve"> le coefficient d’accumulation des intérêts au mois j, </w:t>
      </w:r>
      <w:r>
        <w:t>on</w:t>
      </w:r>
      <w:r w:rsidR="00FF30BC">
        <w:t xml:space="preserve"> peut écrire que </w:t>
      </w:r>
      <w:r>
        <w:t xml:space="preserve">les montants des intérêts capitalisés en </w:t>
      </w:r>
      <w:r w:rsidR="00FF30BC">
        <w:t>t=</w:t>
      </w:r>
      <w:r>
        <w:t>s sont égaux à :</w:t>
      </w:r>
    </w:p>
    <w:p w14:paraId="7659894C" w14:textId="6EE8E0EE" w:rsidR="00F605AB" w:rsidRPr="00E238A7" w:rsidRDefault="002F5A5D" w:rsidP="002E534F">
      <w:pPr>
        <w:jc w:val="center"/>
        <w:rPr>
          <w:rFonts w:eastAsiaTheme="minorEastAsia"/>
        </w:rPr>
      </w:pPr>
      <m:oMathPara>
        <m:oMath>
          <m:sSub>
            <m:sSubPr>
              <m:ctrlPr>
                <w:rPr>
                  <w:rFonts w:ascii="Cambria Math" w:hAnsi="Cambria Math"/>
                  <w:i/>
                  <w:highlight w:val="lightGray"/>
                </w:rPr>
              </m:ctrlPr>
            </m:sSubPr>
            <m:e>
              <m:r>
                <w:rPr>
                  <w:rFonts w:ascii="Cambria Math" w:hAnsi="Cambria Math"/>
                  <w:highlight w:val="lightGray"/>
                </w:rPr>
                <m:t>I</m:t>
              </m:r>
            </m:e>
            <m:sub>
              <m:r>
                <w:rPr>
                  <w:rFonts w:ascii="Cambria Math" w:hAnsi="Cambria Math"/>
                  <w:highlight w:val="lightGray"/>
                </w:rPr>
                <m:t>s</m:t>
              </m:r>
            </m:sub>
          </m:sSub>
          <m:d>
            <m:dPr>
              <m:ctrlPr>
                <w:rPr>
                  <w:rFonts w:ascii="Cambria Math" w:hAnsi="Cambria Math"/>
                  <w:i/>
                  <w:highlight w:val="lightGray"/>
                </w:rPr>
              </m:ctrlPr>
            </m:dPr>
            <m:e>
              <m:r>
                <w:rPr>
                  <w:rFonts w:ascii="Cambria Math" w:hAnsi="Cambria Math"/>
                  <w:highlight w:val="lightGray"/>
                </w:rPr>
                <m:t>t=s</m:t>
              </m:r>
            </m:e>
          </m:d>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1</m:t>
              </m:r>
            </m:e>
            <m:sub>
              <m:r>
                <w:rPr>
                  <w:rFonts w:ascii="Cambria Math" w:hAnsi="Cambria Math"/>
                  <w:highlight w:val="lightGray"/>
                </w:rPr>
                <m:t>s</m:t>
              </m:r>
              <m:r>
                <m:rPr>
                  <m:sty m:val="p"/>
                </m:rPr>
                <w:rPr>
                  <w:rFonts w:ascii="Cambria Math" w:hAnsi="Cambria Math" w:cs="Arial"/>
                  <w:color w:val="202124"/>
                  <w:highlight w:val="lightGray"/>
                  <w:shd w:val="clear" w:color="auto" w:fill="FFFFFF"/>
                </w:rPr>
                <m:t>≡</m:t>
              </m:r>
              <m:r>
                <m:rPr>
                  <m:sty m:val="p"/>
                </m:rPr>
                <w:rPr>
                  <w:rFonts w:ascii="Cambria Math" w:hAnsi="Arial" w:cs="Arial"/>
                  <w:color w:val="202124"/>
                  <w:highlight w:val="lightGray"/>
                  <w:shd w:val="clear" w:color="auto" w:fill="FFFFFF"/>
                </w:rPr>
                <m:t>1</m:t>
              </m:r>
              <m:d>
                <m:dPr>
                  <m:begChr m:val="["/>
                  <m:endChr m:val="]"/>
                  <m:ctrlPr>
                    <w:rPr>
                      <w:rFonts w:ascii="Cambria Math" w:hAnsi="Arial" w:cs="Arial"/>
                      <w:color w:val="202124"/>
                      <w:highlight w:val="lightGray"/>
                      <w:shd w:val="clear" w:color="auto" w:fill="FFFFFF"/>
                    </w:rPr>
                  </m:ctrlPr>
                </m:dPr>
                <m:e>
                  <m:r>
                    <m:rPr>
                      <m:sty m:val="p"/>
                    </m:rPr>
                    <w:rPr>
                      <w:rFonts w:ascii="Cambria Math" w:hAnsi="Arial" w:cs="Arial"/>
                      <w:color w:val="202124"/>
                      <w:highlight w:val="lightGray"/>
                      <w:shd w:val="clear" w:color="auto" w:fill="FFFFFF"/>
                    </w:rPr>
                    <m:t>p</m:t>
                  </m:r>
                </m:e>
              </m:d>
            </m:sub>
          </m:sSub>
          <m:r>
            <w:rPr>
              <w:rFonts w:ascii="Cambria Math" w:hAnsi="Cambria Math"/>
              <w:highlight w:val="lightGray"/>
            </w:rPr>
            <m:t>*</m:t>
          </m:r>
          <m:nary>
            <m:naryPr>
              <m:chr m:val="∑"/>
              <m:limLoc m:val="undOvr"/>
              <m:ctrlPr>
                <w:rPr>
                  <w:rFonts w:ascii="Cambria Math" w:hAnsi="Cambria Math"/>
                  <w:i/>
                  <w:highlight w:val="lightGray"/>
                </w:rPr>
              </m:ctrlPr>
            </m:naryPr>
            <m:sub>
              <m:r>
                <w:rPr>
                  <w:rFonts w:ascii="Cambria Math" w:hAnsi="Cambria Math"/>
                  <w:highlight w:val="lightGray"/>
                </w:rPr>
                <m:t>j=s-p</m:t>
              </m:r>
            </m:sub>
            <m:sup>
              <m:r>
                <w:rPr>
                  <w:rFonts w:ascii="Cambria Math" w:hAnsi="Cambria Math"/>
                  <w:highlight w:val="lightGray"/>
                </w:rPr>
                <m:t>s-1</m:t>
              </m:r>
            </m:sup>
            <m:e>
              <m:r>
                <w:rPr>
                  <w:rFonts w:ascii="Cambria Math" w:hAnsi="Cambria Math"/>
                  <w:highlight w:val="lightGray"/>
                </w:rPr>
                <m:t>C</m:t>
              </m:r>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r</m:t>
                  </m:r>
                </m:e>
                <m:sub>
                  <m:r>
                    <w:rPr>
                      <w:rFonts w:ascii="Cambria Math" w:hAnsi="Cambria Math"/>
                      <w:highlight w:val="lightGray"/>
                    </w:rPr>
                    <m:t>j</m:t>
                  </m:r>
                </m:sub>
              </m:sSub>
            </m:e>
          </m:nary>
          <m:r>
            <w:rPr>
              <w:rFonts w:ascii="Cambria Math" w:hAnsi="Cambria Math"/>
              <w:highlight w:val="lightGray"/>
            </w:rPr>
            <m:t xml:space="preserve">  </m:t>
          </m:r>
          <m:r>
            <m:rPr>
              <m:sty m:val="bi"/>
            </m:rPr>
            <w:rPr>
              <w:rFonts w:ascii="Cambria Math" w:hAnsi="Cambria Math"/>
              <w:highlight w:val="lightGray"/>
            </w:rPr>
            <m:t>(C)</m:t>
          </m:r>
        </m:oMath>
      </m:oMathPara>
    </w:p>
    <w:p w14:paraId="7CC496B1" w14:textId="3675F5ED" w:rsidR="00E238A7" w:rsidRDefault="00E238A7" w:rsidP="00F605AB">
      <w:pPr>
        <w:jc w:val="both"/>
        <w:rPr>
          <w:rFonts w:eastAsiaTheme="minorEastAsia"/>
        </w:rPr>
      </w:pPr>
      <w:r>
        <w:t>Or une fois capitalisés, les intérêts capitalisés subissent le même taux de décroissance que le capital de départ. Ainsi, on a :</w:t>
      </w:r>
    </w:p>
    <w:p w14:paraId="5A57D085" w14:textId="7935161D" w:rsidR="00E238A7" w:rsidRPr="00E238A7" w:rsidRDefault="002F5A5D" w:rsidP="00E238A7">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k=s+1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num>
                <m:den>
                  <m:nary>
                    <m:naryPr>
                      <m:chr m:val="∑"/>
                      <m:limLoc m:val="undOvr"/>
                      <m:ctrlPr>
                        <w:rPr>
                          <w:rFonts w:ascii="Cambria Math" w:hAnsi="Cambria Math"/>
                          <w:i/>
                        </w:rPr>
                      </m:ctrlPr>
                    </m:naryPr>
                    <m:sub>
                      <m:r>
                        <w:rPr>
                          <w:rFonts w:ascii="Cambria Math" w:hAnsi="Cambria Math"/>
                        </w:rPr>
                        <m:t>k=s+1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r>
                <w:rPr>
                  <w:rFonts w:ascii="Cambria Math" w:hAnsi="Cambria Math"/>
                </w:rPr>
                <m:t xml:space="preserve"> </m:t>
              </m:r>
            </m:e>
          </m:d>
          <m:r>
            <w:rPr>
              <w:rFonts w:ascii="Cambria Math" w:hAnsi="Cambria Math"/>
            </w:rPr>
            <m:t>*</m:t>
          </m:r>
          <m:nary>
            <m:naryPr>
              <m:chr m:val="∑"/>
              <m:limLoc m:val="undOvr"/>
              <m:ctrlPr>
                <w:rPr>
                  <w:rFonts w:ascii="Cambria Math" w:hAnsi="Cambria Math"/>
                  <w:i/>
                </w:rPr>
              </m:ctrlPr>
            </m:naryPr>
            <m:sub>
              <m:r>
                <w:rPr>
                  <w:rFonts w:ascii="Cambria Math" w:hAnsi="Cambria Math"/>
                </w:rPr>
                <m:t>j=s-p</m:t>
              </m:r>
            </m:sub>
            <m:sup>
              <m:r>
                <w:rPr>
                  <w:rFonts w:ascii="Cambria Math" w:hAnsi="Cambria Math"/>
                </w:rPr>
                <m:t>s-1</m:t>
              </m:r>
            </m:sup>
            <m:e>
              <m:r>
                <w:rPr>
                  <w:rFonts w:ascii="Cambria Math" w:hAnsi="Cambria Math"/>
                </w:rPr>
                <m:t xml:space="preserve">C(j)*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14:paraId="32DE3D85" w14:textId="77777777" w:rsidR="00E238A7" w:rsidRDefault="00E238A7" w:rsidP="00E238A7">
      <w:pPr>
        <w:jc w:val="both"/>
      </w:pPr>
    </w:p>
    <w:p w14:paraId="06349577" w14:textId="7DE5193B" w:rsidR="00F605AB" w:rsidRPr="007E11AA" w:rsidRDefault="00E238A7" w:rsidP="00241997">
      <w:pPr>
        <w:jc w:val="both"/>
      </w:pPr>
      <w:r w:rsidRPr="007E11AA">
        <w:t xml:space="preserve">On peut dès lors </w:t>
      </w:r>
      <w:r w:rsidR="00F605AB" w:rsidRPr="007E11AA">
        <w:t xml:space="preserve">trouver une formule générale pour le capital total d’un produit qui capitalise les intérêts à fréquence </w:t>
      </w:r>
      <w:r w:rsidRPr="007E11AA">
        <w:t>p</w:t>
      </w:r>
      <w:r w:rsidR="00F605AB" w:rsidRPr="007E11AA">
        <w:t>:</w:t>
      </w:r>
    </w:p>
    <w:p w14:paraId="2A56A8E2" w14:textId="2A9EFE18" w:rsidR="00F605AB" w:rsidRDefault="00E238A7" w:rsidP="00F605AB">
      <w:pPr>
        <w:jc w:val="both"/>
        <w:rPr>
          <w:rFonts w:eastAsiaTheme="minorEastAsia"/>
        </w:rPr>
      </w:pPr>
      <m:oMathPara>
        <m:oMath>
          <m:r>
            <w:rPr>
              <w:rFonts w:ascii="Cambria Math" w:hAnsi="Cambria Math"/>
            </w:rPr>
            <m:t>C(t)=</m:t>
          </m:r>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s=2, s</m:t>
              </m:r>
              <m:r>
                <m:rPr>
                  <m:sty m:val="p"/>
                </m:rPr>
                <w:rPr>
                  <w:rFonts w:ascii="Cambria Math" w:hAnsi="Cambria Math" w:cs="Arial"/>
                  <w:color w:val="202124"/>
                  <w:shd w:val="clear" w:color="auto" w:fill="FFFFFF"/>
                </w:rPr>
                <m:t>≡</m:t>
              </m:r>
              <m:r>
                <m:rPr>
                  <m:sty m:val="p"/>
                </m:rPr>
                <w:rPr>
                  <w:rFonts w:ascii="Cambria Math" w:hAnsi="Arial" w:cs="Arial"/>
                  <w:color w:val="202124"/>
                  <w:shd w:val="clear" w:color="auto" w:fill="FFFFFF"/>
                </w:rPr>
                <m:t>1</m:t>
              </m:r>
              <m:d>
                <m:dPr>
                  <m:begChr m:val="["/>
                  <m:endChr m:val="]"/>
                  <m:ctrlPr>
                    <w:rPr>
                      <w:rFonts w:ascii="Cambria Math" w:hAnsi="Arial" w:cs="Arial"/>
                      <w:color w:val="202124"/>
                      <w:shd w:val="clear" w:color="auto" w:fill="FFFFFF"/>
                    </w:rPr>
                  </m:ctrlPr>
                </m:dPr>
                <m:e>
                  <m:r>
                    <m:rPr>
                      <m:sty m:val="p"/>
                    </m:rPr>
                    <w:rPr>
                      <w:rFonts w:ascii="Cambria Math" w:hAnsi="Arial" w:cs="Arial"/>
                      <w:color w:val="202124"/>
                      <w:shd w:val="clear" w:color="auto" w:fill="FFFFFF"/>
                    </w:rPr>
                    <m:t>p</m:t>
                  </m:r>
                </m:e>
              </m:d>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bi"/>
                </m:rPr>
                <w:rPr>
                  <w:rFonts w:ascii="Cambria Math" w:hAnsi="Cambria Math"/>
                </w:rPr>
                <m:t>(D)</m:t>
              </m:r>
            </m:e>
          </m:nary>
        </m:oMath>
      </m:oMathPara>
    </w:p>
    <w:p w14:paraId="08259186" w14:textId="15C704B9" w:rsidR="00241997" w:rsidRDefault="00F605AB" w:rsidP="00241997">
      <w:pPr>
        <w:jc w:val="both"/>
        <w:rPr>
          <w:rFonts w:eastAsiaTheme="minorEastAsia"/>
        </w:rPr>
      </w:pPr>
      <m:oMathPara>
        <m:oMath>
          <m:r>
            <w:rPr>
              <w:rFonts w:ascii="Cambria Math" w:hAnsi="Cambria Math"/>
            </w:rPr>
            <m:t>&lt;=&gt;C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s=2, s</m:t>
              </m:r>
              <m:r>
                <m:rPr>
                  <m:sty m:val="p"/>
                </m:rPr>
                <w:rPr>
                  <w:rFonts w:ascii="Cambria Math" w:hAnsi="Cambria Math" w:cs="Arial"/>
                  <w:color w:val="202124"/>
                  <w:shd w:val="clear" w:color="auto" w:fill="FFFFFF"/>
                </w:rPr>
                <m:t>≡</m:t>
              </m:r>
              <m:r>
                <m:rPr>
                  <m:sty m:val="p"/>
                </m:rPr>
                <w:rPr>
                  <w:rFonts w:ascii="Cambria Math" w:hAnsi="Arial" w:cs="Arial"/>
                  <w:color w:val="202124"/>
                  <w:shd w:val="clear" w:color="auto" w:fill="FFFFFF"/>
                </w:rPr>
                <m:t>1</m:t>
              </m:r>
              <m:d>
                <m:dPr>
                  <m:begChr m:val="["/>
                  <m:endChr m:val="]"/>
                  <m:ctrlPr>
                    <w:rPr>
                      <w:rFonts w:ascii="Cambria Math" w:hAnsi="Arial" w:cs="Arial"/>
                      <w:color w:val="202124"/>
                      <w:shd w:val="clear" w:color="auto" w:fill="FFFFFF"/>
                    </w:rPr>
                  </m:ctrlPr>
                </m:dPr>
                <m:e>
                  <m:r>
                    <m:rPr>
                      <m:sty m:val="p"/>
                    </m:rPr>
                    <w:rPr>
                      <w:rFonts w:ascii="Cambria Math" w:hAnsi="Arial" w:cs="Arial"/>
                      <w:color w:val="202124"/>
                      <w:shd w:val="clear" w:color="auto" w:fill="FFFFFF"/>
                    </w:rPr>
                    <m:t>p</m:t>
                  </m:r>
                </m:e>
              </m:d>
              <m:r>
                <w:rPr>
                  <w:rFonts w:ascii="Cambria Math" w:hAnsi="Cambria Math"/>
                </w:rPr>
                <m:t xml:space="preserve"> </m:t>
              </m:r>
            </m:sub>
            <m:sup>
              <m:r>
                <w:rPr>
                  <w:rFonts w:ascii="Cambria Math" w:hAnsi="Cambria Math"/>
                </w:rPr>
                <m:t>t</m:t>
              </m:r>
            </m:sup>
            <m:e>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k=s+1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num>
                    <m:den>
                      <m:nary>
                        <m:naryPr>
                          <m:chr m:val="∑"/>
                          <m:limLoc m:val="undOvr"/>
                          <m:ctrlPr>
                            <w:rPr>
                              <w:rFonts w:ascii="Cambria Math" w:hAnsi="Cambria Math"/>
                              <w:i/>
                            </w:rPr>
                          </m:ctrlPr>
                        </m:naryPr>
                        <m:sub>
                          <m:r>
                            <w:rPr>
                              <w:rFonts w:ascii="Cambria Math" w:hAnsi="Cambria Math"/>
                            </w:rPr>
                            <m:t>k=s+1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r>
                    <w:rPr>
                      <w:rFonts w:ascii="Cambria Math" w:hAnsi="Cambria Math"/>
                    </w:rPr>
                    <m:t xml:space="preserve"> </m:t>
                  </m:r>
                </m:e>
              </m:d>
              <m:r>
                <w:rPr>
                  <w:rFonts w:ascii="Cambria Math" w:hAnsi="Cambria Math"/>
                </w:rPr>
                <m:t>*</m:t>
              </m:r>
              <m:nary>
                <m:naryPr>
                  <m:chr m:val="∑"/>
                  <m:limLoc m:val="undOvr"/>
                  <m:ctrlPr>
                    <w:rPr>
                      <w:rFonts w:ascii="Cambria Math" w:hAnsi="Cambria Math"/>
                      <w:i/>
                    </w:rPr>
                  </m:ctrlPr>
                </m:naryPr>
                <m:sub>
                  <m:r>
                    <w:rPr>
                      <w:rFonts w:ascii="Cambria Math" w:hAnsi="Cambria Math"/>
                    </w:rPr>
                    <m:t>j=s-p</m:t>
                  </m:r>
                </m:sub>
                <m:sup>
                  <m:r>
                    <w:rPr>
                      <w:rFonts w:ascii="Cambria Math" w:hAnsi="Cambria Math"/>
                    </w:rPr>
                    <m:t>s-1</m:t>
                  </m:r>
                </m:sup>
                <m:e>
                  <m:r>
                    <w:rPr>
                      <w:rFonts w:ascii="Cambria Math" w:hAnsi="Cambria Math"/>
                    </w:rPr>
                    <m:t xml:space="preserve">C(j)*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oMath>
      </m:oMathPara>
    </w:p>
    <w:p w14:paraId="55628DBD" w14:textId="6FA7DC9A" w:rsidR="00241997" w:rsidRDefault="00241997" w:rsidP="00241997">
      <w:pPr>
        <w:jc w:val="both"/>
      </w:pPr>
      <w:r>
        <w:t>Il est à noter que les intérêts capitalisés des strates qui disparaissent sont répartis au prorata des strates toujours en vie. La relation suivante est donc toujours vérifiée quel que soit le temps t:</w:t>
      </w:r>
    </w:p>
    <w:p w14:paraId="40E47D54" w14:textId="77777777" w:rsidR="00241997" w:rsidRDefault="002F5A5D" w:rsidP="005B7E2C">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k=t</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i&gt;t</m:t>
              </m:r>
            </m:sub>
          </m:sSub>
          <m:r>
            <w:rPr>
              <w:rFonts w:ascii="Cambria Math" w:eastAsiaTheme="minorEastAsia" w:hAnsi="Cambria Math"/>
            </w:rPr>
            <m:t xml:space="preserve">  </m:t>
          </m:r>
        </m:oMath>
      </m:oMathPara>
    </w:p>
    <w:p w14:paraId="266D97BA" w14:textId="77777777" w:rsidR="00241997" w:rsidRPr="007E11AA" w:rsidRDefault="00241997" w:rsidP="007E11AA">
      <w:pPr>
        <w:jc w:val="both"/>
        <w:rPr>
          <w:rFonts w:eastAsiaTheme="minorEastAsia"/>
        </w:rPr>
      </w:pPr>
    </w:p>
    <w:p w14:paraId="134C2EDA" w14:textId="1ACA278D" w:rsidR="00F605AB" w:rsidRPr="00FE0F5B" w:rsidRDefault="007A4574" w:rsidP="00364E83">
      <w:pPr>
        <w:pStyle w:val="Titre3"/>
      </w:pPr>
      <w:r>
        <w:lastRenderedPageBreak/>
        <w:t>3.</w:t>
      </w:r>
      <w:r w:rsidR="00364E83">
        <w:t xml:space="preserve">2.2 </w:t>
      </w:r>
      <w:r w:rsidR="00F605AB" w:rsidRPr="00FE0F5B">
        <w:t>Modèle d</w:t>
      </w:r>
      <w:r w:rsidR="00F605AB">
        <w:t>’écoulement du capital d’un produit du stock</w:t>
      </w:r>
    </w:p>
    <w:p w14:paraId="6CAE23BB" w14:textId="1D025A07" w:rsidR="00F605AB" w:rsidRDefault="00F605AB" w:rsidP="00F605AB">
      <w:pPr>
        <w:jc w:val="both"/>
      </w:pPr>
      <w:r>
        <w:t>Pour un produit NMD du stock</w:t>
      </w:r>
      <w:r w:rsidR="002E534F">
        <w:t xml:space="preserve"> sans capitalisation</w:t>
      </w:r>
      <w:r>
        <w:t xml:space="preserve">, l’écoulement capital est tout simplement la somme du capital restant sur l’ensemble des parts stables et volatile du produit. </w:t>
      </w:r>
    </w:p>
    <w:p w14:paraId="530F16DA" w14:textId="4DBF390C" w:rsidR="007E11AA" w:rsidRDefault="007E11AA" w:rsidP="00F605AB">
      <w:pPr>
        <w:jc w:val="both"/>
      </w:pPr>
      <w:r>
        <w:t>Ainsi, l’écoulement total d’un produit NMD du stock (sans capitalisation) s’écrit comme la simple somme de l’écoulement du capital de ses parts. Si on note p le nombre de part de ce produit, alors on peut écrire que :</w:t>
      </w:r>
    </w:p>
    <w:p w14:paraId="4BCD1614" w14:textId="3B93F56C" w:rsidR="007E11AA" w:rsidRPr="007E11AA" w:rsidRDefault="002F5A5D" w:rsidP="005B7E2C">
      <w:pPr>
        <w:jc w:val="center"/>
        <w:rPr>
          <w:rFonts w:eastAsiaTheme="minorEastAsia"/>
          <w:b/>
          <w:bCs/>
        </w:rPr>
      </w:pPr>
      <m:oMath>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ST_NMD</m:t>
            </m:r>
          </m:sub>
        </m:sSub>
        <m:r>
          <m:rPr>
            <m:sty m:val="bi"/>
          </m:rPr>
          <w:rPr>
            <w:rFonts w:ascii="Cambria Math" w:hAnsi="Cambria Math"/>
            <w:highlight w:val="lightGray"/>
          </w:rPr>
          <m:t>(t)=</m:t>
        </m:r>
        <m:nary>
          <m:naryPr>
            <m:chr m:val="∑"/>
            <m:limLoc m:val="undOvr"/>
            <m:ctrlPr>
              <w:rPr>
                <w:rFonts w:ascii="Cambria Math" w:hAnsi="Cambria Math"/>
                <w:b/>
                <w:bCs/>
                <w:i/>
                <w:highlight w:val="lightGray"/>
              </w:rPr>
            </m:ctrlPr>
          </m:naryPr>
          <m:sub>
            <m:r>
              <m:rPr>
                <m:sty m:val="bi"/>
              </m:rPr>
              <w:rPr>
                <w:rFonts w:ascii="Cambria Math" w:hAnsi="Cambria Math"/>
                <w:highlight w:val="lightGray"/>
              </w:rPr>
              <m:t>i=1</m:t>
            </m:r>
          </m:sub>
          <m:sup>
            <m:r>
              <m:rPr>
                <m:sty m:val="bi"/>
              </m:rPr>
              <w:rPr>
                <w:rFonts w:ascii="Cambria Math" w:hAnsi="Cambria Math"/>
                <w:highlight w:val="lightGray"/>
              </w:rPr>
              <m:t>p</m:t>
            </m:r>
          </m:sup>
          <m:e>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i</m:t>
                </m:r>
              </m:sub>
            </m:sSub>
            <m:r>
              <m:rPr>
                <m:sty m:val="bi"/>
              </m:rPr>
              <w:rPr>
                <w:rFonts w:ascii="Cambria Math" w:hAnsi="Cambria Math"/>
                <w:highlight w:val="lightGray"/>
              </w:rPr>
              <m:t xml:space="preserve">(t)  </m:t>
            </m:r>
          </m:e>
        </m:nary>
        <m:r>
          <m:rPr>
            <m:sty m:val="bi"/>
          </m:rPr>
          <w:rPr>
            <w:rFonts w:ascii="Cambria Math" w:hAnsi="Cambria Math"/>
            <w:highlight w:val="lightGray"/>
          </w:rPr>
          <m:t>=</m:t>
        </m:r>
        <m:nary>
          <m:naryPr>
            <m:chr m:val="∑"/>
            <m:limLoc m:val="undOvr"/>
            <m:ctrlPr>
              <w:rPr>
                <w:rFonts w:ascii="Cambria Math" w:hAnsi="Cambria Math"/>
                <w:b/>
                <w:bCs/>
                <w:i/>
                <w:highlight w:val="lightGray"/>
              </w:rPr>
            </m:ctrlPr>
          </m:naryPr>
          <m:sub>
            <m:r>
              <m:rPr>
                <m:sty m:val="bi"/>
              </m:rPr>
              <w:rPr>
                <w:rFonts w:ascii="Cambria Math" w:hAnsi="Cambria Math"/>
                <w:highlight w:val="lightGray"/>
              </w:rPr>
              <m:t>i=1</m:t>
            </m:r>
          </m:sub>
          <m:sup>
            <m:r>
              <m:rPr>
                <m:sty m:val="bi"/>
              </m:rPr>
              <w:rPr>
                <w:rFonts w:ascii="Cambria Math" w:hAnsi="Cambria Math"/>
                <w:highlight w:val="lightGray"/>
              </w:rPr>
              <m:t>p</m:t>
            </m:r>
          </m:sup>
          <m:e>
            <m:r>
              <m:rPr>
                <m:sty m:val="bi"/>
              </m:rPr>
              <w:rPr>
                <w:rFonts w:ascii="Cambria Math" w:hAnsi="Cambria Math"/>
                <w:highlight w:val="lightGray"/>
              </w:rPr>
              <m:t>(</m:t>
            </m:r>
            <m:d>
              <m:dPr>
                <m:ctrlPr>
                  <w:rPr>
                    <w:rFonts w:ascii="Cambria Math" w:hAnsi="Cambria Math"/>
                    <w:b/>
                    <w:bCs/>
                    <w:i/>
                    <w:highlight w:val="lightGray"/>
                  </w:rPr>
                </m:ctrlPr>
              </m:dPr>
              <m:e>
                <m:r>
                  <m:rPr>
                    <m:sty m:val="bi"/>
                  </m:rPr>
                  <w:rPr>
                    <w:rFonts w:ascii="Cambria Math" w:hAnsi="Cambria Math"/>
                    <w:highlight w:val="lightGray"/>
                  </w:rPr>
                  <m:t xml:space="preserve">1- </m:t>
                </m:r>
                <m:nary>
                  <m:naryPr>
                    <m:chr m:val="∑"/>
                    <m:limLoc m:val="undOvr"/>
                    <m:ctrlPr>
                      <w:rPr>
                        <w:rFonts w:ascii="Cambria Math" w:hAnsi="Cambria Math"/>
                        <w:b/>
                        <w:bCs/>
                        <w:i/>
                        <w:highlight w:val="lightGray"/>
                      </w:rPr>
                    </m:ctrlPr>
                  </m:naryPr>
                  <m:sub>
                    <m:r>
                      <m:rPr>
                        <m:sty m:val="bi"/>
                      </m:rPr>
                      <w:rPr>
                        <w:rFonts w:ascii="Cambria Math" w:hAnsi="Cambria Math"/>
                        <w:highlight w:val="lightGray"/>
                      </w:rPr>
                      <m:t>k=1</m:t>
                    </m:r>
                  </m:sub>
                  <m:sup>
                    <m:r>
                      <m:rPr>
                        <m:sty m:val="bi"/>
                      </m:rPr>
                      <w:rPr>
                        <w:rFonts w:ascii="Cambria Math" w:hAnsi="Cambria Math"/>
                        <w:highlight w:val="lightGray"/>
                      </w:rPr>
                      <m:t>t</m:t>
                    </m:r>
                  </m:sup>
                  <m:e>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k,i</m:t>
                        </m:r>
                      </m:sub>
                    </m:sSub>
                  </m:e>
                </m:nary>
              </m:e>
            </m:d>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0,i</m:t>
                </m:r>
              </m:sub>
            </m:sSub>
            <m:r>
              <m:rPr>
                <m:sty m:val="bi"/>
              </m:rPr>
              <w:rPr>
                <w:rFonts w:ascii="Cambria Math" w:hAnsi="Cambria Math"/>
                <w:highlight w:val="lightGray"/>
              </w:rPr>
              <m:t xml:space="preserve">)  </m:t>
            </m:r>
          </m:e>
        </m:nary>
      </m:oMath>
      <w:r w:rsidR="007E11AA" w:rsidRPr="005B7E2C">
        <w:rPr>
          <w:rFonts w:eastAsiaTheme="minorEastAsia"/>
          <w:b/>
          <w:bCs/>
          <w:highlight w:val="lightGray"/>
        </w:rPr>
        <w:t>(</w:t>
      </w:r>
      <w:r w:rsidR="002E534F" w:rsidRPr="005B7E2C">
        <w:rPr>
          <w:rFonts w:ascii="Cambria Math" w:eastAsiaTheme="minorEastAsia" w:hAnsi="Cambria Math" w:cs="Cambria Math"/>
          <w:b/>
          <w:bCs/>
          <w:highlight w:val="lightGray"/>
        </w:rPr>
        <w:t>E</w:t>
      </w:r>
      <w:r w:rsidR="007E11AA" w:rsidRPr="005B7E2C">
        <w:rPr>
          <w:rFonts w:eastAsiaTheme="minorEastAsia"/>
          <w:b/>
          <w:bCs/>
          <w:highlight w:val="lightGray"/>
        </w:rPr>
        <w:t>)</w:t>
      </w:r>
    </w:p>
    <w:p w14:paraId="26A84F85" w14:textId="77777777" w:rsidR="002E534F" w:rsidRDefault="002E534F" w:rsidP="007E11AA">
      <w:pPr>
        <w:jc w:val="both"/>
      </w:pPr>
    </w:p>
    <w:p w14:paraId="6F9DA229" w14:textId="7E448B7E" w:rsidR="00F605AB" w:rsidRDefault="007E11AA" w:rsidP="007E11AA">
      <w:pPr>
        <w:jc w:val="both"/>
      </w:pPr>
      <w:r>
        <w:t>Pour les produits du stock qui capitalisent leurs intérêts, la loi d’écoulement du capital est beaucoup plus complexe. En effet, l</w:t>
      </w:r>
      <w:r w:rsidR="00F605AB">
        <w:t>a part volatile s’écoule en général en quelques mois et les intérêts qu’elle gén</w:t>
      </w:r>
      <w:r>
        <w:t>ère</w:t>
      </w:r>
      <w:r w:rsidR="00F605AB">
        <w:t xml:space="preserve"> </w:t>
      </w:r>
      <w:r>
        <w:t>sont</w:t>
      </w:r>
      <w:r w:rsidR="00F605AB">
        <w:t xml:space="preserve"> ajoutés au capital des parts stables au prorata de </w:t>
      </w:r>
      <w:r>
        <w:t>leur poids dans le capital restant</w:t>
      </w:r>
      <w:r w:rsidR="00F605AB">
        <w:t>, lorsque la part volatile disparaît.</w:t>
      </w:r>
      <w:r>
        <w:t xml:space="preserve"> Ce qui va compliquer le modèle d’écoulement dégagé dans le paragraphe précédent.</w:t>
      </w:r>
    </w:p>
    <w:p w14:paraId="0D62E806" w14:textId="489A46CD" w:rsidR="00F605AB" w:rsidRDefault="00F605AB" w:rsidP="00F605AB">
      <w:pPr>
        <w:jc w:val="both"/>
      </w:pPr>
      <w:r>
        <w:t xml:space="preserve">Ainsi </w:t>
      </w:r>
      <w:r w:rsidR="007E11AA">
        <w:t xml:space="preserve">si </w:t>
      </w:r>
      <w:r>
        <w:t xml:space="preserve">la formule </w:t>
      </w:r>
      <m:oMath>
        <m:r>
          <m:rPr>
            <m:sty m:val="bi"/>
          </m:rPr>
          <w:rPr>
            <w:rFonts w:ascii="Cambria Math" w:hAnsi="Cambria Math"/>
          </w:rPr>
          <m:t>(D</m:t>
        </m:r>
        <m:r>
          <m:rPr>
            <m:sty m:val="bi"/>
          </m:rPr>
          <w:rPr>
            <w:rFonts w:ascii="Cambria Math" w:eastAsiaTheme="minorEastAsia" w:hAnsi="Cambria Math"/>
          </w:rPr>
          <m:t>)</m:t>
        </m:r>
      </m:oMath>
      <w:r>
        <w:rPr>
          <w:rFonts w:eastAsiaTheme="minorEastAsia"/>
          <w:b/>
        </w:rPr>
        <w:t xml:space="preserve"> </w:t>
      </w:r>
      <w:r w:rsidRPr="00416273">
        <w:t>s’applique à la part volatile</w:t>
      </w:r>
      <w:r w:rsidR="007E11AA">
        <w:t xml:space="preserve">, </w:t>
      </w:r>
      <w:r>
        <w:t>elle doit être modifiée pour les parts stables, pour tenir compte du reversement des intérêts non capitalisés de la part volatile vers les parts stables</w:t>
      </w:r>
      <w:r w:rsidR="00BA4D10">
        <w:t xml:space="preserve">. </w:t>
      </w:r>
      <w:r w:rsidR="00241997">
        <w:t>Dans un modèle simple avec une seule part volatile et une seule part stable, et s</w:t>
      </w:r>
      <w:r w:rsidR="00BA4D10">
        <w:t xml:space="preserve">i </w:t>
      </w:r>
      <w:r w:rsidR="00AC5C4D">
        <w:t>l</w:t>
      </w:r>
      <w:r w:rsidR="00241997">
        <w:t>‘</w:t>
      </w:r>
      <w:r w:rsidR="00BA4D10">
        <w:t xml:space="preserve">on indexe par </w:t>
      </w:r>
      <w:r w:rsidR="00BA4D10" w:rsidRPr="00BA4D10">
        <w:rPr>
          <w:b/>
          <w:bCs/>
          <w:i/>
          <w:iCs/>
        </w:rPr>
        <w:t>st</w:t>
      </w:r>
      <w:r w:rsidR="00BA4D10">
        <w:t xml:space="preserve"> la part stable et par </w:t>
      </w:r>
      <w:r w:rsidR="00BA4D10" w:rsidRPr="00BA4D10">
        <w:rPr>
          <w:b/>
          <w:bCs/>
          <w:i/>
          <w:iCs/>
        </w:rPr>
        <w:t>vol</w:t>
      </w:r>
      <w:r w:rsidR="00BA4D10">
        <w:t xml:space="preserve"> la part volatile, alor</w:t>
      </w:r>
      <w:r w:rsidR="003F2791">
        <w:t>s le capital de ces deux parts peut s’écrire comme</w:t>
      </w:r>
      <w:r w:rsidR="00BA4D10">
        <w:t xml:space="preserve"> :</w:t>
      </w:r>
    </w:p>
    <w:p w14:paraId="266BDBAA" w14:textId="3F3D0C3C" w:rsidR="00F605AB" w:rsidRPr="005B7E2C" w:rsidRDefault="002F5A5D" w:rsidP="00F605AB">
      <w:pPr>
        <w:pBdr>
          <w:top w:val="single" w:sz="4" w:space="1" w:color="auto"/>
          <w:left w:val="single" w:sz="4" w:space="4" w:color="auto"/>
          <w:bottom w:val="single" w:sz="4" w:space="1" w:color="auto"/>
          <w:right w:val="single" w:sz="4" w:space="4" w:color="auto"/>
        </w:pBdr>
        <w:jc w:val="center"/>
        <w:rPr>
          <w:rFonts w:eastAsiaTheme="minorEastAsia"/>
          <w:b/>
          <w:highlight w:val="lightGray"/>
        </w:rPr>
      </w:pPr>
      <m:oMathPara>
        <m:oMath>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 xml:space="preserve">vol </m:t>
              </m:r>
            </m:sub>
          </m:sSub>
          <m:r>
            <m:rPr>
              <m:sty m:val="bi"/>
            </m:rPr>
            <w:rPr>
              <w:rFonts w:ascii="Cambria Math" w:hAnsi="Cambria Math"/>
              <w:highlight w:val="lightGray"/>
            </w:rPr>
            <m:t>(s)=</m:t>
          </m:r>
          <m:d>
            <m:dPr>
              <m:ctrlPr>
                <w:rPr>
                  <w:rFonts w:ascii="Cambria Math" w:hAnsi="Cambria Math"/>
                  <w:b/>
                  <w:bCs/>
                  <w:i/>
                  <w:highlight w:val="lightGray"/>
                </w:rPr>
              </m:ctrlPr>
            </m:dPr>
            <m:e>
              <m:r>
                <m:rPr>
                  <m:sty m:val="bi"/>
                </m:rPr>
                <w:rPr>
                  <w:rFonts w:ascii="Cambria Math" w:hAnsi="Cambria Math"/>
                  <w:highlight w:val="lightGray"/>
                </w:rPr>
                <m:t xml:space="preserve">1- </m:t>
              </m:r>
              <m:f>
                <m:fPr>
                  <m:ctrlPr>
                    <w:rPr>
                      <w:rFonts w:ascii="Cambria Math" w:hAnsi="Cambria Math"/>
                      <w:b/>
                      <w:bCs/>
                      <w:i/>
                      <w:highlight w:val="lightGray"/>
                    </w:rPr>
                  </m:ctrlPr>
                </m:fPr>
                <m:num>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s,vol</m:t>
                      </m:r>
                    </m:sub>
                  </m:sSub>
                </m:num>
                <m:den>
                  <m:nary>
                    <m:naryPr>
                      <m:chr m:val="∑"/>
                      <m:limLoc m:val="undOvr"/>
                      <m:ctrlPr>
                        <w:rPr>
                          <w:rFonts w:ascii="Cambria Math" w:hAnsi="Cambria Math"/>
                          <w:b/>
                          <w:bCs/>
                          <w:i/>
                          <w:highlight w:val="lightGray"/>
                        </w:rPr>
                      </m:ctrlPr>
                    </m:naryPr>
                    <m:sub>
                      <m:r>
                        <m:rPr>
                          <m:sty m:val="bi"/>
                        </m:rPr>
                        <w:rPr>
                          <w:rFonts w:ascii="Cambria Math" w:hAnsi="Cambria Math"/>
                          <w:highlight w:val="lightGray"/>
                        </w:rPr>
                        <m:t>k=s</m:t>
                      </m:r>
                    </m:sub>
                    <m:sup>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vol</m:t>
                          </m:r>
                        </m:sub>
                      </m:sSub>
                    </m:sup>
                    <m:e>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k,vol</m:t>
                          </m:r>
                        </m:sub>
                      </m:sSub>
                    </m:e>
                  </m:nary>
                </m:den>
              </m:f>
            </m:e>
          </m:d>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s-1,vol</m:t>
              </m:r>
            </m:sub>
          </m:sSub>
          <m:r>
            <m:rPr>
              <m:sty m:val="bi"/>
            </m:rPr>
            <w:rPr>
              <w:rFonts w:ascii="Cambria Math" w:hAnsi="Cambria Math"/>
              <w:highlight w:val="lightGray"/>
            </w:rPr>
            <m:t xml:space="preserve">+ </m:t>
          </m:r>
          <m:sSub>
            <m:sSubPr>
              <m:ctrlPr>
                <w:rPr>
                  <w:rFonts w:ascii="Cambria Math" w:hAnsi="Cambria Math"/>
                  <w:b/>
                  <w:bCs/>
                  <w:i/>
                  <w:highlight w:val="lightGray"/>
                </w:rPr>
              </m:ctrlPr>
            </m:sSubPr>
            <m:e>
              <m:r>
                <m:rPr>
                  <m:sty m:val="bi"/>
                </m:rPr>
                <w:rPr>
                  <w:rFonts w:ascii="Cambria Math" w:hAnsi="Cambria Math"/>
                  <w:highlight w:val="lightGray"/>
                </w:rPr>
                <m:t>I</m:t>
              </m:r>
            </m:e>
            <m:sub>
              <m:r>
                <m:rPr>
                  <m:sty m:val="bi"/>
                </m:rPr>
                <w:rPr>
                  <w:rFonts w:ascii="Cambria Math" w:hAnsi="Cambria Math"/>
                  <w:highlight w:val="lightGray"/>
                </w:rPr>
                <m:t>s, vol</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 xml:space="preserve">  *</m:t>
          </m:r>
          <m:sSub>
            <m:sSubPr>
              <m:ctrlPr>
                <w:rPr>
                  <w:rFonts w:ascii="Cambria Math" w:hAnsi="Cambria Math"/>
                  <w:b/>
                  <w:i/>
                  <w:highlight w:val="lightGray"/>
                </w:rPr>
              </m:ctrlPr>
            </m:sSubPr>
            <m:e>
              <m:r>
                <m:rPr>
                  <m:sty m:val="bi"/>
                </m:rPr>
                <w:rPr>
                  <w:rFonts w:ascii="Cambria Math" w:hAnsi="Cambria Math"/>
                  <w:highlight w:val="lightGray"/>
                </w:rPr>
                <m:t>1</m:t>
              </m:r>
            </m:e>
            <m:sub>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vol</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!=0</m:t>
              </m:r>
            </m:sub>
          </m:sSub>
          <m:r>
            <m:rPr>
              <m:sty m:val="bi"/>
            </m:rPr>
            <w:rPr>
              <w:rFonts w:ascii="Cambria Math" w:hAnsi="Cambria Math"/>
              <w:highlight w:val="lightGray"/>
            </w:rPr>
            <m:t xml:space="preserve">     </m:t>
          </m:r>
        </m:oMath>
      </m:oMathPara>
    </w:p>
    <w:p w14:paraId="12D6C60D" w14:textId="12ECE1D8" w:rsidR="00F605AB" w:rsidRPr="005B7E2C" w:rsidRDefault="002F5A5D" w:rsidP="00F605AB">
      <w:pPr>
        <w:pBdr>
          <w:top w:val="single" w:sz="4" w:space="1" w:color="auto"/>
          <w:left w:val="single" w:sz="4" w:space="4" w:color="auto"/>
          <w:bottom w:val="single" w:sz="4" w:space="1" w:color="auto"/>
          <w:right w:val="single" w:sz="4" w:space="4" w:color="auto"/>
        </w:pBdr>
        <w:jc w:val="center"/>
        <w:rPr>
          <w:rFonts w:eastAsiaTheme="minorEastAsia"/>
          <w:b/>
          <w:highlight w:val="lightGray"/>
        </w:rPr>
      </w:pPr>
      <m:oMath>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st</m:t>
            </m:r>
          </m:sub>
        </m:sSub>
        <m:r>
          <m:rPr>
            <m:sty m:val="bi"/>
          </m:rPr>
          <w:rPr>
            <w:rFonts w:ascii="Cambria Math" w:hAnsi="Cambria Math"/>
            <w:highlight w:val="lightGray"/>
          </w:rPr>
          <m:t>(s)=</m:t>
        </m:r>
        <m:d>
          <m:dPr>
            <m:ctrlPr>
              <w:rPr>
                <w:rFonts w:ascii="Cambria Math" w:hAnsi="Cambria Math"/>
                <w:b/>
                <w:bCs/>
                <w:i/>
                <w:highlight w:val="lightGray"/>
              </w:rPr>
            </m:ctrlPr>
          </m:dPr>
          <m:e>
            <m:r>
              <m:rPr>
                <m:sty m:val="bi"/>
              </m:rPr>
              <w:rPr>
                <w:rFonts w:ascii="Cambria Math" w:hAnsi="Cambria Math"/>
                <w:highlight w:val="lightGray"/>
              </w:rPr>
              <m:t xml:space="preserve">1- </m:t>
            </m:r>
            <m:f>
              <m:fPr>
                <m:ctrlPr>
                  <w:rPr>
                    <w:rFonts w:ascii="Cambria Math" w:hAnsi="Cambria Math"/>
                    <w:b/>
                    <w:bCs/>
                    <w:i/>
                    <w:highlight w:val="lightGray"/>
                  </w:rPr>
                </m:ctrlPr>
              </m:fPr>
              <m:num>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s,st</m:t>
                    </m:r>
                  </m:sub>
                </m:sSub>
              </m:num>
              <m:den>
                <m:nary>
                  <m:naryPr>
                    <m:chr m:val="∑"/>
                    <m:limLoc m:val="undOvr"/>
                    <m:ctrlPr>
                      <w:rPr>
                        <w:rFonts w:ascii="Cambria Math" w:hAnsi="Cambria Math"/>
                        <w:b/>
                        <w:bCs/>
                        <w:i/>
                        <w:highlight w:val="lightGray"/>
                      </w:rPr>
                    </m:ctrlPr>
                  </m:naryPr>
                  <m:sub>
                    <m:r>
                      <m:rPr>
                        <m:sty m:val="bi"/>
                      </m:rPr>
                      <w:rPr>
                        <w:rFonts w:ascii="Cambria Math" w:hAnsi="Cambria Math"/>
                        <w:highlight w:val="lightGray"/>
                      </w:rPr>
                      <m:t>k=s</m:t>
                    </m:r>
                  </m:sub>
                  <m:sup>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st</m:t>
                        </m:r>
                      </m:sub>
                    </m:sSub>
                  </m:sup>
                  <m:e>
                    <m:sSub>
                      <m:sSubPr>
                        <m:ctrlPr>
                          <w:rPr>
                            <w:rFonts w:ascii="Cambria Math" w:hAnsi="Cambria Math"/>
                            <w:b/>
                            <w:bCs/>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k,st</m:t>
                        </m:r>
                      </m:sub>
                    </m:sSub>
                  </m:e>
                </m:nary>
              </m:den>
            </m:f>
          </m:e>
        </m:d>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st</m:t>
            </m:r>
          </m:sub>
        </m:sSub>
        <m:r>
          <m:rPr>
            <m:sty m:val="bi"/>
          </m:rPr>
          <w:rPr>
            <w:rFonts w:ascii="Cambria Math" w:hAnsi="Cambria Math"/>
            <w:highlight w:val="lightGray"/>
          </w:rPr>
          <m:t xml:space="preserve">(s-1)+ </m:t>
        </m:r>
        <m:sSub>
          <m:sSubPr>
            <m:ctrlPr>
              <w:rPr>
                <w:rFonts w:ascii="Cambria Math" w:hAnsi="Cambria Math"/>
                <w:b/>
                <w:bCs/>
                <w:i/>
                <w:highlight w:val="lightGray"/>
              </w:rPr>
            </m:ctrlPr>
          </m:sSubPr>
          <m:e>
            <m:r>
              <m:rPr>
                <m:sty m:val="bi"/>
              </m:rPr>
              <w:rPr>
                <w:rFonts w:ascii="Cambria Math" w:hAnsi="Cambria Math"/>
                <w:highlight w:val="lightGray"/>
              </w:rPr>
              <m:t>I</m:t>
            </m:r>
          </m:e>
          <m:sub>
            <m:r>
              <m:rPr>
                <m:sty m:val="bi"/>
              </m:rPr>
              <w:rPr>
                <w:rFonts w:ascii="Cambria Math" w:hAnsi="Cambria Math"/>
                <w:highlight w:val="lightGray"/>
              </w:rPr>
              <m:t>st, s</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 xml:space="preserve"> + </m:t>
        </m:r>
        <m:sSub>
          <m:sSubPr>
            <m:ctrlPr>
              <w:rPr>
                <w:rFonts w:ascii="Cambria Math" w:hAnsi="Cambria Math"/>
                <w:b/>
                <w:bCs/>
                <w:i/>
                <w:highlight w:val="lightGray"/>
              </w:rPr>
            </m:ctrlPr>
          </m:sSubPr>
          <m:e>
            <m:r>
              <m:rPr>
                <m:sty m:val="bi"/>
              </m:rPr>
              <w:rPr>
                <w:rFonts w:ascii="Cambria Math" w:hAnsi="Cambria Math"/>
                <w:highlight w:val="lightGray"/>
              </w:rPr>
              <m:t>I</m:t>
            </m:r>
          </m:e>
          <m:sub>
            <m:r>
              <m:rPr>
                <m:sty m:val="bi"/>
              </m:rPr>
              <w:rPr>
                <w:rFonts w:ascii="Cambria Math" w:hAnsi="Cambria Math"/>
                <w:highlight w:val="lightGray"/>
              </w:rPr>
              <m:t>vol,s</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1</m:t>
            </m:r>
          </m:e>
          <m:sub>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vol</m:t>
                </m:r>
              </m:sub>
            </m:sSub>
            <m:r>
              <m:rPr>
                <m:sty m:val="bi"/>
              </m:rPr>
              <w:rPr>
                <w:rFonts w:ascii="Cambria Math" w:hAnsi="Cambria Math"/>
                <w:highlight w:val="lightGray"/>
              </w:rPr>
              <m:t>(s)=0</m:t>
            </m:r>
          </m:sub>
        </m:sSub>
        <m:r>
          <m:rPr>
            <m:sty m:val="bi"/>
          </m:rPr>
          <w:rPr>
            <w:rFonts w:ascii="Cambria Math" w:hAnsi="Cambria Math"/>
            <w:highlight w:val="lightGray"/>
          </w:rPr>
          <m:t xml:space="preserve">        (F</m:t>
        </m:r>
        <m:r>
          <m:rPr>
            <m:sty m:val="bi"/>
          </m:rPr>
          <w:rPr>
            <w:rFonts w:ascii="Cambria Math" w:eastAsiaTheme="minorEastAsia" w:hAnsi="Cambria Math"/>
            <w:highlight w:val="lightGray"/>
          </w:rPr>
          <m:t>)</m:t>
        </m:r>
      </m:oMath>
      <w:r w:rsidR="00F605AB" w:rsidRPr="005B7E2C">
        <w:rPr>
          <w:rFonts w:eastAsiaTheme="minorEastAsia"/>
          <w:b/>
          <w:highlight w:val="lightGray"/>
        </w:rPr>
        <w:t xml:space="preserve"> </w:t>
      </w:r>
    </w:p>
    <w:p w14:paraId="09D05E15" w14:textId="127BEDD5" w:rsidR="00BA4D10" w:rsidRPr="007E11AA" w:rsidRDefault="002F5A5D" w:rsidP="00BA4D10">
      <w:pPr>
        <w:pBdr>
          <w:top w:val="single" w:sz="4" w:space="1" w:color="auto"/>
          <w:left w:val="single" w:sz="4" w:space="4" w:color="auto"/>
          <w:bottom w:val="single" w:sz="4" w:space="1" w:color="auto"/>
          <w:right w:val="single" w:sz="4" w:space="4" w:color="auto"/>
        </w:pBdr>
        <w:jc w:val="center"/>
        <w:rPr>
          <w:rFonts w:eastAsiaTheme="minorEastAsia"/>
          <w:b/>
          <w:bCs/>
        </w:rPr>
      </w:pPr>
      <m:oMathPara>
        <m:oMath>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m:t>
              </m:r>
              <m:sSub>
                <m:sSubPr>
                  <m:ctrlPr>
                    <w:rPr>
                      <w:rFonts w:ascii="Cambria Math" w:hAnsi="Cambria Math"/>
                      <w:b/>
                      <w:bCs/>
                      <w:i/>
                      <w:highlight w:val="lightGray"/>
                    </w:rPr>
                  </m:ctrlPr>
                </m:sSubPr>
                <m:e>
                  <m:r>
                    <m:rPr>
                      <m:sty m:val="bi"/>
                    </m:rPr>
                    <w:rPr>
                      <w:rFonts w:ascii="Cambria Math" w:hAnsi="Cambria Math"/>
                      <w:highlight w:val="lightGray"/>
                    </w:rPr>
                    <m:t>T</m:t>
                  </m:r>
                </m:e>
                <m:sub>
                  <m:r>
                    <m:rPr>
                      <m:sty m:val="bi"/>
                    </m:rPr>
                    <w:rPr>
                      <w:rFonts w:ascii="Cambria Math" w:hAnsi="Cambria Math"/>
                      <w:highlight w:val="lightGray"/>
                    </w:rPr>
                    <m:t>NMD</m:t>
                  </m:r>
                </m:sub>
              </m:sSub>
            </m:sub>
          </m:sSub>
          <m:d>
            <m:dPr>
              <m:ctrlPr>
                <w:rPr>
                  <w:rFonts w:ascii="Cambria Math" w:hAnsi="Cambria Math"/>
                  <w:b/>
                  <w:bCs/>
                  <w:i/>
                  <w:highlight w:val="lightGray"/>
                </w:rPr>
              </m:ctrlPr>
            </m:dPr>
            <m:e>
              <m:r>
                <m:rPr>
                  <m:sty m:val="bi"/>
                </m:rPr>
                <w:rPr>
                  <w:rFonts w:ascii="Cambria Math" w:hAnsi="Cambria Math"/>
                  <w:highlight w:val="lightGray"/>
                </w:rPr>
                <m:t>s</m:t>
              </m:r>
            </m:e>
          </m:d>
          <m:r>
            <m:rPr>
              <m:sty m:val="bi"/>
            </m:rPr>
            <w:rPr>
              <w:rFonts w:ascii="Cambria Math" w:hAnsi="Cambria Math"/>
              <w:highlight w:val="lightGray"/>
            </w:rPr>
            <m:t>=</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 xml:space="preserve">vol </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 xml:space="preserve">+ </m:t>
          </m:r>
          <m:sSub>
            <m:sSubPr>
              <m:ctrlPr>
                <w:rPr>
                  <w:rFonts w:ascii="Cambria Math" w:hAnsi="Cambria Math"/>
                  <w:b/>
                  <w:bCs/>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st</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rPr>
            <m:t xml:space="preserve"> </m:t>
          </m:r>
        </m:oMath>
      </m:oMathPara>
    </w:p>
    <w:p w14:paraId="133F0F7C" w14:textId="46C1CCA8" w:rsidR="00241997" w:rsidRPr="003F54FA" w:rsidRDefault="00BA4D10" w:rsidP="003F54FA">
      <w:pPr>
        <w:jc w:val="both"/>
        <w:rPr>
          <w:rFonts w:eastAsiaTheme="minorEastAsia"/>
          <w:b/>
          <w:bCs/>
          <w:color w:val="FF0000"/>
        </w:rPr>
      </w:pPr>
      <w:r>
        <w:t xml:space="preserve">Il n’y a pas de formule générale </w:t>
      </w:r>
      <w:r w:rsidR="003F2791">
        <w:t>évidente</w:t>
      </w:r>
      <w:r>
        <w:t xml:space="preserve"> qui permette </w:t>
      </w:r>
      <w:r w:rsidR="003F54FA">
        <w:t>de décrire</w:t>
      </w:r>
      <w:r>
        <w:t xml:space="preserve"> l’évolution du capital d’un produit à capitalisation dans le temps. </w:t>
      </w:r>
      <w:r w:rsidRPr="003F2791">
        <w:rPr>
          <w:b/>
          <w:bCs/>
          <w:color w:val="FF0000"/>
        </w:rPr>
        <w:t xml:space="preserve">Elle ne peut que se calculer </w:t>
      </w:r>
      <w:r w:rsidR="003F54FA">
        <w:rPr>
          <w:b/>
          <w:bCs/>
          <w:color w:val="FF0000"/>
        </w:rPr>
        <w:t xml:space="preserve">que </w:t>
      </w:r>
      <w:r w:rsidRPr="003F2791">
        <w:rPr>
          <w:b/>
          <w:bCs/>
          <w:color w:val="FF0000"/>
        </w:rPr>
        <w:t xml:space="preserve">de manière </w:t>
      </w:r>
      <w:r w:rsidR="00150BDF" w:rsidRPr="003F2791">
        <w:rPr>
          <w:b/>
          <w:bCs/>
          <w:color w:val="FF0000"/>
        </w:rPr>
        <w:t>récursive</w:t>
      </w:r>
      <w:r w:rsidRPr="003F2791">
        <w:rPr>
          <w:b/>
          <w:bCs/>
          <w:color w:val="FF0000"/>
        </w:rPr>
        <w:t xml:space="preserve"> selon la logique établie </w:t>
      </w:r>
      <w:r w:rsidR="00150BDF" w:rsidRPr="003F2791">
        <w:rPr>
          <w:b/>
          <w:bCs/>
          <w:color w:val="FF0000"/>
        </w:rPr>
        <w:t>par</w:t>
      </w:r>
      <w:r w:rsidRPr="003F2791">
        <w:rPr>
          <w:b/>
          <w:bCs/>
          <w:color w:val="FF0000"/>
        </w:rPr>
        <w:t xml:space="preserve"> la formule </w:t>
      </w:r>
      <m:oMath>
        <m:r>
          <m:rPr>
            <m:sty m:val="bi"/>
          </m:rPr>
          <w:rPr>
            <w:rFonts w:ascii="Cambria Math" w:hAnsi="Cambria Math"/>
            <w:color w:val="FF0000"/>
          </w:rPr>
          <m:t>(F</m:t>
        </m:r>
        <m:r>
          <m:rPr>
            <m:sty m:val="bi"/>
          </m:rPr>
          <w:rPr>
            <w:rFonts w:ascii="Cambria Math" w:eastAsiaTheme="minorEastAsia" w:hAnsi="Cambria Math"/>
            <w:color w:val="FF0000"/>
          </w:rPr>
          <m:t>)</m:t>
        </m:r>
      </m:oMath>
    </w:p>
    <w:p w14:paraId="1D785963" w14:textId="53F32407" w:rsidR="00241997" w:rsidRDefault="00241997" w:rsidP="005C4F1A"/>
    <w:p w14:paraId="66E13167" w14:textId="5D72DBEE" w:rsidR="00AB0707" w:rsidRDefault="007A4574" w:rsidP="00FE3F6E">
      <w:pPr>
        <w:pStyle w:val="Titre2"/>
        <w:rPr>
          <w:rFonts w:cstheme="majorBidi"/>
        </w:rPr>
      </w:pPr>
      <w:bookmarkStart w:id="35" w:name="_Toc169283246"/>
      <w:r>
        <w:rPr>
          <w:rFonts w:cstheme="majorBidi"/>
        </w:rPr>
        <w:t>3.</w:t>
      </w:r>
      <w:r w:rsidR="003520BE" w:rsidRPr="00FE3F6E">
        <w:rPr>
          <w:rFonts w:cstheme="majorBidi"/>
        </w:rPr>
        <w:t>3</w:t>
      </w:r>
      <w:r w:rsidR="00655A1C" w:rsidRPr="00FE3F6E">
        <w:rPr>
          <w:rFonts w:cstheme="majorBidi"/>
        </w:rPr>
        <w:t xml:space="preserve"> </w:t>
      </w:r>
      <w:r w:rsidR="00AB0707" w:rsidRPr="00FE3F6E">
        <w:rPr>
          <w:rFonts w:cstheme="majorBidi"/>
        </w:rPr>
        <w:t>Modélisation de</w:t>
      </w:r>
      <w:bookmarkEnd w:id="32"/>
      <w:bookmarkEnd w:id="33"/>
      <w:bookmarkEnd w:id="34"/>
      <w:r w:rsidR="00F605AB">
        <w:rPr>
          <w:rFonts w:cstheme="majorBidi"/>
        </w:rPr>
        <w:t xml:space="preserve"> l’écoulement des PNs</w:t>
      </w:r>
      <w:bookmarkEnd w:id="35"/>
    </w:p>
    <w:p w14:paraId="625B311F" w14:textId="4066948C" w:rsidR="00DF7532" w:rsidRPr="00FE3F6E" w:rsidRDefault="007A4574" w:rsidP="00DF7532">
      <w:pPr>
        <w:pStyle w:val="Titre3"/>
      </w:pPr>
      <w:r>
        <w:t>3.</w:t>
      </w:r>
      <w:r w:rsidR="00DF7532">
        <w:t>3.1 Encours cible</w:t>
      </w:r>
    </w:p>
    <w:p w14:paraId="5932A7A2" w14:textId="4D3C3055" w:rsidR="00F605AB" w:rsidRDefault="00F605AB" w:rsidP="00F605AB">
      <w:pPr>
        <w:jc w:val="both"/>
      </w:pPr>
      <w:r w:rsidRPr="004C63C4">
        <w:t>Le modèle d</w:t>
      </w:r>
      <w:r>
        <w:t xml:space="preserve">’écoulement des PNs est </w:t>
      </w:r>
      <w:r w:rsidR="0074317E">
        <w:t xml:space="preserve">lui </w:t>
      </w:r>
      <w:r w:rsidR="002E534F">
        <w:t xml:space="preserve">beaucoup </w:t>
      </w:r>
      <w:r>
        <w:t>plus complexe</w:t>
      </w:r>
      <w:r w:rsidR="002E534F">
        <w:t xml:space="preserve"> que celui du stock</w:t>
      </w:r>
      <w:r>
        <w:t>.</w:t>
      </w:r>
      <w:r w:rsidR="002E534F">
        <w:t xml:space="preserve"> En effet, o</w:t>
      </w:r>
      <w:r>
        <w:t>n ne dispose directement des montants de PNs mensuels qui doivent être produits mais d</w:t>
      </w:r>
      <w:r w:rsidR="0074317E">
        <w:t xml:space="preserve">es </w:t>
      </w:r>
      <w:r>
        <w:t xml:space="preserve">encours cibles mensuels, i.e. des montant globaux à atteindre chaque mois sur chaque type </w:t>
      </w:r>
      <w:r w:rsidR="00010605">
        <w:t xml:space="preserve">de </w:t>
      </w:r>
      <w:r>
        <w:t xml:space="preserve">produit stock et PN compris. </w:t>
      </w:r>
    </w:p>
    <w:p w14:paraId="0755DBE1" w14:textId="3072E89F" w:rsidR="00F605AB" w:rsidRDefault="002E534F" w:rsidP="00F605AB">
      <w:pPr>
        <w:jc w:val="both"/>
      </w:pPr>
      <w:r>
        <w:t xml:space="preserve">Si l’on note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cible</m:t>
            </m:r>
          </m:sub>
        </m:sSub>
        <m:d>
          <m:dPr>
            <m:ctrlPr>
              <w:rPr>
                <w:rFonts w:ascii="Cambria Math" w:hAnsi="Cambria Math"/>
                <w:b/>
                <w:bCs/>
                <w:i/>
              </w:rPr>
            </m:ctrlPr>
          </m:dPr>
          <m:e>
            <m:r>
              <m:rPr>
                <m:sty m:val="bi"/>
              </m:rPr>
              <w:rPr>
                <w:rFonts w:ascii="Cambria Math" w:hAnsi="Cambria Math"/>
              </w:rPr>
              <m:t>t</m:t>
            </m:r>
          </m:e>
        </m:d>
      </m:oMath>
      <w:r>
        <w:rPr>
          <w:rFonts w:eastAsiaTheme="minorEastAsia"/>
          <w:b/>
          <w:bCs/>
        </w:rPr>
        <w:t xml:space="preserve">, </w:t>
      </w:r>
      <w:r>
        <w:t xml:space="preserve">le montant cible à atteindre en 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STOCK</m:t>
            </m:r>
          </m:sub>
        </m:sSub>
        <m:r>
          <m:rPr>
            <m:sty m:val="bi"/>
          </m:rPr>
          <w:rPr>
            <w:rFonts w:ascii="Cambria Math" w:hAnsi="Cambria Math"/>
          </w:rPr>
          <m:t>(t)</m:t>
        </m:r>
      </m:oMath>
      <w:r>
        <w:rPr>
          <w:rFonts w:eastAsiaTheme="minorEastAsia"/>
          <w:b/>
        </w:rPr>
        <w:t xml:space="preserve"> le capital du stock en t et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s</m:t>
                </m:r>
              </m:sub>
            </m:sSub>
          </m:sub>
        </m:sSub>
        <m:d>
          <m:dPr>
            <m:ctrlPr>
              <w:rPr>
                <w:rFonts w:ascii="Cambria Math" w:hAnsi="Cambria Math"/>
                <w:b/>
                <w:bCs/>
                <w:i/>
              </w:rPr>
            </m:ctrlPr>
          </m:dPr>
          <m:e>
            <m:r>
              <m:rPr>
                <m:sty m:val="bi"/>
              </m:rPr>
              <w:rPr>
                <w:rFonts w:ascii="Cambria Math" w:hAnsi="Cambria Math"/>
              </w:rPr>
              <m:t>t</m:t>
            </m:r>
          </m:e>
        </m:d>
      </m:oMath>
      <w:r>
        <w:rPr>
          <w:rFonts w:eastAsiaTheme="minorEastAsia"/>
          <w:b/>
          <w:bCs/>
        </w:rPr>
        <w:t xml:space="preserve"> le capital en t de la PN produite en s, </w:t>
      </w:r>
      <w:r w:rsidR="0074317E">
        <w:t xml:space="preserve">alors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cible</m:t>
            </m:r>
          </m:sub>
        </m:sSub>
        <m:d>
          <m:dPr>
            <m:ctrlPr>
              <w:rPr>
                <w:rFonts w:ascii="Cambria Math" w:hAnsi="Cambria Math"/>
                <w:b/>
                <w:bCs/>
                <w:i/>
              </w:rPr>
            </m:ctrlPr>
          </m:dPr>
          <m:e>
            <m:r>
              <m:rPr>
                <m:sty m:val="bi"/>
              </m:rPr>
              <w:rPr>
                <w:rFonts w:ascii="Cambria Math" w:hAnsi="Cambria Math"/>
              </w:rPr>
              <m:t>t</m:t>
            </m:r>
          </m:e>
        </m:d>
      </m:oMath>
      <w:r w:rsidR="00F605AB">
        <w:t xml:space="preserve"> obéi</w:t>
      </w:r>
      <w:r w:rsidR="0074317E">
        <w:t>t</w:t>
      </w:r>
      <w:r w:rsidR="00F605AB">
        <w:t xml:space="preserve"> à l’équation suivante : </w:t>
      </w:r>
    </w:p>
    <w:p w14:paraId="03E0FB0B" w14:textId="59625B69" w:rsidR="00F605AB" w:rsidRPr="008D34BF" w:rsidRDefault="002F5A5D" w:rsidP="005B7E2C">
      <w:pPr>
        <w:jc w:val="center"/>
        <w:rPr>
          <w:rFonts w:eastAsiaTheme="minorEastAsia"/>
          <w:b/>
        </w:rPr>
      </w:pPr>
      <m:oMath>
        <m:sSub>
          <m:sSubPr>
            <m:ctrlPr>
              <w:rPr>
                <w:rFonts w:ascii="Cambria Math" w:hAnsi="Cambria Math"/>
                <w:b/>
                <w:bCs/>
                <w:i/>
                <w:highlight w:val="lightGray"/>
              </w:rPr>
            </m:ctrlPr>
          </m:sSubPr>
          <m:e>
            <m:r>
              <m:rPr>
                <m:sty m:val="bi"/>
              </m:rPr>
              <w:rPr>
                <w:rFonts w:ascii="Cambria Math" w:hAnsi="Cambria Math"/>
                <w:highlight w:val="lightGray"/>
              </w:rPr>
              <m:t>E</m:t>
            </m:r>
          </m:e>
          <m:sub>
            <m:r>
              <m:rPr>
                <m:sty m:val="bi"/>
              </m:rPr>
              <w:rPr>
                <w:rFonts w:ascii="Cambria Math" w:hAnsi="Cambria Math"/>
                <w:highlight w:val="lightGray"/>
              </w:rPr>
              <m:t>cible</m:t>
            </m:r>
          </m:sub>
        </m:sSub>
        <m:d>
          <m:dPr>
            <m:ctrlPr>
              <w:rPr>
                <w:rFonts w:ascii="Cambria Math" w:hAnsi="Cambria Math"/>
                <w:b/>
                <w:bCs/>
                <w:i/>
                <w:highlight w:val="lightGray"/>
              </w:rPr>
            </m:ctrlPr>
          </m:dPr>
          <m:e>
            <m:r>
              <m:rPr>
                <m:sty m:val="bi"/>
              </m:rPr>
              <w:rPr>
                <w:rFonts w:ascii="Cambria Math" w:hAnsi="Cambria Math"/>
                <w:highlight w:val="lightGray"/>
              </w:rPr>
              <m:t>t</m:t>
            </m:r>
          </m:e>
        </m:d>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STOCK</m:t>
            </m:r>
          </m:sub>
        </m:sSub>
        <m:r>
          <m:rPr>
            <m:sty m:val="bi"/>
          </m:rPr>
          <w:rPr>
            <w:rFonts w:ascii="Cambria Math" w:hAnsi="Cambria Math"/>
            <w:highlight w:val="lightGray"/>
          </w:rPr>
          <m:t>(t)+</m:t>
        </m:r>
        <m:nary>
          <m:naryPr>
            <m:chr m:val="∑"/>
            <m:limLoc m:val="undOvr"/>
            <m:ctrlPr>
              <w:rPr>
                <w:rFonts w:ascii="Cambria Math" w:hAnsi="Cambria Math"/>
                <w:b/>
                <w:i/>
                <w:highlight w:val="lightGray"/>
              </w:rPr>
            </m:ctrlPr>
          </m:naryPr>
          <m:sub>
            <m:r>
              <m:rPr>
                <m:sty m:val="bi"/>
              </m:rPr>
              <w:rPr>
                <w:rFonts w:ascii="Cambria Math" w:hAnsi="Cambria Math"/>
                <w:highlight w:val="lightGray"/>
              </w:rPr>
              <m:t>s=1</m:t>
            </m:r>
          </m:sub>
          <m:sup>
            <m:r>
              <m:rPr>
                <m:sty m:val="bi"/>
              </m:rPr>
              <w:rPr>
                <w:rFonts w:ascii="Cambria Math" w:hAnsi="Cambria Math"/>
                <w:highlight w:val="lightGray"/>
              </w:rPr>
              <m:t>t</m:t>
            </m:r>
          </m:sup>
          <m:e>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m:t>
                    </m:r>
                  </m:sub>
                </m:sSub>
              </m:sub>
            </m:sSub>
            <m:r>
              <m:rPr>
                <m:sty m:val="bi"/>
              </m:rPr>
              <w:rPr>
                <w:rFonts w:ascii="Cambria Math" w:hAnsi="Cambria Math"/>
                <w:highlight w:val="lightGray"/>
              </w:rPr>
              <m:t>(t)</m:t>
            </m:r>
          </m:e>
        </m:nary>
        <m:r>
          <m:rPr>
            <m:sty m:val="bi"/>
          </m:rPr>
          <w:rPr>
            <w:rFonts w:ascii="Cambria Math" w:hAnsi="Cambria Math"/>
            <w:highlight w:val="lightGray"/>
          </w:rPr>
          <m:t xml:space="preserve">     (G</m:t>
        </m:r>
        <m:r>
          <m:rPr>
            <m:sty m:val="bi"/>
          </m:rPr>
          <w:rPr>
            <w:rFonts w:ascii="Cambria Math" w:eastAsiaTheme="minorEastAsia" w:hAnsi="Cambria Math"/>
            <w:highlight w:val="lightGray"/>
          </w:rPr>
          <m:t>)</m:t>
        </m:r>
      </m:oMath>
      <w:r w:rsidR="00F605AB">
        <w:rPr>
          <w:rFonts w:eastAsiaTheme="minorEastAsia"/>
          <w:b/>
        </w:rPr>
        <w:t xml:space="preserve"> </w:t>
      </w:r>
    </w:p>
    <w:p w14:paraId="7E25F1AC" w14:textId="56A168D7" w:rsidR="00DF7532" w:rsidRDefault="00F605AB" w:rsidP="00DF7532">
      <w:pPr>
        <w:jc w:val="both"/>
        <w:rPr>
          <w:rFonts w:eastAsiaTheme="minorEastAsia"/>
          <w:bCs/>
        </w:rPr>
      </w:pPr>
      <w:r>
        <w:t xml:space="preserve">L’écoulement d’un produit étant connu via les formules </w:t>
      </w:r>
      <m:oMath>
        <m:r>
          <m:rPr>
            <m:sty m:val="bi"/>
          </m:rPr>
          <w:rPr>
            <w:rFonts w:ascii="Cambria Math" w:hAnsi="Cambria Math"/>
          </w:rPr>
          <m:t>(E</m:t>
        </m:r>
        <m:r>
          <m:rPr>
            <m:sty m:val="bi"/>
          </m:rPr>
          <w:rPr>
            <w:rFonts w:ascii="Cambria Math" w:eastAsiaTheme="minorEastAsia" w:hAnsi="Cambria Math"/>
          </w:rPr>
          <m:t>)</m:t>
        </m:r>
      </m:oMath>
      <w:r>
        <w:rPr>
          <w:rFonts w:eastAsiaTheme="minorEastAsia"/>
          <w:b/>
        </w:rPr>
        <w:t xml:space="preserve"> et </w:t>
      </w:r>
      <m:oMath>
        <m:r>
          <m:rPr>
            <m:sty m:val="bi"/>
          </m:rPr>
          <w:rPr>
            <w:rFonts w:ascii="Cambria Math" w:hAnsi="Cambria Math"/>
          </w:rPr>
          <m:t>(F</m:t>
        </m:r>
        <m:r>
          <m:rPr>
            <m:sty m:val="bi"/>
          </m:rPr>
          <w:rPr>
            <w:rFonts w:ascii="Cambria Math" w:eastAsiaTheme="minorEastAsia" w:hAnsi="Cambria Math"/>
          </w:rPr>
          <m:t>)</m:t>
        </m:r>
      </m:oMath>
      <w:r w:rsidRPr="004C63C4">
        <w:rPr>
          <w:rFonts w:eastAsiaTheme="minorEastAsia"/>
          <w:bCs/>
        </w:rPr>
        <w:t xml:space="preserve">, on peut </w:t>
      </w:r>
      <w:r w:rsidR="0074317E">
        <w:rPr>
          <w:rFonts w:eastAsiaTheme="minorEastAsia"/>
          <w:bCs/>
        </w:rPr>
        <w:t>à première vue</w:t>
      </w:r>
      <w:r w:rsidRPr="004C63C4">
        <w:rPr>
          <w:rFonts w:eastAsiaTheme="minorEastAsia"/>
          <w:bCs/>
        </w:rPr>
        <w:t xml:space="preserve"> en déduire </w:t>
      </w:r>
      <w:r w:rsidR="0074317E">
        <w:rPr>
          <w:rFonts w:eastAsiaTheme="minorEastAsia"/>
          <w:bCs/>
        </w:rPr>
        <w:t xml:space="preserve">par récurrence </w:t>
      </w:r>
      <w:r w:rsidRPr="004C63C4">
        <w:rPr>
          <w:rFonts w:eastAsiaTheme="minorEastAsia"/>
          <w:bCs/>
        </w:rPr>
        <w:t>l</w:t>
      </w:r>
      <w:r w:rsidR="0074317E">
        <w:rPr>
          <w:rFonts w:eastAsiaTheme="minorEastAsia"/>
          <w:bCs/>
        </w:rPr>
        <w:t>’écoulement du</w:t>
      </w:r>
      <w:r w:rsidRPr="004C63C4">
        <w:rPr>
          <w:rFonts w:eastAsiaTheme="minorEastAsia"/>
          <w:bCs/>
        </w:rPr>
        <w:t xml:space="preserve"> </w:t>
      </w:r>
      <w:r w:rsidR="0074317E">
        <w:rPr>
          <w:rFonts w:eastAsiaTheme="minorEastAsia"/>
          <w:bCs/>
        </w:rPr>
        <w:t>capital</w:t>
      </w:r>
      <w:r w:rsidRPr="004C63C4">
        <w:rPr>
          <w:rFonts w:eastAsiaTheme="minorEastAsia"/>
          <w:bCs/>
        </w:rPr>
        <w:t xml:space="preserve"> </w:t>
      </w:r>
      <w:r w:rsidR="0074317E">
        <w:rPr>
          <w:rFonts w:eastAsiaTheme="minorEastAsia"/>
          <w:bCs/>
        </w:rPr>
        <w:t xml:space="preserve">de chaque PN produite en s </w:t>
      </w:r>
      <w:r w:rsidRPr="004C63C4">
        <w:rPr>
          <w:rFonts w:eastAsiaTheme="minorEastAsia"/>
          <w:bCs/>
        </w:rPr>
        <w:t>à chaque pas de temps</w:t>
      </w:r>
      <w:r w:rsidR="0074317E">
        <w:rPr>
          <w:rFonts w:eastAsiaTheme="minorEastAsia"/>
          <w:bCs/>
        </w:rPr>
        <w:t xml:space="preserve"> t</w:t>
      </w:r>
      <w:r w:rsidRPr="004C63C4">
        <w:rPr>
          <w:rFonts w:eastAsiaTheme="minorEastAsia"/>
          <w:bCs/>
        </w:rPr>
        <w:t>.</w:t>
      </w:r>
      <w:r>
        <w:rPr>
          <w:rFonts w:eastAsiaTheme="minorEastAsia"/>
          <w:bCs/>
        </w:rPr>
        <w:t xml:space="preserve"> </w:t>
      </w:r>
    </w:p>
    <w:p w14:paraId="19358338" w14:textId="3552EA35" w:rsidR="00DF7532" w:rsidRPr="00DF7532" w:rsidRDefault="007A4574" w:rsidP="00DF7532">
      <w:pPr>
        <w:pStyle w:val="Titre3"/>
      </w:pPr>
      <w:r>
        <w:t>3.</w:t>
      </w:r>
      <w:r w:rsidR="00DF7532">
        <w:t>3.</w:t>
      </w:r>
      <w:r w:rsidR="008B1E2D">
        <w:t>2</w:t>
      </w:r>
      <w:r w:rsidR="00DF7532">
        <w:t xml:space="preserve"> Division du stock en templates</w:t>
      </w:r>
    </w:p>
    <w:p w14:paraId="0A324FF8" w14:textId="06509ECC" w:rsidR="00797CE3" w:rsidRDefault="00F605AB" w:rsidP="0074317E">
      <w:pPr>
        <w:jc w:val="both"/>
        <w:rPr>
          <w:rFonts w:eastAsiaTheme="minorEastAsia"/>
          <w:bCs/>
        </w:rPr>
      </w:pPr>
      <w:r>
        <w:rPr>
          <w:rFonts w:eastAsiaTheme="minorEastAsia"/>
          <w:bCs/>
        </w:rPr>
        <w:t xml:space="preserve">Cependant, deux choses rendent le processus plus complexe. </w:t>
      </w:r>
      <w:r w:rsidRPr="00797CE3">
        <w:rPr>
          <w:rFonts w:eastAsiaTheme="minorEastAsia"/>
          <w:b/>
        </w:rPr>
        <w:t>En premier lieu les encours cible sont donnés à des niveaux de granularité plus élevés que les produits existants du stock</w:t>
      </w:r>
      <w:r>
        <w:rPr>
          <w:rFonts w:eastAsiaTheme="minorEastAsia"/>
          <w:bCs/>
        </w:rPr>
        <w:t xml:space="preserve">. </w:t>
      </w:r>
      <w:r w:rsidR="00DF7532">
        <w:rPr>
          <w:rFonts w:eastAsiaTheme="minorEastAsia"/>
          <w:bCs/>
        </w:rPr>
        <w:t>Les</w:t>
      </w:r>
      <w:r>
        <w:rPr>
          <w:rFonts w:eastAsiaTheme="minorEastAsia"/>
          <w:bCs/>
        </w:rPr>
        <w:t xml:space="preserve"> niveaux</w:t>
      </w:r>
      <w:r w:rsidR="00DF7532">
        <w:rPr>
          <w:rFonts w:eastAsiaTheme="minorEastAsia"/>
          <w:bCs/>
        </w:rPr>
        <w:t xml:space="preserve"> de granularité auxquels sont donnés les encours cible</w:t>
      </w:r>
      <w:r>
        <w:rPr>
          <w:rFonts w:eastAsiaTheme="minorEastAsia"/>
          <w:bCs/>
        </w:rPr>
        <w:t xml:space="preserve"> sont appelés des clés. </w:t>
      </w:r>
    </w:p>
    <w:p w14:paraId="50A79493" w14:textId="5A28DEE8" w:rsidR="00DF7532" w:rsidRDefault="00797CE3" w:rsidP="0074317E">
      <w:pPr>
        <w:jc w:val="both"/>
        <w:rPr>
          <w:rFonts w:eastAsiaTheme="minorEastAsia"/>
          <w:bCs/>
        </w:rPr>
      </w:pPr>
      <w:r>
        <w:rPr>
          <w:rFonts w:eastAsiaTheme="minorEastAsia"/>
          <w:bCs/>
        </w:rPr>
        <w:t xml:space="preserve">A titre d’exemple, supposons que l’on s’intéresse </w:t>
      </w:r>
      <w:r w:rsidR="001816D4">
        <w:rPr>
          <w:rFonts w:eastAsiaTheme="minorEastAsia"/>
          <w:bCs/>
        </w:rPr>
        <w:t>aux contrats de type</w:t>
      </w:r>
      <w:r>
        <w:rPr>
          <w:rFonts w:eastAsiaTheme="minorEastAsia"/>
          <w:bCs/>
        </w:rPr>
        <w:t xml:space="preserve"> </w:t>
      </w:r>
      <w:r w:rsidR="00DF7532">
        <w:rPr>
          <w:rFonts w:eastAsiaTheme="minorEastAsia"/>
          <w:bCs/>
        </w:rPr>
        <w:t>A-CPT-DEB</w:t>
      </w:r>
      <w:r>
        <w:rPr>
          <w:rFonts w:eastAsiaTheme="minorEastAsia"/>
          <w:bCs/>
        </w:rPr>
        <w:t xml:space="preserve"> sur la devise EUR</w:t>
      </w:r>
      <w:r w:rsidR="00DF7532">
        <w:rPr>
          <w:rFonts w:eastAsiaTheme="minorEastAsia"/>
          <w:bCs/>
        </w:rPr>
        <w:t xml:space="preserve"> le marché PRO</w:t>
      </w:r>
      <w:r w:rsidR="001816D4">
        <w:rPr>
          <w:rFonts w:eastAsiaTheme="minorEastAsia"/>
          <w:bCs/>
        </w:rPr>
        <w:t xml:space="preserve"> et à taux variable</w:t>
      </w:r>
      <w:r>
        <w:rPr>
          <w:rFonts w:eastAsiaTheme="minorEastAsia"/>
          <w:bCs/>
        </w:rPr>
        <w:t xml:space="preserve">. Chaque établissement du groupe </w:t>
      </w:r>
      <w:r w:rsidR="00DF7532">
        <w:rPr>
          <w:rFonts w:eastAsiaTheme="minorEastAsia"/>
          <w:bCs/>
        </w:rPr>
        <w:t>BP</w:t>
      </w:r>
      <w:r>
        <w:rPr>
          <w:rFonts w:eastAsiaTheme="minorEastAsia"/>
          <w:bCs/>
        </w:rPr>
        <w:t xml:space="preserve"> a</w:t>
      </w:r>
      <w:r w:rsidR="001816D4">
        <w:rPr>
          <w:rFonts w:eastAsiaTheme="minorEastAsia"/>
          <w:bCs/>
        </w:rPr>
        <w:t>ura</w:t>
      </w:r>
      <w:r>
        <w:rPr>
          <w:rFonts w:eastAsiaTheme="minorEastAsia"/>
          <w:bCs/>
        </w:rPr>
        <w:t xml:space="preserve"> la possibilité de fixer un niveau d’encours </w:t>
      </w:r>
      <w:r w:rsidR="00F605AB">
        <w:rPr>
          <w:rFonts w:eastAsiaTheme="minorEastAsia"/>
          <w:bCs/>
        </w:rPr>
        <w:t xml:space="preserve">cible </w:t>
      </w:r>
      <w:r w:rsidR="00DF7532">
        <w:rPr>
          <w:rFonts w:eastAsiaTheme="minorEastAsia"/>
          <w:bCs/>
        </w:rPr>
        <w:t>pour la clé</w:t>
      </w:r>
      <w:r w:rsidR="00F605AB">
        <w:rPr>
          <w:rFonts w:eastAsiaTheme="minorEastAsia"/>
          <w:bCs/>
        </w:rPr>
        <w:t xml:space="preserve"> EUR</w:t>
      </w:r>
      <w:r w:rsidR="001816D4">
        <w:rPr>
          <w:rFonts w:eastAsiaTheme="minorEastAsia"/>
          <w:bCs/>
        </w:rPr>
        <w:t>/A-CPT-DEB/PRO/FLOATING</w:t>
      </w:r>
      <w:r w:rsidR="00F605AB">
        <w:rPr>
          <w:rFonts w:eastAsiaTheme="minorEastAsia"/>
          <w:bCs/>
        </w:rPr>
        <w:t xml:space="preserve">. </w:t>
      </w:r>
      <w:r w:rsidR="00DF7532">
        <w:rPr>
          <w:rFonts w:eastAsiaTheme="minorEastAsia"/>
          <w:bCs/>
        </w:rPr>
        <w:t>Cependant, ce niveau</w:t>
      </w:r>
      <w:r w:rsidR="001816D4">
        <w:rPr>
          <w:rFonts w:eastAsiaTheme="minorEastAsia"/>
          <w:bCs/>
        </w:rPr>
        <w:t>, ne permet pas de connaître la façon de projeter cette clé, car pour ce faire, nous avons besoins de savoir si le produit capitalise, de connaître la fréquence de calcul des intérêts, de connaître les courbes sur lequel est indexé le produit etc.</w:t>
      </w:r>
    </w:p>
    <w:p w14:paraId="6CFC41B8" w14:textId="0E499DEC" w:rsidR="00511077" w:rsidRDefault="00511077" w:rsidP="0074317E">
      <w:pPr>
        <w:jc w:val="both"/>
        <w:rPr>
          <w:rFonts w:eastAsiaTheme="minorEastAsia"/>
          <w:bCs/>
        </w:rPr>
      </w:pPr>
      <w:r>
        <w:rPr>
          <w:rFonts w:eastAsiaTheme="minorEastAsia"/>
          <w:bCs/>
        </w:rPr>
        <w:t xml:space="preserve">Une solution pourrait consister à définir des clés à des niveaux projetables mais </w:t>
      </w:r>
      <w:r w:rsidR="00935B07">
        <w:rPr>
          <w:rFonts w:eastAsiaTheme="minorEastAsia"/>
          <w:bCs/>
        </w:rPr>
        <w:t xml:space="preserve">définir des encours cible à des niveaux plus fins est assez </w:t>
      </w:r>
      <w:r w:rsidR="00010605">
        <w:rPr>
          <w:rFonts w:eastAsiaTheme="minorEastAsia"/>
          <w:bCs/>
        </w:rPr>
        <w:t xml:space="preserve">fastidieux voire </w:t>
      </w:r>
      <w:r w:rsidR="00935B07">
        <w:rPr>
          <w:rFonts w:eastAsiaTheme="minorEastAsia"/>
          <w:bCs/>
        </w:rPr>
        <w:t>inutile.</w:t>
      </w:r>
    </w:p>
    <w:p w14:paraId="02388699" w14:textId="77777777" w:rsidR="00637109" w:rsidRDefault="00935B07" w:rsidP="00935B07">
      <w:pPr>
        <w:jc w:val="both"/>
        <w:rPr>
          <w:rFonts w:eastAsiaTheme="minorEastAsia"/>
          <w:bCs/>
        </w:rPr>
      </w:pPr>
      <w:r>
        <w:rPr>
          <w:rFonts w:eastAsiaTheme="minorEastAsia"/>
          <w:bCs/>
        </w:rPr>
        <w:t xml:space="preserve">Une autre solution, consiste à </w:t>
      </w:r>
      <w:r w:rsidR="001816D4">
        <w:rPr>
          <w:rFonts w:eastAsiaTheme="minorEastAsia"/>
          <w:bCs/>
        </w:rPr>
        <w:t xml:space="preserve">diviser </w:t>
      </w:r>
      <w:r>
        <w:rPr>
          <w:rFonts w:eastAsiaTheme="minorEastAsia"/>
          <w:bCs/>
        </w:rPr>
        <w:t>de manière systématique, la clé en</w:t>
      </w:r>
      <w:r w:rsidR="001816D4">
        <w:rPr>
          <w:rFonts w:eastAsiaTheme="minorEastAsia"/>
          <w:bCs/>
        </w:rPr>
        <w:t xml:space="preserve"> sous-contrats projetable</w:t>
      </w:r>
      <w:r w:rsidR="00511077">
        <w:rPr>
          <w:rFonts w:eastAsiaTheme="minorEastAsia"/>
          <w:bCs/>
        </w:rPr>
        <w:t>s</w:t>
      </w:r>
      <w:r w:rsidR="001816D4">
        <w:rPr>
          <w:rFonts w:eastAsiaTheme="minorEastAsia"/>
          <w:bCs/>
        </w:rPr>
        <w:t>, en s’inspirant de ce qui existe dans le stock. Ainsi, on peut regarder l’ensemble des contrats existants dans le stock</w:t>
      </w:r>
      <w:r w:rsidR="00F605AB">
        <w:rPr>
          <w:rFonts w:eastAsiaTheme="minorEastAsia"/>
          <w:bCs/>
        </w:rPr>
        <w:t xml:space="preserve"> </w:t>
      </w:r>
      <w:r w:rsidR="001816D4">
        <w:rPr>
          <w:rFonts w:eastAsiaTheme="minorEastAsia"/>
          <w:bCs/>
        </w:rPr>
        <w:t>qui ont la clé</w:t>
      </w:r>
      <w:r w:rsidR="00DF7532">
        <w:rPr>
          <w:rFonts w:eastAsiaTheme="minorEastAsia"/>
          <w:bCs/>
        </w:rPr>
        <w:t xml:space="preserve"> (</w:t>
      </w:r>
      <w:r w:rsidR="001816D4">
        <w:rPr>
          <w:rFonts w:eastAsiaTheme="minorEastAsia"/>
          <w:bCs/>
        </w:rPr>
        <w:t>EUR/A-CPT-DEB/PRO/FLOATING</w:t>
      </w:r>
      <w:r w:rsidR="00DF7532">
        <w:rPr>
          <w:rFonts w:eastAsiaTheme="minorEastAsia"/>
          <w:bCs/>
        </w:rPr>
        <w:t>)</w:t>
      </w:r>
      <w:r w:rsidR="00F605AB">
        <w:rPr>
          <w:rFonts w:eastAsiaTheme="minorEastAsia"/>
          <w:bCs/>
        </w:rPr>
        <w:t xml:space="preserve"> </w:t>
      </w:r>
      <w:r w:rsidR="001816D4">
        <w:rPr>
          <w:rFonts w:eastAsiaTheme="minorEastAsia"/>
          <w:bCs/>
        </w:rPr>
        <w:t xml:space="preserve">avec leurs caractéristiques de projection propres et répartir le montant cible </w:t>
      </w:r>
      <w:r w:rsidR="000C7695">
        <w:rPr>
          <w:rFonts w:eastAsiaTheme="minorEastAsia"/>
          <w:bCs/>
        </w:rPr>
        <w:t xml:space="preserve">agrégé défini par l’établissement </w:t>
      </w:r>
      <w:r w:rsidR="001816D4">
        <w:rPr>
          <w:rFonts w:eastAsiaTheme="minorEastAsia"/>
          <w:bCs/>
        </w:rPr>
        <w:t xml:space="preserve">sur l’ensemble de ces contrats. </w:t>
      </w:r>
    </w:p>
    <w:p w14:paraId="3B9BAF65" w14:textId="42C7B35B" w:rsidR="00935B07" w:rsidRDefault="001816D4" w:rsidP="00935B07">
      <w:pPr>
        <w:jc w:val="both"/>
        <w:rPr>
          <w:rFonts w:eastAsiaTheme="minorEastAsia"/>
          <w:b/>
        </w:rPr>
      </w:pPr>
      <w:r>
        <w:rPr>
          <w:rFonts w:eastAsiaTheme="minorEastAsia"/>
          <w:bCs/>
        </w:rPr>
        <w:t>On peut ne pas inclure l’ensemble des caractéristiques de projection mais garder celles qui reflètent de manière suffisamment précise et fidèle les contrats du stock.</w:t>
      </w:r>
      <w:r w:rsidR="00935B07">
        <w:rPr>
          <w:rFonts w:eastAsiaTheme="minorEastAsia"/>
          <w:bCs/>
        </w:rPr>
        <w:t xml:space="preserve"> </w:t>
      </w:r>
      <w:r w:rsidR="00935B07" w:rsidRPr="00935B07">
        <w:rPr>
          <w:rFonts w:eastAsiaTheme="minorEastAsia"/>
          <w:b/>
        </w:rPr>
        <w:t xml:space="preserve">Les contrats projetables produits à partir de la clé en s’inspirant de ce qui existe dans le stock </w:t>
      </w:r>
      <w:r w:rsidR="00935B07">
        <w:rPr>
          <w:rFonts w:eastAsiaTheme="minorEastAsia"/>
          <w:b/>
        </w:rPr>
        <w:t>sont appelés template</w:t>
      </w:r>
      <w:r w:rsidR="008B1E2D">
        <w:rPr>
          <w:rFonts w:eastAsiaTheme="minorEastAsia"/>
          <w:b/>
        </w:rPr>
        <w:t>s</w:t>
      </w:r>
      <w:r w:rsidR="00935B07">
        <w:rPr>
          <w:rFonts w:eastAsiaTheme="minorEastAsia"/>
          <w:b/>
        </w:rPr>
        <w:t>.</w:t>
      </w:r>
    </w:p>
    <w:p w14:paraId="7175B89D" w14:textId="4D905B92" w:rsidR="008B1E2D" w:rsidRDefault="008B1E2D" w:rsidP="00637109">
      <w:pPr>
        <w:jc w:val="both"/>
        <w:rPr>
          <w:rFonts w:eastAsiaTheme="minorEastAsia"/>
          <w:bCs/>
        </w:rPr>
      </w:pPr>
      <w:r>
        <w:rPr>
          <w:rFonts w:eastAsiaTheme="minorEastAsia"/>
          <w:bCs/>
        </w:rPr>
        <w:t>Dans PASS-ALM (et dans RCO), les caractéristiques de projection que l’on souhaite garder pour chaque clé sont définies dans les onglets ALLOCATION SET et ALLOCATION VALUES du fichier modèle.</w:t>
      </w:r>
    </w:p>
    <w:p w14:paraId="25E4A45D" w14:textId="3076DC18" w:rsidR="008B1E2D" w:rsidRPr="008B1E2D" w:rsidRDefault="007A4574" w:rsidP="008B1E2D">
      <w:pPr>
        <w:pStyle w:val="Titre3"/>
      </w:pPr>
      <w:r>
        <w:t>3.</w:t>
      </w:r>
      <w:r w:rsidR="008B1E2D">
        <w:t>3.3 Division du stock en templates</w:t>
      </w:r>
    </w:p>
    <w:p w14:paraId="6AB5BF7B" w14:textId="05C1D38E" w:rsidR="00935B07" w:rsidRDefault="00935B07" w:rsidP="00935B07">
      <w:pPr>
        <w:jc w:val="both"/>
        <w:rPr>
          <w:rFonts w:eastAsiaTheme="minorEastAsia"/>
          <w:bCs/>
        </w:rPr>
      </w:pPr>
      <w:r>
        <w:rPr>
          <w:rFonts w:eastAsiaTheme="minorEastAsia"/>
          <w:bCs/>
        </w:rPr>
        <w:t xml:space="preserve">La manière </w:t>
      </w:r>
      <w:r w:rsidR="00C02D08">
        <w:rPr>
          <w:rFonts w:eastAsiaTheme="minorEastAsia"/>
          <w:bCs/>
        </w:rPr>
        <w:t xml:space="preserve">choisie par RCO </w:t>
      </w:r>
      <w:r>
        <w:rPr>
          <w:rFonts w:eastAsiaTheme="minorEastAsia"/>
          <w:bCs/>
        </w:rPr>
        <w:t xml:space="preserve">de répartir le montant cible </w:t>
      </w:r>
      <w:r w:rsidR="00637109">
        <w:rPr>
          <w:rFonts w:eastAsiaTheme="minorEastAsia"/>
          <w:bCs/>
        </w:rPr>
        <w:t>agrégé</w:t>
      </w:r>
      <w:r w:rsidR="00C02D08">
        <w:rPr>
          <w:rFonts w:eastAsiaTheme="minorEastAsia"/>
          <w:bCs/>
        </w:rPr>
        <w:t xml:space="preserve"> au niveau clé</w:t>
      </w:r>
      <w:r w:rsidR="00637109">
        <w:rPr>
          <w:rFonts w:eastAsiaTheme="minorEastAsia"/>
          <w:bCs/>
        </w:rPr>
        <w:t xml:space="preserve"> </w:t>
      </w:r>
      <w:r>
        <w:rPr>
          <w:rFonts w:eastAsiaTheme="minorEastAsia"/>
          <w:bCs/>
        </w:rPr>
        <w:t>sur chaque template est la suivante :</w:t>
      </w:r>
    </w:p>
    <w:p w14:paraId="77A8841E" w14:textId="7B371D47" w:rsidR="00935B07" w:rsidRPr="00CE69B8" w:rsidRDefault="002F5A5D" w:rsidP="00935B07">
      <w:pPr>
        <w:jc w:val="both"/>
        <w:rPr>
          <w:rFonts w:eastAsiaTheme="minorEastAsia"/>
          <w:b/>
          <w:lang w:val="en-US"/>
        </w:rPr>
      </w:pPr>
      <m:oMathPara>
        <m:oMath>
          <m:sSub>
            <m:sSubPr>
              <m:ctrlPr>
                <w:rPr>
                  <w:rFonts w:ascii="Cambria Math" w:eastAsiaTheme="minorEastAsia" w:hAnsi="Cambria Math"/>
                  <w:b/>
                  <w:i/>
                  <w:highlight w:val="lightGray"/>
                </w:rPr>
              </m:ctrlPr>
            </m:sSubPr>
            <m:e>
              <m:r>
                <m:rPr>
                  <m:sty m:val="bi"/>
                </m:rPr>
                <w:rPr>
                  <w:rFonts w:ascii="Cambria Math" w:eastAsiaTheme="minorEastAsia" w:hAnsi="Cambria Math"/>
                  <w:highlight w:val="lightGray"/>
                </w:rPr>
                <m:t>W</m:t>
              </m:r>
            </m:e>
            <m:sub>
              <m:r>
                <m:rPr>
                  <m:sty m:val="bi"/>
                </m:rPr>
                <w:rPr>
                  <w:rFonts w:ascii="Cambria Math" w:eastAsiaTheme="minorEastAsia" w:hAnsi="Cambria Math"/>
                  <w:highlight w:val="lightGray"/>
                </w:rPr>
                <m:t>RCO</m:t>
              </m:r>
              <m:r>
                <m:rPr>
                  <m:sty m:val="bi"/>
                </m:rPr>
                <w:rPr>
                  <w:rFonts w:ascii="Cambria Math" w:eastAsiaTheme="minorEastAsia" w:hAnsi="Cambria Math"/>
                  <w:highlight w:val="lightGray"/>
                  <w:lang w:val="en-US"/>
                </w:rPr>
                <m:t xml:space="preserve">, </m:t>
              </m:r>
              <m:r>
                <m:rPr>
                  <m:sty m:val="bi"/>
                </m:rPr>
                <w:rPr>
                  <w:rFonts w:ascii="Cambria Math" w:eastAsiaTheme="minorEastAsia" w:hAnsi="Cambria Math"/>
                  <w:highlight w:val="lightGray"/>
                </w:rPr>
                <m:t>TEMPLATE</m:t>
              </m:r>
            </m:sub>
          </m:sSub>
          <m:r>
            <m:rPr>
              <m:sty m:val="bi"/>
            </m:rPr>
            <w:rPr>
              <w:rFonts w:ascii="Cambria Math" w:eastAsiaTheme="minorEastAsia" w:hAnsi="Cambria Math"/>
              <w:highlight w:val="lightGray"/>
              <w:lang w:val="en-US"/>
            </w:rPr>
            <m:t xml:space="preserve">= </m:t>
          </m:r>
          <m:f>
            <m:fPr>
              <m:ctrlPr>
                <w:rPr>
                  <w:rFonts w:ascii="Cambria Math" w:eastAsiaTheme="minorEastAsia" w:hAnsi="Cambria Math"/>
                  <w:b/>
                  <w:i/>
                  <w:highlight w:val="lightGray"/>
                </w:rPr>
              </m:ctrlPr>
            </m:fPr>
            <m:num>
              <m:nary>
                <m:naryPr>
                  <m:chr m:val="∑"/>
                  <m:limLoc m:val="undOvr"/>
                  <m:ctrlPr>
                    <w:rPr>
                      <w:rFonts w:ascii="Cambria Math" w:eastAsiaTheme="minorEastAsia" w:hAnsi="Cambria Math"/>
                      <w:b/>
                      <w:i/>
                      <w:highlight w:val="lightGray"/>
                    </w:rPr>
                  </m:ctrlPr>
                </m:naryPr>
                <m:sub>
                  <m:r>
                    <m:rPr>
                      <m:sty m:val="bi"/>
                    </m:rPr>
                    <w:rPr>
                      <w:rFonts w:ascii="Cambria Math" w:eastAsiaTheme="minorEastAsia" w:hAnsi="Cambria Math"/>
                      <w:highlight w:val="lightGray"/>
                    </w:rPr>
                    <m:t>i</m:t>
                  </m:r>
                </m:sub>
                <m:sup>
                  <m:r>
                    <m:rPr>
                      <m:sty m:val="bi"/>
                    </m:rPr>
                    <w:rPr>
                      <w:rFonts w:ascii="Cambria Math" w:eastAsiaTheme="minorEastAsia" w:hAnsi="Cambria Math"/>
                      <w:highlight w:val="lightGray"/>
                    </w:rPr>
                    <m:t>NB</m:t>
                  </m:r>
                  <m:r>
                    <m:rPr>
                      <m:sty m:val="bi"/>
                    </m:rPr>
                    <w:rPr>
                      <w:rFonts w:ascii="Cambria Math" w:eastAsiaTheme="minorEastAsia" w:hAnsi="Cambria Math"/>
                      <w:highlight w:val="lightGray"/>
                      <w:lang w:val="en-US"/>
                    </w:rPr>
                    <m:t>_</m:t>
                  </m:r>
                  <m:r>
                    <m:rPr>
                      <m:sty m:val="bi"/>
                    </m:rPr>
                    <w:rPr>
                      <w:rFonts w:ascii="Cambria Math" w:eastAsiaTheme="minorEastAsia" w:hAnsi="Cambria Math"/>
                      <w:highlight w:val="lightGray"/>
                    </w:rPr>
                    <m:t>CONTRATS</m:t>
                  </m:r>
                  <m:r>
                    <m:rPr>
                      <m:sty m:val="bi"/>
                    </m:rPr>
                    <w:rPr>
                      <w:rFonts w:ascii="Cambria Math" w:eastAsiaTheme="minorEastAsia" w:hAnsi="Cambria Math"/>
                      <w:highlight w:val="lightGray"/>
                      <w:lang w:val="en-US"/>
                    </w:rPr>
                    <m:t>_</m:t>
                  </m:r>
                  <m:r>
                    <m:rPr>
                      <m:sty m:val="bi"/>
                    </m:rPr>
                    <w:rPr>
                      <w:rFonts w:ascii="Cambria Math" w:eastAsiaTheme="minorEastAsia" w:hAnsi="Cambria Math"/>
                      <w:highlight w:val="lightGray"/>
                    </w:rPr>
                    <m:t>TEMPLATE</m:t>
                  </m:r>
                </m:sup>
                <m:e>
                  <m:r>
                    <m:rPr>
                      <m:sty m:val="bi"/>
                    </m:rPr>
                    <w:rPr>
                      <w:rFonts w:ascii="Cambria Math" w:eastAsiaTheme="minorEastAsia" w:hAnsi="Cambria Math"/>
                      <w:highlight w:val="lightGray"/>
                    </w:rPr>
                    <m:t>abs</m:t>
                  </m:r>
                  <m:r>
                    <m:rPr>
                      <m:sty m:val="bi"/>
                    </m:rPr>
                    <w:rPr>
                      <w:rFonts w:ascii="Cambria Math" w:eastAsiaTheme="minorEastAsia" w:hAnsi="Cambria Math"/>
                      <w:highlight w:val="lightGray"/>
                      <w:lang w:val="en-US"/>
                    </w:rPr>
                    <m:t>(</m:t>
                  </m:r>
                  <m:r>
                    <m:rPr>
                      <m:sty m:val="bi"/>
                    </m:rPr>
                    <w:rPr>
                      <w:rFonts w:ascii="Cambria Math" w:eastAsiaTheme="minorEastAsia" w:hAnsi="Cambria Math"/>
                      <w:highlight w:val="lightGray"/>
                    </w:rPr>
                    <m:t>outstanding</m:t>
                  </m:r>
                  <m:r>
                    <m:rPr>
                      <m:sty m:val="bi"/>
                    </m:rPr>
                    <w:rPr>
                      <w:rFonts w:ascii="Cambria Math" w:eastAsiaTheme="minorEastAsia" w:hAnsi="Cambria Math"/>
                      <w:highlight w:val="lightGray"/>
                      <w:lang w:val="en-US"/>
                    </w:rPr>
                    <m:t>)</m:t>
                  </m:r>
                </m:e>
              </m:nary>
            </m:num>
            <m:den>
              <m:nary>
                <m:naryPr>
                  <m:chr m:val="∑"/>
                  <m:limLoc m:val="undOvr"/>
                  <m:ctrlPr>
                    <w:rPr>
                      <w:rFonts w:ascii="Cambria Math" w:eastAsiaTheme="minorEastAsia" w:hAnsi="Cambria Math"/>
                      <w:b/>
                      <w:i/>
                      <w:highlight w:val="lightGray"/>
                    </w:rPr>
                  </m:ctrlPr>
                </m:naryPr>
                <m:sub>
                  <m:r>
                    <m:rPr>
                      <m:sty m:val="bi"/>
                    </m:rPr>
                    <w:rPr>
                      <w:rFonts w:ascii="Cambria Math" w:eastAsiaTheme="minorEastAsia" w:hAnsi="Cambria Math"/>
                      <w:highlight w:val="lightGray"/>
                    </w:rPr>
                    <m:t>i</m:t>
                  </m:r>
                </m:sub>
                <m:sup>
                  <m:r>
                    <m:rPr>
                      <m:sty m:val="bi"/>
                    </m:rPr>
                    <w:rPr>
                      <w:rFonts w:ascii="Cambria Math" w:eastAsiaTheme="minorEastAsia" w:hAnsi="Cambria Math"/>
                      <w:highlight w:val="lightGray"/>
                    </w:rPr>
                    <m:t>NB</m:t>
                  </m:r>
                  <m:r>
                    <m:rPr>
                      <m:sty m:val="bi"/>
                    </m:rPr>
                    <w:rPr>
                      <w:rFonts w:ascii="Cambria Math" w:eastAsiaTheme="minorEastAsia" w:hAnsi="Cambria Math"/>
                      <w:highlight w:val="lightGray"/>
                      <w:lang w:val="en-US"/>
                    </w:rPr>
                    <m:t>_</m:t>
                  </m:r>
                  <m:r>
                    <m:rPr>
                      <m:sty m:val="bi"/>
                    </m:rPr>
                    <w:rPr>
                      <w:rFonts w:ascii="Cambria Math" w:eastAsiaTheme="minorEastAsia" w:hAnsi="Cambria Math"/>
                      <w:highlight w:val="lightGray"/>
                    </w:rPr>
                    <m:t>CONTRATS</m:t>
                  </m:r>
                  <m:r>
                    <m:rPr>
                      <m:sty m:val="bi"/>
                    </m:rPr>
                    <w:rPr>
                      <w:rFonts w:ascii="Cambria Math" w:eastAsiaTheme="minorEastAsia" w:hAnsi="Cambria Math"/>
                      <w:highlight w:val="lightGray"/>
                      <w:lang w:val="en-US"/>
                    </w:rPr>
                    <m:t>_</m:t>
                  </m:r>
                  <m:r>
                    <m:rPr>
                      <m:sty m:val="bi"/>
                    </m:rPr>
                    <w:rPr>
                      <w:rFonts w:ascii="Cambria Math" w:eastAsiaTheme="minorEastAsia" w:hAnsi="Cambria Math"/>
                      <w:highlight w:val="lightGray"/>
                    </w:rPr>
                    <m:t>CLE</m:t>
                  </m:r>
                </m:sup>
                <m:e>
                  <m:r>
                    <m:rPr>
                      <m:sty m:val="bi"/>
                    </m:rPr>
                    <w:rPr>
                      <w:rFonts w:ascii="Cambria Math" w:eastAsiaTheme="minorEastAsia" w:hAnsi="Cambria Math"/>
                      <w:highlight w:val="lightGray"/>
                    </w:rPr>
                    <m:t>abs</m:t>
                  </m:r>
                  <m:r>
                    <m:rPr>
                      <m:sty m:val="bi"/>
                    </m:rPr>
                    <w:rPr>
                      <w:rFonts w:ascii="Cambria Math" w:eastAsiaTheme="minorEastAsia" w:hAnsi="Cambria Math"/>
                      <w:highlight w:val="lightGray"/>
                      <w:lang w:val="en-US"/>
                    </w:rPr>
                    <m:t>(</m:t>
                  </m:r>
                  <m:r>
                    <m:rPr>
                      <m:sty m:val="bi"/>
                    </m:rPr>
                    <w:rPr>
                      <w:rFonts w:ascii="Cambria Math" w:eastAsiaTheme="minorEastAsia" w:hAnsi="Cambria Math"/>
                      <w:highlight w:val="lightGray"/>
                    </w:rPr>
                    <m:t>outstanding</m:t>
                  </m:r>
                  <m:r>
                    <m:rPr>
                      <m:sty m:val="bi"/>
                    </m:rPr>
                    <w:rPr>
                      <w:rFonts w:ascii="Cambria Math" w:eastAsiaTheme="minorEastAsia" w:hAnsi="Cambria Math"/>
                      <w:highlight w:val="lightGray"/>
                      <w:lang w:val="en-US"/>
                    </w:rPr>
                    <m:t>)</m:t>
                  </m:r>
                </m:e>
              </m:nary>
            </m:den>
          </m:f>
          <m:r>
            <m:rPr>
              <m:sty m:val="bi"/>
            </m:rPr>
            <w:rPr>
              <w:rFonts w:ascii="Cambria Math" w:eastAsiaTheme="minorEastAsia" w:hAnsi="Cambria Math"/>
              <w:highlight w:val="lightGray"/>
              <w:lang w:val="en-US"/>
            </w:rPr>
            <m:t xml:space="preserve"> (H)</m:t>
          </m:r>
          <m:r>
            <m:rPr>
              <m:sty m:val="bi"/>
            </m:rPr>
            <w:rPr>
              <w:rFonts w:ascii="Cambria Math" w:eastAsiaTheme="minorEastAsia" w:hAnsi="Cambria Math"/>
              <w:lang w:val="en-US"/>
            </w:rPr>
            <m:t xml:space="preserve"> </m:t>
          </m:r>
        </m:oMath>
      </m:oMathPara>
    </w:p>
    <w:p w14:paraId="71CB28CC" w14:textId="60B29324" w:rsidR="00935B07" w:rsidRDefault="00935B07" w:rsidP="00935B07">
      <w:pPr>
        <w:jc w:val="both"/>
        <w:rPr>
          <w:rFonts w:eastAsiaTheme="minorEastAsia"/>
          <w:bCs/>
        </w:rPr>
      </w:pPr>
      <w:r>
        <w:rPr>
          <w:rFonts w:eastAsiaTheme="minorEastAsia"/>
          <w:bCs/>
        </w:rPr>
        <w:t>Le poids de chaque template est égal à la somme en valeur absolue des montants des contrats sous le template divisé</w:t>
      </w:r>
      <w:r w:rsidRPr="00935B07">
        <w:rPr>
          <w:rFonts w:eastAsiaTheme="minorEastAsia"/>
          <w:bCs/>
        </w:rPr>
        <w:t xml:space="preserve"> </w:t>
      </w:r>
      <w:r>
        <w:rPr>
          <w:rFonts w:eastAsiaTheme="minorEastAsia"/>
          <w:bCs/>
        </w:rPr>
        <w:t>par la somme en valeur absolue des montants des contrats sous la clé.</w:t>
      </w:r>
    </w:p>
    <w:p w14:paraId="3DC3ABFD" w14:textId="79891666" w:rsidR="00935B07" w:rsidRDefault="00935B07" w:rsidP="00E74A45">
      <w:pPr>
        <w:jc w:val="both"/>
        <w:rPr>
          <w:rFonts w:eastAsiaTheme="minorEastAsia"/>
          <w:bCs/>
        </w:rPr>
      </w:pPr>
      <w:r>
        <w:rPr>
          <w:rFonts w:eastAsiaTheme="minorEastAsia"/>
          <w:bCs/>
        </w:rPr>
        <w:t xml:space="preserve">Cette méthode est contestable à plusieurs égards car les valeurs absolues peuvent masquer des disparités importantes dans le stock. A </w:t>
      </w:r>
      <w:r w:rsidR="00112CFA">
        <w:rPr>
          <w:rFonts w:eastAsiaTheme="minorEastAsia"/>
          <w:bCs/>
        </w:rPr>
        <w:t>t</w:t>
      </w:r>
      <w:r>
        <w:rPr>
          <w:rFonts w:eastAsiaTheme="minorEastAsia"/>
          <w:bCs/>
        </w:rPr>
        <w:t>itre personnel</w:t>
      </w:r>
      <w:r w:rsidR="00E74A45">
        <w:rPr>
          <w:rFonts w:eastAsiaTheme="minorEastAsia"/>
          <w:bCs/>
        </w:rPr>
        <w:t>,</w:t>
      </w:r>
      <w:r>
        <w:rPr>
          <w:rFonts w:eastAsiaTheme="minorEastAsia"/>
          <w:bCs/>
        </w:rPr>
        <w:t xml:space="preserve"> nous préconisons la méthode suivante :</w:t>
      </w:r>
    </w:p>
    <w:p w14:paraId="6D81077E" w14:textId="54AF2937" w:rsidR="00112CFA" w:rsidRPr="00935B07" w:rsidRDefault="002F5A5D" w:rsidP="00112CFA">
      <w:pPr>
        <w:jc w:val="both"/>
        <w:rPr>
          <w:rFonts w:eastAsiaTheme="minorEastAsia"/>
          <w:bCs/>
        </w:rPr>
      </w:pPr>
      <m:oMathPara>
        <m:oMath>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tmp</m:t>
                      </m:r>
                    </m:sub>
                  </m:sSub>
                  <m:r>
                    <w:rPr>
                      <w:rFonts w:ascii="Cambria Math" w:eastAsiaTheme="minorEastAsia" w:hAnsi="Cambria Math"/>
                    </w:rPr>
                    <m:t xml:space="preserve">=  </m:t>
                  </m:r>
                  <m:nary>
                    <m:naryPr>
                      <m:chr m:val="∑"/>
                      <m:limLoc m:val="undOvr"/>
                      <m:ctrlPr>
                        <w:rPr>
                          <w:rFonts w:ascii="Cambria Math" w:eastAsiaTheme="minorEastAsia" w:hAnsi="Cambria Math"/>
                          <w:bCs/>
                          <w:i/>
                        </w:rPr>
                      </m:ctrlPr>
                    </m:naryPr>
                    <m:sub>
                      <m:r>
                        <w:rPr>
                          <w:rFonts w:ascii="Cambria Math" w:eastAsiaTheme="minorEastAsia" w:hAnsi="Cambria Math"/>
                        </w:rPr>
                        <m:t>i</m:t>
                      </m:r>
                    </m:sub>
                    <m:sup>
                      <m:r>
                        <w:rPr>
                          <w:rFonts w:ascii="Cambria Math" w:eastAsiaTheme="minorEastAsia" w:hAnsi="Cambria Math"/>
                        </w:rPr>
                        <m:t>NB_CONTRATS_TEMPLATE</m:t>
                      </m:r>
                    </m:sup>
                    <m:e>
                      <m:r>
                        <w:rPr>
                          <w:rFonts w:ascii="Cambria Math" w:eastAsiaTheme="minorEastAsia" w:hAnsi="Cambria Math"/>
                        </w:rPr>
                        <m:t>outstanding</m:t>
                      </m:r>
                    </m:e>
                  </m:nary>
                </m:e>
                <m:e>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TEMPLATE</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 xml:space="preserve">a*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template</m:t>
                          </m:r>
                        </m:sub>
                      </m:sSub>
                    </m:num>
                    <m:den>
                      <m:r>
                        <w:rPr>
                          <w:rFonts w:ascii="Cambria Math" w:eastAsiaTheme="minorEastAsia" w:hAnsi="Cambria Math"/>
                        </w:rPr>
                        <m:t>abs(</m:t>
                      </m:r>
                      <m:nary>
                        <m:naryPr>
                          <m:chr m:val="∑"/>
                          <m:limLoc m:val="undOvr"/>
                          <m:ctrlPr>
                            <w:rPr>
                              <w:rFonts w:ascii="Cambria Math" w:eastAsiaTheme="minorEastAsia" w:hAnsi="Cambria Math"/>
                              <w:bCs/>
                              <w:i/>
                            </w:rPr>
                          </m:ctrlPr>
                        </m:naryPr>
                        <m:sub>
                          <m:r>
                            <w:rPr>
                              <w:rFonts w:ascii="Cambria Math" w:eastAsiaTheme="minorEastAsia" w:hAnsi="Cambria Math"/>
                            </w:rPr>
                            <m:t>tmp</m:t>
                          </m:r>
                        </m:sub>
                        <m:sup>
                          <m:r>
                            <w:rPr>
                              <w:rFonts w:ascii="Cambria Math" w:eastAsiaTheme="minorEastAsia" w:hAnsi="Cambria Math"/>
                            </w:rPr>
                            <m:t>NB_TEMPLATE_CLE</m:t>
                          </m:r>
                        </m:sup>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tmp</m:t>
                              </m:r>
                            </m:sub>
                          </m:sSub>
                          <m:r>
                            <w:rPr>
                              <w:rFonts w:ascii="Cambria Math" w:eastAsiaTheme="minorEastAsia" w:hAnsi="Cambria Math"/>
                            </w:rPr>
                            <m:t>)</m:t>
                          </m:r>
                        </m:e>
                      </m:nary>
                    </m:den>
                  </m:f>
                  <m:r>
                    <w:rPr>
                      <w:rFonts w:ascii="Cambria Math" w:eastAsiaTheme="minorEastAsia" w:hAnsi="Cambria Math"/>
                    </w:rPr>
                    <m:t xml:space="preserve"> si abs(</m:t>
                  </m:r>
                  <m:nary>
                    <m:naryPr>
                      <m:chr m:val="∑"/>
                      <m:limLoc m:val="undOvr"/>
                      <m:ctrlPr>
                        <w:rPr>
                          <w:rFonts w:ascii="Cambria Math" w:eastAsiaTheme="minorEastAsia" w:hAnsi="Cambria Math"/>
                          <w:bCs/>
                          <w:i/>
                        </w:rPr>
                      </m:ctrlPr>
                    </m:naryPr>
                    <m:sub>
                      <m:r>
                        <w:rPr>
                          <w:rFonts w:ascii="Cambria Math" w:eastAsiaTheme="minorEastAsia" w:hAnsi="Cambria Math"/>
                        </w:rPr>
                        <m:t>tmp</m:t>
                      </m:r>
                    </m:sub>
                    <m:sup>
                      <m:r>
                        <w:rPr>
                          <w:rFonts w:ascii="Cambria Math" w:eastAsiaTheme="minorEastAsia" w:hAnsi="Cambria Math"/>
                        </w:rPr>
                        <m:t>N</m:t>
                      </m:r>
                      <m:sSub>
                        <m:sSubPr>
                          <m:ctrlPr>
                            <w:rPr>
                              <w:rFonts w:ascii="Cambria Math" w:eastAsiaTheme="minorEastAsia" w:hAnsi="Cambria Math"/>
                              <w:bCs/>
                              <w:i/>
                            </w:rPr>
                          </m:ctrlPr>
                        </m:sSubPr>
                        <m:e>
                          <m:r>
                            <w:rPr>
                              <w:rFonts w:ascii="Cambria Math" w:eastAsiaTheme="minorEastAsia" w:hAnsi="Cambria Math"/>
                            </w:rPr>
                            <m:t>B</m:t>
                          </m:r>
                        </m:e>
                        <m:sub>
                          <m:r>
                            <w:rPr>
                              <w:rFonts w:ascii="Cambria Math" w:eastAsiaTheme="minorEastAsia" w:hAnsi="Cambria Math"/>
                            </w:rPr>
                            <m:t>TEMPLAT</m:t>
                          </m:r>
                          <m:sSub>
                            <m:sSubPr>
                              <m:ctrlPr>
                                <w:rPr>
                                  <w:rFonts w:ascii="Cambria Math" w:eastAsiaTheme="minorEastAsia" w:hAnsi="Cambria Math"/>
                                  <w:bCs/>
                                  <w:i/>
                                </w:rPr>
                              </m:ctrlPr>
                            </m:sSubPr>
                            <m:e>
                              <m:r>
                                <w:rPr>
                                  <w:rFonts w:ascii="Cambria Math" w:eastAsiaTheme="minorEastAsia" w:hAnsi="Cambria Math"/>
                                </w:rPr>
                                <m:t>E</m:t>
                              </m:r>
                            </m:e>
                            <m:sub>
                              <m:r>
                                <w:rPr>
                                  <w:rFonts w:ascii="Cambria Math" w:eastAsiaTheme="minorEastAsia" w:hAnsi="Cambria Math"/>
                                </w:rPr>
                                <m:t>CLE</m:t>
                              </m:r>
                            </m:sub>
                          </m:sSub>
                        </m:sub>
                      </m:sSub>
                    </m:sup>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tmp</m:t>
                          </m:r>
                        </m:sub>
                      </m:sSub>
                      <m:r>
                        <w:rPr>
                          <w:rFonts w:ascii="Cambria Math" w:eastAsiaTheme="minorEastAsia" w:hAnsi="Cambria Math"/>
                        </w:rPr>
                        <m:t>)</m:t>
                      </m:r>
                    </m:e>
                  </m:nary>
                  <m:r>
                    <w:rPr>
                      <w:rFonts w:ascii="Cambria Math" w:eastAsiaTheme="minorEastAsia" w:hAnsi="Cambria Math"/>
                    </w:rPr>
                    <m:t xml:space="preserve">&gt;0 </m:t>
                  </m:r>
                </m:e>
                <m:e>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 xml:space="preserve"> TEMPLATE</m:t>
                      </m:r>
                    </m:sub>
                  </m:sSub>
                  <m:r>
                    <w:rPr>
                      <w:rFonts w:ascii="Cambria Math" w:eastAsiaTheme="minorEastAsia" w:hAnsi="Cambria Math"/>
                    </w:rPr>
                    <m:t xml:space="preserve">= a* </m:t>
                  </m:r>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template</m:t>
                      </m:r>
                    </m:sub>
                  </m:sSub>
                  <m:r>
                    <w:rPr>
                      <w:rFonts w:ascii="Cambria Math" w:eastAsiaTheme="minorEastAsia" w:hAnsi="Cambria Math"/>
                    </w:rPr>
                    <m:t xml:space="preserve"> si abs(</m:t>
                  </m:r>
                  <m:nary>
                    <m:naryPr>
                      <m:chr m:val="∑"/>
                      <m:limLoc m:val="undOvr"/>
                      <m:ctrlPr>
                        <w:rPr>
                          <w:rFonts w:ascii="Cambria Math" w:eastAsiaTheme="minorEastAsia" w:hAnsi="Cambria Math"/>
                          <w:bCs/>
                          <w:i/>
                        </w:rPr>
                      </m:ctrlPr>
                    </m:naryPr>
                    <m:sub>
                      <m:r>
                        <w:rPr>
                          <w:rFonts w:ascii="Cambria Math" w:eastAsiaTheme="minorEastAsia" w:hAnsi="Cambria Math"/>
                        </w:rPr>
                        <m:t>tmp</m:t>
                      </m:r>
                    </m:sub>
                    <m:sup>
                      <m:r>
                        <w:rPr>
                          <w:rFonts w:ascii="Cambria Math" w:eastAsiaTheme="minorEastAsia" w:hAnsi="Cambria Math"/>
                        </w:rPr>
                        <m:t>N</m:t>
                      </m:r>
                      <m:sSub>
                        <m:sSubPr>
                          <m:ctrlPr>
                            <w:rPr>
                              <w:rFonts w:ascii="Cambria Math" w:eastAsiaTheme="minorEastAsia" w:hAnsi="Cambria Math"/>
                              <w:bCs/>
                              <w:i/>
                            </w:rPr>
                          </m:ctrlPr>
                        </m:sSubPr>
                        <m:e>
                          <m:r>
                            <w:rPr>
                              <w:rFonts w:ascii="Cambria Math" w:eastAsiaTheme="minorEastAsia" w:hAnsi="Cambria Math"/>
                            </w:rPr>
                            <m:t>B</m:t>
                          </m:r>
                        </m:e>
                        <m:sub>
                          <m:r>
                            <w:rPr>
                              <w:rFonts w:ascii="Cambria Math" w:eastAsiaTheme="minorEastAsia" w:hAnsi="Cambria Math"/>
                            </w:rPr>
                            <m:t>TEMPLAT</m:t>
                          </m:r>
                          <m:sSub>
                            <m:sSubPr>
                              <m:ctrlPr>
                                <w:rPr>
                                  <w:rFonts w:ascii="Cambria Math" w:eastAsiaTheme="minorEastAsia" w:hAnsi="Cambria Math"/>
                                  <w:bCs/>
                                  <w:i/>
                                </w:rPr>
                              </m:ctrlPr>
                            </m:sSubPr>
                            <m:e>
                              <m:r>
                                <w:rPr>
                                  <w:rFonts w:ascii="Cambria Math" w:eastAsiaTheme="minorEastAsia" w:hAnsi="Cambria Math"/>
                                </w:rPr>
                                <m:t>E</m:t>
                              </m:r>
                            </m:e>
                            <m:sub>
                              <m:r>
                                <w:rPr>
                                  <w:rFonts w:ascii="Cambria Math" w:eastAsiaTheme="minorEastAsia" w:hAnsi="Cambria Math"/>
                                </w:rPr>
                                <m:t>CLE</m:t>
                              </m:r>
                            </m:sub>
                          </m:sSub>
                        </m:sub>
                      </m:sSub>
                    </m:sup>
                    <m:e>
                      <m:sSub>
                        <m:sSubPr>
                          <m:ctrlPr>
                            <w:rPr>
                              <w:rFonts w:ascii="Cambria Math" w:eastAsiaTheme="minorEastAsia" w:hAnsi="Cambria Math"/>
                              <w:bCs/>
                              <w:i/>
                            </w:rPr>
                          </m:ctrlPr>
                        </m:sSubPr>
                        <m:e>
                          <m:r>
                            <w:rPr>
                              <w:rFonts w:ascii="Cambria Math" w:eastAsiaTheme="minorEastAsia" w:hAnsi="Cambria Math"/>
                            </w:rPr>
                            <m:t>S</m:t>
                          </m:r>
                        </m:e>
                        <m:sub>
                          <m:r>
                            <w:rPr>
                              <w:rFonts w:ascii="Cambria Math" w:eastAsiaTheme="minorEastAsia" w:hAnsi="Cambria Math"/>
                            </w:rPr>
                            <m:t>tmp</m:t>
                          </m:r>
                        </m:sub>
                      </m:sSub>
                      <m:r>
                        <w:rPr>
                          <w:rFonts w:ascii="Cambria Math" w:eastAsiaTheme="minorEastAsia" w:hAnsi="Cambria Math"/>
                        </w:rPr>
                        <m:t>)</m:t>
                      </m:r>
                    </m:e>
                  </m:nary>
                  <m:r>
                    <w:rPr>
                      <w:rFonts w:ascii="Cambria Math" w:eastAsiaTheme="minorEastAsia" w:hAnsi="Cambria Math"/>
                    </w:rPr>
                    <m:t>=0</m:t>
                  </m:r>
                  <m:ctrlPr>
                    <w:rPr>
                      <w:rFonts w:ascii="Cambria Math" w:eastAsia="Cambria Math" w:hAnsi="Cambria Math" w:cs="Cambria Math"/>
                      <w:bCs/>
                      <w:i/>
                    </w:rPr>
                  </m:ctrlPr>
                </m:e>
                <m:e>
                  <m:r>
                    <w:rPr>
                      <w:rFonts w:ascii="Cambria Math" w:eastAsia="Cambria Math" w:hAnsi="Cambria Math" w:cs="Cambria Math"/>
                    </w:rPr>
                    <m:t>Avec a=-1 si le contrat est un passif et a=1 si le contrat est un actif</m:t>
                  </m:r>
                </m:e>
              </m:eqArr>
            </m:e>
          </m:d>
        </m:oMath>
      </m:oMathPara>
    </w:p>
    <w:p w14:paraId="06A4C853" w14:textId="77777777" w:rsidR="00935B07" w:rsidRDefault="00935B07" w:rsidP="00935B07">
      <w:pPr>
        <w:jc w:val="both"/>
        <w:rPr>
          <w:rFonts w:eastAsiaTheme="minorEastAsia"/>
          <w:bCs/>
        </w:rPr>
      </w:pPr>
    </w:p>
    <w:p w14:paraId="71DDD336" w14:textId="408276B8" w:rsidR="008B1E2D" w:rsidRDefault="008B1E2D" w:rsidP="00CE69B8">
      <w:pPr>
        <w:jc w:val="both"/>
        <w:rPr>
          <w:rFonts w:eastAsiaTheme="minorEastAsia"/>
          <w:bCs/>
        </w:rPr>
      </w:pPr>
      <w:r>
        <w:rPr>
          <w:rFonts w:eastAsiaTheme="minorEastAsia"/>
          <w:bCs/>
        </w:rPr>
        <w:t xml:space="preserve">En pratique, cela ne donne pas de grandes différences, car il existe très peu de contrats de signes différents à des niveaux inférieurs aux templates. Pour cette raison, nous avons choisi de nous aligner </w:t>
      </w:r>
      <w:r w:rsidR="00E74A45">
        <w:rPr>
          <w:rFonts w:eastAsiaTheme="minorEastAsia"/>
          <w:bCs/>
        </w:rPr>
        <w:t xml:space="preserve">sur </w:t>
      </w:r>
      <w:r w:rsidR="00886F47">
        <w:rPr>
          <w:rFonts w:eastAsiaTheme="minorEastAsia"/>
          <w:bCs/>
        </w:rPr>
        <w:t>la méthodologie proposée</w:t>
      </w:r>
      <w:r w:rsidR="00E74A45">
        <w:rPr>
          <w:rFonts w:eastAsiaTheme="minorEastAsia"/>
          <w:bCs/>
        </w:rPr>
        <w:t xml:space="preserve"> par</w:t>
      </w:r>
      <w:r>
        <w:rPr>
          <w:rFonts w:eastAsiaTheme="minorEastAsia"/>
          <w:bCs/>
        </w:rPr>
        <w:t xml:space="preserve"> RCO.</w:t>
      </w:r>
    </w:p>
    <w:p w14:paraId="6D961FE0" w14:textId="77777777" w:rsidR="00CE69B8" w:rsidRDefault="00CE69B8" w:rsidP="00CE69B8">
      <w:pPr>
        <w:jc w:val="both"/>
        <w:rPr>
          <w:rFonts w:eastAsiaTheme="minorEastAsia"/>
          <w:bCs/>
        </w:rPr>
      </w:pPr>
    </w:p>
    <w:p w14:paraId="381659A0" w14:textId="4FEF2657" w:rsidR="008B1E2D" w:rsidRPr="008B1E2D" w:rsidRDefault="007A4574" w:rsidP="008B1E2D">
      <w:pPr>
        <w:pStyle w:val="Titre3"/>
      </w:pPr>
      <w:r>
        <w:t>3.</w:t>
      </w:r>
      <w:r w:rsidR="008B1E2D">
        <w:t>3.</w:t>
      </w:r>
      <w:r w:rsidR="00CE69B8">
        <w:t>4</w:t>
      </w:r>
      <w:r w:rsidR="008B1E2D">
        <w:t xml:space="preserve"> Calcul des </w:t>
      </w:r>
      <w:r w:rsidR="008A66AE">
        <w:t xml:space="preserve">flux de </w:t>
      </w:r>
      <w:r w:rsidR="008B1E2D">
        <w:t>PN par récurrence</w:t>
      </w:r>
    </w:p>
    <w:p w14:paraId="4E36767F" w14:textId="0BAD535A" w:rsidR="00B82EA4" w:rsidRDefault="00CE69B8" w:rsidP="00CE69B8">
      <w:pPr>
        <w:jc w:val="both"/>
        <w:rPr>
          <w:rFonts w:eastAsiaTheme="minorEastAsia"/>
          <w:bCs/>
        </w:rPr>
      </w:pPr>
      <w:r>
        <w:rPr>
          <w:rFonts w:eastAsiaTheme="minorEastAsia"/>
          <w:bCs/>
        </w:rPr>
        <w:t xml:space="preserve">En utilisant la formule (H), on peut déduire à partir de </w:t>
      </w:r>
      <w:r w:rsidR="00CF4DB5">
        <w:rPr>
          <w:rFonts w:eastAsiaTheme="minorEastAsia"/>
          <w:bCs/>
        </w:rPr>
        <w:t>(</w:t>
      </w:r>
      <w:r>
        <w:rPr>
          <w:rFonts w:eastAsiaTheme="minorEastAsia"/>
          <w:bCs/>
        </w:rPr>
        <w:t>G</w:t>
      </w:r>
      <w:r w:rsidR="00CF4DB5">
        <w:rPr>
          <w:rFonts w:eastAsiaTheme="minorEastAsia"/>
          <w:bCs/>
        </w:rPr>
        <w:t>)</w:t>
      </w:r>
      <w:r>
        <w:rPr>
          <w:rFonts w:eastAsiaTheme="minorEastAsia"/>
          <w:bCs/>
        </w:rPr>
        <w:t xml:space="preserve"> les montants de PN produit au mois 1</w:t>
      </w:r>
      <w:r w:rsidR="00B82EA4">
        <w:rPr>
          <w:rFonts w:eastAsiaTheme="minorEastAsia"/>
          <w:bCs/>
        </w:rPr>
        <w:t xml:space="preserve"> </w:t>
      </w:r>
      <w:r>
        <w:rPr>
          <w:rFonts w:eastAsiaTheme="minorEastAsia"/>
          <w:bCs/>
        </w:rPr>
        <w:t xml:space="preserve">pour chacun des templates projetables sous </w:t>
      </w:r>
      <w:r w:rsidR="00B82EA4">
        <w:rPr>
          <w:rFonts w:eastAsiaTheme="minorEastAsia"/>
          <w:bCs/>
        </w:rPr>
        <w:t>une</w:t>
      </w:r>
      <w:r>
        <w:rPr>
          <w:rFonts w:eastAsiaTheme="minorEastAsia"/>
          <w:bCs/>
        </w:rPr>
        <w:t xml:space="preserve"> clé. </w:t>
      </w:r>
    </w:p>
    <w:p w14:paraId="06246AB5" w14:textId="68263827" w:rsidR="00CE69B8" w:rsidRDefault="00CE69B8" w:rsidP="00CE69B8">
      <w:pPr>
        <w:jc w:val="both"/>
        <w:rPr>
          <w:rFonts w:eastAsiaTheme="minorEastAsia"/>
          <w:bCs/>
        </w:rPr>
      </w:pPr>
      <w:r>
        <w:rPr>
          <w:rFonts w:eastAsiaTheme="minorEastAsia"/>
          <w:bCs/>
        </w:rPr>
        <w:t xml:space="preserve">Ainsi, si l’on considère la clé K et les n templates sous cette clé notés </w:t>
      </w:r>
      <m:oMath>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K,i</m:t>
            </m:r>
          </m:sub>
        </m:sSub>
      </m:oMath>
      <w:r>
        <w:rPr>
          <w:rFonts w:eastAsiaTheme="minorEastAsia"/>
          <w:bCs/>
        </w:rPr>
        <w:t xml:space="preserve"> on peut écrire à partir de (G) </w:t>
      </w:r>
      <w:r w:rsidR="00CF4DB5">
        <w:rPr>
          <w:rFonts w:eastAsiaTheme="minorEastAsia"/>
          <w:bCs/>
        </w:rPr>
        <w:t>pour la PN produite au mois 1 que</w:t>
      </w:r>
      <w:r>
        <w:rPr>
          <w:rFonts w:eastAsiaTheme="minorEastAsia"/>
          <w:bCs/>
        </w:rPr>
        <w:t xml:space="preserve">:  </w:t>
      </w:r>
    </w:p>
    <w:p w14:paraId="2A0F48C2" w14:textId="26FD4964" w:rsidR="00CE69B8" w:rsidRPr="00CE69B8" w:rsidRDefault="002F5A5D" w:rsidP="00F605AB">
      <w:pPr>
        <w:jc w:val="both"/>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1,K</m:t>
                  </m:r>
                </m:sub>
              </m:sSub>
            </m:sub>
          </m:sSub>
          <m:r>
            <m:rPr>
              <m:sty m:val="bi"/>
            </m:rPr>
            <w:rPr>
              <w:rFonts w:ascii="Cambria Math" w:hAnsi="Cambria Math"/>
            </w:rPr>
            <m:t>(1)=</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 cible,</m:t>
                  </m:r>
                </m:sub>
              </m:sSub>
              <m:d>
                <m:dPr>
                  <m:ctrlPr>
                    <w:rPr>
                      <w:rFonts w:ascii="Cambria Math" w:hAnsi="Cambria Math"/>
                      <w:b/>
                      <w:i/>
                    </w:rPr>
                  </m:ctrlPr>
                </m:dPr>
                <m:e>
                  <m:r>
                    <m:rPr>
                      <m:sty m:val="bi"/>
                    </m:rPr>
                    <w:rPr>
                      <w:rFonts w:ascii="Cambria Math" w:hAnsi="Cambria Math"/>
                    </w:rPr>
                    <m:t>1</m:t>
                  </m:r>
                </m:e>
              </m:d>
              <m:r>
                <m:rPr>
                  <m:sty m:val="bi"/>
                </m:rPr>
                <w:rPr>
                  <w:rFonts w:ascii="Cambria Math" w:hAnsi="Cambria Math"/>
                </w:rPr>
                <m:t>-C</m:t>
              </m:r>
            </m:e>
            <m:sub>
              <m:r>
                <m:rPr>
                  <m:sty m:val="bi"/>
                </m:rPr>
                <w:rPr>
                  <w:rFonts w:ascii="Cambria Math" w:hAnsi="Cambria Math"/>
                </w:rPr>
                <m:t>K, STOCK,</m:t>
              </m:r>
            </m:sub>
          </m:sSub>
          <m:r>
            <m:rPr>
              <m:sty m:val="bi"/>
            </m:rPr>
            <w:rPr>
              <w:rFonts w:ascii="Cambria Math" w:hAnsi="Cambria Math"/>
            </w:rPr>
            <m:t>(1)</m:t>
          </m:r>
        </m:oMath>
      </m:oMathPara>
    </w:p>
    <w:p w14:paraId="28CCC004" w14:textId="60988906" w:rsidR="00CE69B8" w:rsidRDefault="002F5A5D" w:rsidP="00CE69B8">
      <w:pPr>
        <w:jc w:val="both"/>
        <w:rPr>
          <w:rFonts w:eastAsiaTheme="minorEastAsia"/>
          <w:bCs/>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K,i</m:t>
                      </m:r>
                    </m:sub>
                  </m:sSub>
                </m:sub>
              </m:sSub>
            </m:sub>
          </m:sSub>
          <m:r>
            <m:rPr>
              <m:sty m:val="bi"/>
            </m:rPr>
            <w:rPr>
              <w:rFonts w:ascii="Cambria Math" w:hAnsi="Cambria Math"/>
            </w:rPr>
            <m:t>(1)=</m:t>
          </m:r>
          <m:sSub>
            <m:sSubPr>
              <m:ctrlPr>
                <w:rPr>
                  <w:rFonts w:ascii="Cambria Math" w:hAnsi="Cambria Math"/>
                  <w:b/>
                  <w:i/>
                </w:rPr>
              </m:ctrlPr>
            </m:sSubPr>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*(E</m:t>
                  </m:r>
                </m:e>
                <m:sub>
                  <m:r>
                    <m:rPr>
                      <m:sty m:val="bi"/>
                    </m:rPr>
                    <w:rPr>
                      <w:rFonts w:ascii="Cambria Math" w:hAnsi="Cambria Math"/>
                    </w:rPr>
                    <m:t>K, cible,</m:t>
                  </m:r>
                </m:sub>
              </m:sSub>
              <m:d>
                <m:dPr>
                  <m:ctrlPr>
                    <w:rPr>
                      <w:rFonts w:ascii="Cambria Math" w:hAnsi="Cambria Math"/>
                      <w:b/>
                      <w:i/>
                    </w:rPr>
                  </m:ctrlPr>
                </m:dPr>
                <m:e>
                  <m:r>
                    <m:rPr>
                      <m:sty m:val="bi"/>
                    </m:rPr>
                    <w:rPr>
                      <w:rFonts w:ascii="Cambria Math" w:hAnsi="Cambria Math"/>
                    </w:rPr>
                    <m:t>1</m:t>
                  </m:r>
                </m:e>
              </m:d>
              <m:r>
                <m:rPr>
                  <m:sty m:val="bi"/>
                </m:rPr>
                <w:rPr>
                  <w:rFonts w:ascii="Cambria Math" w:hAnsi="Cambria Math"/>
                </w:rPr>
                <m:t>-C</m:t>
              </m:r>
            </m:e>
            <m:sub>
              <m:r>
                <m:rPr>
                  <m:sty m:val="bi"/>
                </m:rPr>
                <w:rPr>
                  <w:rFonts w:ascii="Cambria Math" w:hAnsi="Cambria Math"/>
                </w:rPr>
                <m:t>K, STOCK,</m:t>
              </m:r>
            </m:sub>
          </m:sSub>
          <m:r>
            <m:rPr>
              <m:sty m:val="bi"/>
            </m:rPr>
            <w:rPr>
              <w:rFonts w:ascii="Cambria Math" w:hAnsi="Cambria Math"/>
            </w:rPr>
            <m:t xml:space="preserve">(1)) avec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nary>
          <m:r>
            <m:rPr>
              <m:sty m:val="bi"/>
            </m:rPr>
            <w:rPr>
              <w:rFonts w:ascii="Cambria Math" w:hAnsi="Cambria Math"/>
            </w:rPr>
            <m:t xml:space="preserve">=1 </m:t>
          </m:r>
        </m:oMath>
      </m:oMathPara>
    </w:p>
    <w:p w14:paraId="515C52F5" w14:textId="18E84D29" w:rsidR="009D498C" w:rsidRPr="009D498C" w:rsidRDefault="009D498C" w:rsidP="009D498C">
      <w:pPr>
        <w:jc w:val="both"/>
        <w:rPr>
          <w:rFonts w:eastAsiaTheme="minorEastAsia"/>
          <w:bCs/>
        </w:rPr>
      </w:pPr>
      <w:r w:rsidRPr="009D498C">
        <w:rPr>
          <w:rFonts w:eastAsiaTheme="minorEastAsia"/>
          <w:bCs/>
        </w:rPr>
        <w:t>Maintenant que l’on dispose du flux de PN à générer par template, l’on doit répartir ce montant entre les parts stables et volatile. Or le modèle des NMDs de BPCE impose que la part volatile de la PN</w:t>
      </w:r>
      <w:r>
        <w:rPr>
          <w:rFonts w:eastAsiaTheme="minorEastAsia"/>
          <w:bCs/>
        </w:rPr>
        <w:t xml:space="preserve"> </w:t>
      </w:r>
      <w:r w:rsidR="000B30FA">
        <w:rPr>
          <w:rFonts w:eastAsiaTheme="minorEastAsia"/>
          <w:bCs/>
        </w:rPr>
        <w:t xml:space="preserve">se calcule </w:t>
      </w:r>
      <w:r w:rsidRPr="009D498C">
        <w:rPr>
          <w:bCs/>
        </w:rPr>
        <w:t>non par rapport au montant de PN générée</w:t>
      </w:r>
      <w:r w:rsidRPr="009D498C">
        <w:rPr>
          <w:rFonts w:eastAsiaTheme="minorEastAsia"/>
          <w:bCs/>
        </w:rPr>
        <w:t xml:space="preserve">, </w:t>
      </w:r>
      <w:r>
        <w:rPr>
          <w:bCs/>
        </w:rPr>
        <w:t>mais de façon</w:t>
      </w:r>
      <w:r w:rsidRPr="009D498C">
        <w:rPr>
          <w:bCs/>
        </w:rPr>
        <w:t xml:space="preserve"> </w:t>
      </w:r>
      <w:r>
        <w:rPr>
          <w:bCs/>
        </w:rPr>
        <w:t>à ce que l</w:t>
      </w:r>
      <w:r w:rsidR="009612ED">
        <w:rPr>
          <w:bCs/>
        </w:rPr>
        <w:t>’encours de la</w:t>
      </w:r>
      <w:r>
        <w:rPr>
          <w:bCs/>
        </w:rPr>
        <w:t xml:space="preserve"> part volatile</w:t>
      </w:r>
      <w:r w:rsidR="009612ED">
        <w:rPr>
          <w:bCs/>
        </w:rPr>
        <w:t xml:space="preserve"> du produit reste constante </w:t>
      </w:r>
      <w:r>
        <w:rPr>
          <w:bCs/>
        </w:rPr>
        <w:t>et égal à son poids de départ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VOL</m:t>
            </m:r>
          </m:sub>
        </m:sSub>
        <m:r>
          <m:rPr>
            <m:sty m:val="bi"/>
          </m:rPr>
          <w:rPr>
            <w:rFonts w:ascii="Cambria Math" w:hAnsi="Cambria Math"/>
          </w:rPr>
          <m:t>)</m:t>
        </m:r>
      </m:oMath>
      <w:r>
        <w:rPr>
          <w:bCs/>
        </w:rPr>
        <w:t xml:space="preserve"> </w:t>
      </w:r>
      <w:r w:rsidR="009612ED">
        <w:rPr>
          <w:bCs/>
        </w:rPr>
        <w:t>par rapport à l’encours global stock + PN du template</w:t>
      </w:r>
      <w:r>
        <w:rPr>
          <w:bCs/>
        </w:rPr>
        <w:t>. Ainsi l’on peut écrire que :</w:t>
      </w:r>
    </w:p>
    <w:p w14:paraId="3CA6A961" w14:textId="37DFC700" w:rsidR="00966897" w:rsidRPr="005D110A" w:rsidRDefault="002F5A5D" w:rsidP="009D498C">
      <w:pPr>
        <w:jc w:val="center"/>
        <w:rPr>
          <w:rFonts w:eastAsiaTheme="minorEastAsia"/>
          <w:b/>
        </w:rPr>
      </w:pPr>
      <m:oMathPara>
        <m:oMath>
          <m:sSub>
            <m:sSubPr>
              <m:ctrlPr>
                <w:rPr>
                  <w:rFonts w:ascii="Cambria Math" w:hAnsi="Cambria Math"/>
                  <w:b/>
                  <w:bCs/>
                  <w:i/>
                </w:rPr>
              </m:ctrlPr>
            </m:sSub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kK,i</m:t>
                          </m:r>
                        </m:sub>
                      </m:sSub>
                      <m:r>
                        <w:rPr>
                          <w:rFonts w:ascii="Cambria Math" w:eastAsiaTheme="minorEastAsia" w:hAnsi="Cambria Math"/>
                        </w:rPr>
                        <m:t>, vol</m:t>
                      </m:r>
                    </m:sub>
                  </m:sSub>
                </m:sub>
              </m:sSub>
              <m:r>
                <m:rPr>
                  <m:sty m:val="bi"/>
                </m:rPr>
                <w:rPr>
                  <w:rFonts w:ascii="Cambria Math" w:hAnsi="Cambria Math"/>
                </w:rPr>
                <m:t>(1)=(E</m:t>
              </m:r>
            </m:e>
            <m:sub>
              <m:r>
                <m:rPr>
                  <m:sty m:val="bi"/>
                </m:rPr>
                <w:rPr>
                  <w:rFonts w:ascii="Cambria Math" w:hAnsi="Cambria Math"/>
                </w:rPr>
                <m:t>K, cible</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 STOCK,vol</m:t>
              </m:r>
            </m:sub>
          </m:sSub>
          <m:r>
            <m:rPr>
              <m:sty m:val="bi"/>
            </m:rPr>
            <w:rPr>
              <w:rFonts w:ascii="Cambria Math" w:hAnsi="Cambria Math"/>
            </w:rPr>
            <m:t xml:space="preserve">(1)) </m:t>
          </m:r>
          <m:sSub>
            <m:sSubPr>
              <m:ctrlPr>
                <w:rPr>
                  <w:rFonts w:ascii="Cambria Math" w:hAnsi="Cambria Math"/>
                  <w:b/>
                  <w:i/>
                </w:rPr>
              </m:ctrlPr>
            </m:sSubPr>
            <m:e>
              <m:r>
                <m:rPr>
                  <m:sty m:val="bi"/>
                </m:rPr>
                <w:rPr>
                  <w:rFonts w:ascii="Cambria Math" w:hAnsi="Cambria Math"/>
                </w:rPr>
                <m:t>* 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VOL</m:t>
              </m:r>
            </m:sub>
          </m:sSub>
          <m:r>
            <m:rPr>
              <m:sty m:val="bi"/>
            </m:rPr>
            <w:rPr>
              <w:rFonts w:ascii="Cambria Math" w:hAnsi="Cambria Math"/>
            </w:rPr>
            <m:t xml:space="preserve"> </m:t>
          </m:r>
        </m:oMath>
      </m:oMathPara>
    </w:p>
    <w:p w14:paraId="65B855B0" w14:textId="1EE22584" w:rsidR="00966897" w:rsidRDefault="009D498C" w:rsidP="00CE69B8">
      <w:pPr>
        <w:jc w:val="both"/>
        <w:rPr>
          <w:rFonts w:eastAsiaTheme="minorEastAsia"/>
          <w:b/>
        </w:rPr>
      </w:pPr>
      <w:r>
        <w:rPr>
          <w:rFonts w:eastAsiaTheme="minorEastAsia"/>
          <w:b/>
        </w:rPr>
        <w:t xml:space="preserve">Le flux à générer pour les parts stables s’en déduit immédiatement. Si l’on note </w:t>
      </w:r>
      <m:oMath>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st</m:t>
                </m:r>
              </m:e>
              <m:sub>
                <m:r>
                  <m:rPr>
                    <m:sty m:val="bi"/>
                  </m:rPr>
                  <w:rPr>
                    <w:rFonts w:ascii="Cambria Math" w:hAnsi="Cambria Math"/>
                  </w:rPr>
                  <m:t>h</m:t>
                </m:r>
              </m:sub>
            </m:sSub>
          </m:sub>
        </m:sSub>
        <m:r>
          <m:rPr>
            <m:sty m:val="bi"/>
          </m:rPr>
          <w:rPr>
            <w:rFonts w:ascii="Cambria Math" w:hAnsi="Cambria Math"/>
          </w:rPr>
          <m:t xml:space="preserve">  </m:t>
        </m:r>
      </m:oMath>
      <w:r>
        <w:rPr>
          <w:rFonts w:eastAsiaTheme="minorEastAsia"/>
          <w:b/>
        </w:rPr>
        <w:t>le poids de la part stable h alors on peut écrire que :</w:t>
      </w:r>
    </w:p>
    <w:p w14:paraId="67C8AE2C" w14:textId="63AC01A7" w:rsidR="009D498C" w:rsidRPr="005D110A" w:rsidRDefault="002F5A5D" w:rsidP="009D498C">
      <w:pPr>
        <w:jc w:val="cente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k,i</m:t>
                      </m:r>
                    </m:sub>
                  </m:sSub>
                  <m:r>
                    <w:rPr>
                      <w:rFonts w:ascii="Cambria Math" w:eastAsiaTheme="minorEastAsia" w:hAnsi="Cambria Math"/>
                    </w:rPr>
                    <m:t>, s</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h</m:t>
                      </m:r>
                    </m:sub>
                  </m:sSub>
                </m:sub>
              </m:sSub>
            </m:sub>
          </m:sSub>
          <m:d>
            <m:dPr>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w</m:t>
                  </m:r>
                </m:e>
                <m:sub>
                  <m:sSub>
                    <m:sSubPr>
                      <m:ctrlPr>
                        <w:rPr>
                          <w:rFonts w:ascii="Cambria Math" w:hAnsi="Cambria Math"/>
                          <w:b/>
                          <w:i/>
                        </w:rPr>
                      </m:ctrlPr>
                    </m:sSubPr>
                    <m:e>
                      <m:r>
                        <m:rPr>
                          <m:sty m:val="bi"/>
                        </m:rPr>
                        <w:rPr>
                          <w:rFonts w:ascii="Cambria Math" w:hAnsi="Cambria Math"/>
                        </w:rPr>
                        <m:t>st</m:t>
                      </m:r>
                    </m:e>
                    <m:sub>
                      <m:r>
                        <m:rPr>
                          <m:sty m:val="bi"/>
                        </m:rPr>
                        <w:rPr>
                          <w:rFonts w:ascii="Cambria Math" w:hAnsi="Cambria Math"/>
                        </w:rPr>
                        <m:t>h</m:t>
                      </m:r>
                    </m:sub>
                  </m:sSub>
                </m:sub>
              </m:sSub>
              <m:r>
                <m:rPr>
                  <m:sty m:val="bi"/>
                </m:rPr>
                <w:rPr>
                  <w:rFonts w:ascii="Cambria Math" w:hAnsi="Cambria Math"/>
                </w:rPr>
                <m:t>*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k,i</m:t>
                          </m:r>
                        </m:sub>
                      </m:sSub>
                    </m:sub>
                  </m:sSub>
                </m:sub>
              </m:sSub>
              <m:d>
                <m:dPr>
                  <m:ctrlPr>
                    <w:rPr>
                      <w:rFonts w:ascii="Cambria Math" w:hAnsi="Cambria Math"/>
                      <w:b/>
                      <w:i/>
                    </w:rPr>
                  </m:ctrlPr>
                </m:dPr>
                <m:e>
                  <m:r>
                    <m:rPr>
                      <m:sty m:val="bi"/>
                    </m:rPr>
                    <w:rPr>
                      <w:rFonts w:ascii="Cambria Math" w:hAnsi="Cambria Math"/>
                    </w:rPr>
                    <m:t>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k,i</m:t>
                          </m:r>
                        </m:sub>
                      </m:sSub>
                      <m:r>
                        <w:rPr>
                          <w:rFonts w:ascii="Cambria Math" w:eastAsiaTheme="minorEastAsia" w:hAnsi="Cambria Math"/>
                        </w:rPr>
                        <m:t>, vol</m:t>
                      </m:r>
                    </m:sub>
                  </m:sSub>
                </m:sub>
              </m:sSub>
              <m:d>
                <m:dPr>
                  <m:ctrlPr>
                    <w:rPr>
                      <w:rFonts w:ascii="Cambria Math" w:hAnsi="Cambria Math"/>
                      <w:b/>
                      <w:i/>
                    </w:rPr>
                  </m:ctrlPr>
                </m:dPr>
                <m:e>
                  <m:r>
                    <m:rPr>
                      <m:sty m:val="bi"/>
                    </m:rPr>
                    <w:rPr>
                      <w:rFonts w:ascii="Cambria Math" w:hAnsi="Cambria Math"/>
                    </w:rPr>
                    <m:t>1</m:t>
                  </m:r>
                </m:e>
              </m:d>
              <m:r>
                <m:rPr>
                  <m:sty m:val="bi"/>
                </m:rPr>
                <w:rPr>
                  <w:rFonts w:ascii="Cambria Math" w:hAnsi="Cambria Math"/>
                </w:rPr>
                <m:t>)</m:t>
              </m:r>
            </m:num>
            <m:den>
              <m:r>
                <m:rPr>
                  <m:sty m:val="bi"/>
                </m:rPr>
                <w:rPr>
                  <w:rFonts w:ascii="Cambria Math" w:hAnsi="Cambria Math"/>
                </w:rPr>
                <m:t xml:space="preserve">1-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VOL</m:t>
                  </m:r>
                </m:sub>
              </m:sSub>
            </m:den>
          </m:f>
          <m:r>
            <m:rPr>
              <m:sty m:val="bi"/>
            </m:rPr>
            <w:rPr>
              <w:rFonts w:ascii="Cambria Math" w:hAnsi="Cambria Math"/>
            </w:rPr>
            <m:t xml:space="preserve"> </m:t>
          </m:r>
        </m:oMath>
      </m:oMathPara>
    </w:p>
    <w:p w14:paraId="3001F4EA" w14:textId="77777777" w:rsidR="00966897" w:rsidRDefault="00966897" w:rsidP="00CE69B8">
      <w:pPr>
        <w:jc w:val="both"/>
        <w:rPr>
          <w:rFonts w:eastAsiaTheme="minorEastAsia"/>
          <w:b/>
        </w:rPr>
      </w:pPr>
    </w:p>
    <w:p w14:paraId="53392B58" w14:textId="394512A2" w:rsidR="00B26E35" w:rsidRDefault="009D498C" w:rsidP="00CE69B8">
      <w:pPr>
        <w:jc w:val="both"/>
        <w:rPr>
          <w:rFonts w:eastAsiaTheme="minorEastAsia"/>
          <w:b/>
        </w:rPr>
      </w:pPr>
      <w:r>
        <w:rPr>
          <w:rFonts w:eastAsiaTheme="minorEastAsia"/>
          <w:b/>
        </w:rPr>
        <w:lastRenderedPageBreak/>
        <w:t>Les parts stables et volatile de chaque</w:t>
      </w:r>
      <w:r w:rsidR="00CE69B8">
        <w:rPr>
          <w:rFonts w:eastAsiaTheme="minorEastAsia"/>
          <w:b/>
        </w:rPr>
        <w:t xml:space="preserve"> template </w:t>
      </w:r>
      <w:r>
        <w:rPr>
          <w:rFonts w:eastAsiaTheme="minorEastAsia"/>
          <w:b/>
        </w:rPr>
        <w:t xml:space="preserve">i </w:t>
      </w:r>
      <w:r w:rsidR="00CE69B8">
        <w:rPr>
          <w:rFonts w:eastAsiaTheme="minorEastAsia"/>
          <w:b/>
        </w:rPr>
        <w:t>peu</w:t>
      </w:r>
      <w:r>
        <w:rPr>
          <w:rFonts w:eastAsiaTheme="minorEastAsia"/>
          <w:b/>
        </w:rPr>
        <w:t>vent</w:t>
      </w:r>
      <w:r w:rsidR="00CE69B8">
        <w:rPr>
          <w:rFonts w:eastAsiaTheme="minorEastAsia"/>
          <w:b/>
        </w:rPr>
        <w:t xml:space="preserve"> </w:t>
      </w:r>
      <w:r>
        <w:rPr>
          <w:rFonts w:eastAsiaTheme="minorEastAsia"/>
          <w:b/>
        </w:rPr>
        <w:t xml:space="preserve">alors être </w:t>
      </w:r>
      <w:r w:rsidR="00B82EA4">
        <w:rPr>
          <w:rFonts w:eastAsiaTheme="minorEastAsia"/>
          <w:b/>
        </w:rPr>
        <w:t>projeté</w:t>
      </w:r>
      <w:r>
        <w:rPr>
          <w:rFonts w:eastAsiaTheme="minorEastAsia"/>
          <w:b/>
        </w:rPr>
        <w:t>es</w:t>
      </w:r>
      <w:r w:rsidR="00B82EA4">
        <w:rPr>
          <w:rFonts w:eastAsiaTheme="minorEastAsia"/>
          <w:b/>
        </w:rPr>
        <w:t xml:space="preserve"> </w:t>
      </w:r>
      <w:r w:rsidR="00CE69B8">
        <w:rPr>
          <w:rFonts w:eastAsiaTheme="minorEastAsia"/>
          <w:b/>
        </w:rPr>
        <w:t xml:space="preserve">selon les caractéristiques qui </w:t>
      </w:r>
      <w:r w:rsidR="00BF1DF7">
        <w:rPr>
          <w:rFonts w:eastAsiaTheme="minorEastAsia"/>
          <w:b/>
        </w:rPr>
        <w:t>leurs</w:t>
      </w:r>
      <w:r w:rsidR="00CE69B8">
        <w:rPr>
          <w:rFonts w:eastAsiaTheme="minorEastAsia"/>
          <w:b/>
        </w:rPr>
        <w:t xml:space="preserve"> sont propres selon les formules (E) et (F)</w:t>
      </w:r>
      <w:r w:rsidR="00B26E35">
        <w:rPr>
          <w:rFonts w:eastAsiaTheme="minorEastAsia"/>
          <w:b/>
        </w:rPr>
        <w:t>.</w:t>
      </w:r>
    </w:p>
    <w:p w14:paraId="4B13EFC0" w14:textId="5340AECD" w:rsidR="00CE69B8" w:rsidRDefault="00B82EA4" w:rsidP="00CE69B8">
      <w:pPr>
        <w:jc w:val="both"/>
        <w:rPr>
          <w:rFonts w:eastAsiaTheme="minorEastAsia"/>
          <w:b/>
        </w:rPr>
      </w:pPr>
      <w:r w:rsidRPr="008D0377">
        <w:rPr>
          <w:rFonts w:eastAsiaTheme="minorEastAsia"/>
          <w:bCs/>
        </w:rPr>
        <w:t xml:space="preserve">Si on note </w:t>
      </w:r>
      <m:oMath>
        <m:sSub>
          <m:sSubPr>
            <m:ctrlPr>
              <w:rPr>
                <w:rFonts w:ascii="Cambria Math" w:hAnsi="Cambria Math"/>
                <w:bCs/>
                <w:i/>
              </w:rPr>
            </m:ctrlPr>
          </m:sSubPr>
          <m:e>
            <m:r>
              <w:rPr>
                <w:rFonts w:ascii="Cambria Math" w:hAnsi="Cambria Math"/>
              </w:rPr>
              <m:t>a</m:t>
            </m:r>
          </m:e>
          <m:sub>
            <m:r>
              <w:rPr>
                <w:rFonts w:ascii="Cambria Math" w:hAnsi="Cambria Math"/>
              </w:rPr>
              <m:t xml:space="preserve">1, </m:t>
            </m:r>
            <m:sSub>
              <m:sSubPr>
                <m:ctrlPr>
                  <w:rPr>
                    <w:rFonts w:ascii="Cambria Math" w:hAnsi="Cambria Math"/>
                    <w:bCs/>
                    <w:i/>
                  </w:rPr>
                </m:ctrlPr>
              </m:sSubPr>
              <m:e>
                <m:r>
                  <w:rPr>
                    <w:rFonts w:ascii="Cambria Math" w:hAnsi="Cambria Math"/>
                  </w:rPr>
                  <m:t>T</m:t>
                </m:r>
              </m:e>
              <m:sub>
                <m:r>
                  <w:rPr>
                    <w:rFonts w:ascii="Cambria Math" w:hAnsi="Cambria Math"/>
                  </w:rPr>
                  <m:t>k, i</m:t>
                </m:r>
              </m:sub>
            </m:sSub>
          </m:sub>
        </m:sSub>
        <m:r>
          <w:rPr>
            <w:rFonts w:ascii="Cambria Math" w:hAnsi="Cambria Math"/>
          </w:rPr>
          <m:t>(t)</m:t>
        </m:r>
      </m:oMath>
      <w:r w:rsidRPr="008D0377">
        <w:rPr>
          <w:rFonts w:eastAsiaTheme="minorEastAsia"/>
          <w:bCs/>
        </w:rPr>
        <w:t>, le profil d’écoulement du template i de la PN produite au mois1, alors on peut écrire que :</w:t>
      </w:r>
    </w:p>
    <w:p w14:paraId="47BEE977" w14:textId="4182AB5C" w:rsidR="002D5781" w:rsidRPr="0008095F" w:rsidRDefault="002F5A5D" w:rsidP="002D5781">
      <w:pPr>
        <w:jc w:val="both"/>
        <w:rPr>
          <w:rFonts w:eastAsiaTheme="minorEastAsia"/>
          <w:b/>
        </w:rPr>
      </w:pPr>
      <m:oMathPara>
        <m:oMath>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1,</m:t>
                  </m:r>
                  <m:sSub>
                    <m:sSubPr>
                      <m:ctrlPr>
                        <w:rPr>
                          <w:rFonts w:ascii="Cambria Math" w:eastAsiaTheme="minorEastAsia" w:hAnsi="Cambria Math"/>
                          <w:bCs/>
                          <w:i/>
                          <w:highlight w:val="lightGray"/>
                        </w:rPr>
                      </m:ctrlPr>
                    </m:sSubPr>
                    <m:e>
                      <m:r>
                        <w:rPr>
                          <w:rFonts w:ascii="Cambria Math" w:eastAsiaTheme="minorEastAsia" w:hAnsi="Cambria Math"/>
                          <w:highlight w:val="lightGray"/>
                        </w:rPr>
                        <m:t>T</m:t>
                      </m:r>
                    </m:e>
                    <m:sub>
                      <m:r>
                        <w:rPr>
                          <w:rFonts w:ascii="Cambria Math" w:eastAsiaTheme="minorEastAsia" w:hAnsi="Cambria Math"/>
                          <w:highlight w:val="lightGray"/>
                        </w:rPr>
                        <m:t>k,i</m:t>
                      </m:r>
                    </m:sub>
                  </m:sSub>
                </m:sub>
              </m:sSub>
            </m:sub>
          </m:sSub>
          <m:d>
            <m:dPr>
              <m:ctrlPr>
                <w:rPr>
                  <w:rFonts w:ascii="Cambria Math" w:hAnsi="Cambria Math"/>
                  <w:b/>
                  <w:i/>
                  <w:highlight w:val="lightGray"/>
                </w:rPr>
              </m:ctrlPr>
            </m:dPr>
            <m:e>
              <m:r>
                <m:rPr>
                  <m:sty m:val="bi"/>
                </m:rPr>
                <w:rPr>
                  <w:rFonts w:ascii="Cambria Math" w:hAnsi="Cambria Math"/>
                  <w:highlight w:val="lightGray"/>
                </w:rPr>
                <m:t>t</m:t>
              </m:r>
            </m:e>
          </m:d>
          <m:r>
            <m:rPr>
              <m:sty m:val="bi"/>
            </m:rPr>
            <w:rPr>
              <w:rFonts w:ascii="Cambria Math" w:hAnsi="Cambria Math"/>
              <w:highlight w:val="lightGray"/>
            </w:rPr>
            <m:t>=</m:t>
          </m:r>
          <m:sSub>
            <m:sSubPr>
              <m:ctrlPr>
                <w:rPr>
                  <w:rFonts w:ascii="Cambria Math" w:hAnsi="Cambria Math"/>
                  <w:b/>
                  <w:i/>
                  <w:highlight w:val="lightGray"/>
                </w:rPr>
              </m:ctrlPr>
            </m:sSubPr>
            <m:e>
              <m:sSub>
                <m:sSubPr>
                  <m:ctrlPr>
                    <w:rPr>
                      <w:rFonts w:ascii="Cambria Math" w:hAnsi="Cambria Math"/>
                      <w:b/>
                      <w:i/>
                      <w:highlight w:val="lightGray"/>
                    </w:rPr>
                  </m:ctrlPr>
                </m:sSubPr>
                <m:e>
                  <m:r>
                    <m:rPr>
                      <m:sty m:val="bi"/>
                    </m:rPr>
                    <w:rPr>
                      <w:rFonts w:ascii="Cambria Math" w:hAnsi="Cambria Math"/>
                      <w:highlight w:val="lightGray"/>
                    </w:rPr>
                    <m:t>a</m:t>
                  </m:r>
                </m:e>
                <m:sub>
                  <m:r>
                    <m:rPr>
                      <m:sty m:val="bi"/>
                    </m:rPr>
                    <w:rPr>
                      <w:rFonts w:ascii="Cambria Math" w:hAnsi="Cambria Math"/>
                      <w:highlight w:val="lightGray"/>
                    </w:rPr>
                    <m:t xml:space="preserve">1, </m:t>
                  </m:r>
                  <m:sSub>
                    <m:sSubPr>
                      <m:ctrlPr>
                        <w:rPr>
                          <w:rFonts w:ascii="Cambria Math" w:hAnsi="Cambria Math"/>
                          <w:b/>
                          <w:i/>
                          <w:highlight w:val="lightGray"/>
                        </w:rPr>
                      </m:ctrlPr>
                    </m:sSubPr>
                    <m:e>
                      <m:r>
                        <m:rPr>
                          <m:sty m:val="bi"/>
                        </m:rPr>
                        <w:rPr>
                          <w:rFonts w:ascii="Cambria Math" w:hAnsi="Cambria Math"/>
                          <w:highlight w:val="lightGray"/>
                        </w:rPr>
                        <m:t>T</m:t>
                      </m:r>
                    </m:e>
                    <m:sub>
                      <m:r>
                        <m:rPr>
                          <m:sty m:val="bi"/>
                        </m:rPr>
                        <w:rPr>
                          <w:rFonts w:ascii="Cambria Math" w:hAnsi="Cambria Math"/>
                          <w:highlight w:val="lightGray"/>
                        </w:rPr>
                        <m:t>k, i</m:t>
                      </m:r>
                    </m:sub>
                  </m:sSub>
                </m:sub>
              </m:sSub>
              <m:d>
                <m:dPr>
                  <m:ctrlPr>
                    <w:rPr>
                      <w:rFonts w:ascii="Cambria Math" w:hAnsi="Cambria Math"/>
                      <w:b/>
                      <w:i/>
                      <w:highlight w:val="lightGray"/>
                    </w:rPr>
                  </m:ctrlPr>
                </m:dPr>
                <m:e>
                  <m:r>
                    <m:rPr>
                      <m:sty m:val="bi"/>
                    </m:rPr>
                    <w:rPr>
                      <w:rFonts w:ascii="Cambria Math" w:hAnsi="Cambria Math"/>
                      <w:highlight w:val="lightGray"/>
                    </w:rPr>
                    <m:t>t</m:t>
                  </m:r>
                </m:e>
              </m:d>
              <m:r>
                <m:rPr>
                  <m:sty m:val="bi"/>
                </m:rPr>
                <w:rPr>
                  <w:rFonts w:ascii="Cambria Math" w:hAnsi="Cambria Math"/>
                  <w:highlight w:val="lightGray"/>
                </w:rPr>
                <m:t>* 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1,</m:t>
                  </m:r>
                  <m:sSub>
                    <m:sSubPr>
                      <m:ctrlPr>
                        <w:rPr>
                          <w:rFonts w:ascii="Cambria Math" w:eastAsiaTheme="minorEastAsia" w:hAnsi="Cambria Math"/>
                          <w:bCs/>
                          <w:i/>
                          <w:highlight w:val="lightGray"/>
                        </w:rPr>
                      </m:ctrlPr>
                    </m:sSubPr>
                    <m:e>
                      <m:r>
                        <w:rPr>
                          <w:rFonts w:ascii="Cambria Math" w:eastAsiaTheme="minorEastAsia" w:hAnsi="Cambria Math"/>
                          <w:highlight w:val="lightGray"/>
                        </w:rPr>
                        <m:t>T</m:t>
                      </m:r>
                    </m:e>
                    <m:sub>
                      <m:r>
                        <w:rPr>
                          <w:rFonts w:ascii="Cambria Math" w:eastAsiaTheme="minorEastAsia" w:hAnsi="Cambria Math"/>
                          <w:highlight w:val="lightGray"/>
                        </w:rPr>
                        <m:t>k,i</m:t>
                      </m:r>
                    </m:sub>
                  </m:sSub>
                </m:sub>
              </m:sSub>
            </m:sub>
          </m:sSub>
          <m:d>
            <m:dPr>
              <m:ctrlPr>
                <w:rPr>
                  <w:rFonts w:ascii="Cambria Math" w:hAnsi="Cambria Math"/>
                  <w:b/>
                  <w:i/>
                  <w:highlight w:val="lightGray"/>
                </w:rPr>
              </m:ctrlPr>
            </m:dPr>
            <m:e>
              <m:r>
                <m:rPr>
                  <m:sty m:val="bi"/>
                </m:rPr>
                <w:rPr>
                  <w:rFonts w:ascii="Cambria Math" w:hAnsi="Cambria Math"/>
                  <w:highlight w:val="lightGray"/>
                </w:rPr>
                <m:t>1</m:t>
              </m:r>
            </m:e>
          </m:d>
          <m:r>
            <m:rPr>
              <m:sty m:val="bi"/>
            </m:rPr>
            <w:rPr>
              <w:rFonts w:ascii="Cambria Math" w:hAnsi="Cambria Math"/>
              <w:highlight w:val="lightGray"/>
            </w:rPr>
            <m:t xml:space="preserve">    (J)</m:t>
          </m:r>
          <m:r>
            <m:rPr>
              <m:sty m:val="bi"/>
            </m:rPr>
            <w:rPr>
              <w:rFonts w:ascii="Cambria Math" w:hAnsi="Cambria Math"/>
            </w:rPr>
            <m:t xml:space="preserve"> </m:t>
          </m:r>
        </m:oMath>
      </m:oMathPara>
    </w:p>
    <w:p w14:paraId="4CF4BA2B" w14:textId="39F260C9" w:rsidR="0008095F" w:rsidRPr="001170B1" w:rsidRDefault="0008095F" w:rsidP="002D5781">
      <w:pPr>
        <w:jc w:val="both"/>
        <w:rPr>
          <w:rFonts w:eastAsiaTheme="minorEastAsia"/>
          <w:b/>
          <w:color w:val="FF0000"/>
        </w:rPr>
      </w:pPr>
      <w:r w:rsidRPr="001170B1">
        <w:rPr>
          <w:rFonts w:eastAsiaTheme="minorEastAsia"/>
          <w:b/>
          <w:color w:val="FF0000"/>
        </w:rPr>
        <w:t xml:space="preserve">Il est à noter que les coefficients d’écoulement changent en fonction du signe du flux </w:t>
      </w:r>
      <w:r w:rsidR="007E1917">
        <w:rPr>
          <w:rFonts w:eastAsiaTheme="minorEastAsia"/>
          <w:b/>
          <w:color w:val="FF0000"/>
        </w:rPr>
        <w:t xml:space="preserve">de PN </w:t>
      </w:r>
      <w:r w:rsidRPr="001170B1">
        <w:rPr>
          <w:rFonts w:eastAsiaTheme="minorEastAsia"/>
          <w:b/>
          <w:color w:val="FF0000"/>
        </w:rPr>
        <w:t>à générer.</w:t>
      </w:r>
    </w:p>
    <w:p w14:paraId="725087C8" w14:textId="0FAEEC0C" w:rsidR="00F8098F" w:rsidRDefault="00B82EA4" w:rsidP="00F8098F">
      <w:pPr>
        <w:jc w:val="both"/>
        <w:rPr>
          <w:rFonts w:eastAsiaTheme="minorEastAsia"/>
          <w:bCs/>
        </w:rPr>
      </w:pPr>
      <w:r>
        <w:rPr>
          <w:rFonts w:eastAsiaTheme="minorEastAsia"/>
          <w:bCs/>
        </w:rPr>
        <w:t xml:space="preserve">Ainsi, par récurrence, en utilisant les formules (G), (H) et (J) on peut déduire </w:t>
      </w:r>
      <w:r w:rsidR="002D5781">
        <w:rPr>
          <w:rFonts w:eastAsiaTheme="minorEastAsia"/>
          <w:bCs/>
        </w:rPr>
        <w:t xml:space="preserve">les montants </w:t>
      </w:r>
      <w:r>
        <w:rPr>
          <w:rFonts w:eastAsiaTheme="minorEastAsia"/>
          <w:bCs/>
        </w:rPr>
        <w:t>d</w:t>
      </w:r>
      <w:r w:rsidR="002D5781">
        <w:rPr>
          <w:rFonts w:eastAsiaTheme="minorEastAsia"/>
          <w:bCs/>
        </w:rPr>
        <w:t>e</w:t>
      </w:r>
      <w:r>
        <w:rPr>
          <w:rFonts w:eastAsiaTheme="minorEastAsia"/>
          <w:bCs/>
        </w:rPr>
        <w:t xml:space="preserve"> PN </w:t>
      </w:r>
      <w:r w:rsidR="002D5781">
        <w:rPr>
          <w:rFonts w:eastAsiaTheme="minorEastAsia"/>
          <w:bCs/>
        </w:rPr>
        <w:t xml:space="preserve">à </w:t>
      </w:r>
      <w:r w:rsidR="00F8098F">
        <w:rPr>
          <w:rFonts w:eastAsiaTheme="minorEastAsia"/>
          <w:bCs/>
        </w:rPr>
        <w:t xml:space="preserve">générer chaque mois pour chaque clé et </w:t>
      </w:r>
      <w:r w:rsidR="00B26E35">
        <w:rPr>
          <w:rFonts w:eastAsiaTheme="minorEastAsia"/>
          <w:bCs/>
        </w:rPr>
        <w:t>leurs profils</w:t>
      </w:r>
      <w:r w:rsidR="00F8098F">
        <w:rPr>
          <w:rFonts w:eastAsiaTheme="minorEastAsia"/>
          <w:bCs/>
        </w:rPr>
        <w:t xml:space="preserve"> d’écoulement.</w:t>
      </w:r>
    </w:p>
    <w:p w14:paraId="480EC5A3" w14:textId="44A245A7" w:rsidR="00F8098F" w:rsidRPr="00B26E35" w:rsidRDefault="002F5A5D" w:rsidP="00F8098F">
      <w:pPr>
        <w:jc w:val="center"/>
        <w:rPr>
          <w:rFonts w:eastAsiaTheme="minorEastAsia"/>
          <w:b/>
          <w:lang w:val="en-US"/>
        </w:rPr>
      </w:pPr>
      <m:oMathPara>
        <m:oMath>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m:t>
                  </m:r>
                  <m:r>
                    <m:rPr>
                      <m:sty m:val="bi"/>
                    </m:rPr>
                    <w:rPr>
                      <w:rFonts w:ascii="Cambria Math" w:hAnsi="Cambria Math"/>
                      <w:highlight w:val="lightGray"/>
                      <w:lang w:val="en-US"/>
                    </w:rPr>
                    <m:t>,</m:t>
                  </m:r>
                  <m:r>
                    <w:rPr>
                      <w:rFonts w:ascii="Cambria Math" w:eastAsiaTheme="minorEastAsia" w:hAnsi="Cambria Math"/>
                      <w:highlight w:val="lightGray"/>
                    </w:rPr>
                    <m:t>K</m:t>
                  </m:r>
                </m:sub>
              </m:sSub>
            </m:sub>
          </m:sSub>
          <m:d>
            <m:dPr>
              <m:ctrlPr>
                <w:rPr>
                  <w:rFonts w:ascii="Cambria Math" w:hAnsi="Cambria Math"/>
                  <w:b/>
                  <w:i/>
                  <w:highlight w:val="lightGray"/>
                </w:rPr>
              </m:ctrlPr>
            </m:dPr>
            <m:e>
              <m:r>
                <m:rPr>
                  <m:sty m:val="bi"/>
                </m:rPr>
                <w:rPr>
                  <w:rFonts w:ascii="Cambria Math" w:hAnsi="Cambria Math"/>
                  <w:highlight w:val="lightGray"/>
                </w:rPr>
                <m:t>t</m:t>
              </m:r>
            </m:e>
          </m:d>
          <m:r>
            <m:rPr>
              <m:sty m:val="bi"/>
            </m:rPr>
            <w:rPr>
              <w:rFonts w:ascii="Cambria Math" w:hAnsi="Cambria Math"/>
              <w:highlight w:val="lightGray"/>
              <w:lang w:val="en-US"/>
            </w:rPr>
            <m:t>=</m:t>
          </m:r>
          <m:nary>
            <m:naryPr>
              <m:chr m:val="∑"/>
              <m:limLoc m:val="undOvr"/>
              <m:ctrlPr>
                <w:rPr>
                  <w:rFonts w:ascii="Cambria Math" w:hAnsi="Cambria Math"/>
                  <w:b/>
                  <w:i/>
                  <w:highlight w:val="lightGray"/>
                </w:rPr>
              </m:ctrlPr>
            </m:naryPr>
            <m:sub>
              <m:r>
                <m:rPr>
                  <m:sty m:val="bi"/>
                </m:rPr>
                <w:rPr>
                  <w:rFonts w:ascii="Cambria Math" w:hAnsi="Cambria Math"/>
                  <w:highlight w:val="lightGray"/>
                </w:rPr>
                <m:t>i</m:t>
              </m:r>
            </m:sub>
            <m:sup>
              <m:r>
                <m:rPr>
                  <m:sty m:val="bi"/>
                </m:rPr>
                <w:rPr>
                  <w:rFonts w:ascii="Cambria Math" w:hAnsi="Cambria Math"/>
                  <w:highlight w:val="lightGray"/>
                </w:rPr>
                <m:t>n</m:t>
              </m:r>
            </m:sup>
            <m:e>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m:t>
                      </m:r>
                      <m:r>
                        <m:rPr>
                          <m:sty m:val="bi"/>
                        </m:rPr>
                        <w:rPr>
                          <w:rFonts w:ascii="Cambria Math" w:hAnsi="Cambria Math"/>
                          <w:highlight w:val="lightGray"/>
                          <w:lang w:val="en-US"/>
                        </w:rPr>
                        <m:t>,</m:t>
                      </m:r>
                      <m:sSub>
                        <m:sSubPr>
                          <m:ctrlPr>
                            <w:rPr>
                              <w:rFonts w:ascii="Cambria Math" w:eastAsiaTheme="minorEastAsia" w:hAnsi="Cambria Math"/>
                              <w:bCs/>
                              <w:i/>
                              <w:highlight w:val="lightGray"/>
                            </w:rPr>
                          </m:ctrlPr>
                        </m:sSubPr>
                        <m:e>
                          <m:r>
                            <w:rPr>
                              <w:rFonts w:ascii="Cambria Math" w:eastAsiaTheme="minorEastAsia" w:hAnsi="Cambria Math"/>
                              <w:highlight w:val="lightGray"/>
                            </w:rPr>
                            <m:t>T</m:t>
                          </m:r>
                        </m:e>
                        <m:sub>
                          <m:r>
                            <w:rPr>
                              <w:rFonts w:ascii="Cambria Math" w:eastAsiaTheme="minorEastAsia" w:hAnsi="Cambria Math"/>
                              <w:highlight w:val="lightGray"/>
                            </w:rPr>
                            <m:t>k</m:t>
                          </m:r>
                          <m:r>
                            <w:rPr>
                              <w:rFonts w:ascii="Cambria Math" w:eastAsiaTheme="minorEastAsia" w:hAnsi="Cambria Math"/>
                              <w:highlight w:val="lightGray"/>
                              <w:lang w:val="en-US"/>
                            </w:rPr>
                            <m:t>,</m:t>
                          </m:r>
                          <m:r>
                            <w:rPr>
                              <w:rFonts w:ascii="Cambria Math" w:eastAsiaTheme="minorEastAsia" w:hAnsi="Cambria Math"/>
                              <w:highlight w:val="lightGray"/>
                            </w:rPr>
                            <m:t>i</m:t>
                          </m:r>
                        </m:sub>
                      </m:sSub>
                    </m:sub>
                  </m:sSub>
                </m:sub>
              </m:sSub>
              <m:d>
                <m:dPr>
                  <m:ctrlPr>
                    <w:rPr>
                      <w:rFonts w:ascii="Cambria Math" w:hAnsi="Cambria Math"/>
                      <w:b/>
                      <w:i/>
                      <w:highlight w:val="lightGray"/>
                    </w:rPr>
                  </m:ctrlPr>
                </m:dPr>
                <m:e>
                  <m:r>
                    <m:rPr>
                      <m:sty m:val="bi"/>
                    </m:rPr>
                    <w:rPr>
                      <w:rFonts w:ascii="Cambria Math" w:hAnsi="Cambria Math"/>
                      <w:highlight w:val="lightGray"/>
                    </w:rPr>
                    <m:t>t</m:t>
                  </m:r>
                </m:e>
              </m:d>
            </m:e>
          </m:nary>
          <m:r>
            <m:rPr>
              <m:sty m:val="bi"/>
            </m:rPr>
            <w:rPr>
              <w:rFonts w:ascii="Cambria Math" w:eastAsiaTheme="minorEastAsia" w:hAnsi="Cambria Math"/>
              <w:highlight w:val="lightGray"/>
              <w:lang w:val="en-US"/>
            </w:rPr>
            <m:t xml:space="preserve">      </m:t>
          </m:r>
          <m:r>
            <m:rPr>
              <m:sty m:val="bi"/>
            </m:rPr>
            <w:rPr>
              <w:rFonts w:ascii="Cambria Math" w:eastAsiaTheme="minorEastAsia" w:hAnsi="Cambria Math"/>
              <w:highlight w:val="lightGray"/>
            </w:rPr>
            <m:t>t</m:t>
          </m:r>
          <m:r>
            <m:rPr>
              <m:sty m:val="bi"/>
            </m:rPr>
            <w:rPr>
              <w:rFonts w:ascii="Cambria Math" w:eastAsiaTheme="minorEastAsia" w:hAnsi="Cambria Math"/>
              <w:highlight w:val="lightGray"/>
              <w:lang w:val="en-US"/>
            </w:rPr>
            <m:t>≥</m:t>
          </m:r>
          <m:r>
            <m:rPr>
              <m:sty m:val="bi"/>
            </m:rPr>
            <w:rPr>
              <w:rFonts w:ascii="Cambria Math" w:eastAsiaTheme="minorEastAsia" w:hAnsi="Cambria Math"/>
              <w:highlight w:val="lightGray"/>
            </w:rPr>
            <m:t>s</m:t>
          </m:r>
          <m:r>
            <m:rPr>
              <m:sty m:val="bi"/>
            </m:rPr>
            <w:rPr>
              <w:rFonts w:ascii="Cambria Math" w:eastAsiaTheme="minorEastAsia" w:hAnsi="Cambria Math"/>
              <w:highlight w:val="lightGray"/>
              <w:lang w:val="en-US"/>
            </w:rPr>
            <m:t xml:space="preserve">    (K)</m:t>
          </m:r>
        </m:oMath>
      </m:oMathPara>
    </w:p>
    <w:p w14:paraId="2056E179" w14:textId="746B3C69" w:rsidR="00B26E35" w:rsidRPr="00B26E35" w:rsidRDefault="00B26E35" w:rsidP="00B26E35">
      <w:pPr>
        <w:rPr>
          <w:rFonts w:eastAsiaTheme="minorEastAsia"/>
          <w:bCs/>
        </w:rPr>
      </w:pPr>
      <w:r w:rsidRPr="00B26E35">
        <w:rPr>
          <w:rFonts w:eastAsiaTheme="minorEastAsia"/>
          <w:bCs/>
        </w:rPr>
        <w:t>Les écoulements dynamiques totaux d’une clé K vont s’écrire :</w:t>
      </w:r>
    </w:p>
    <w:p w14:paraId="0FC851E5" w14:textId="1D5A326B" w:rsidR="00B26E35" w:rsidRPr="00B26E35" w:rsidRDefault="002F5A5D" w:rsidP="00B26E35">
      <w:pPr>
        <w:rPr>
          <w:rFonts w:eastAsiaTheme="minorEastAsia"/>
          <w:b/>
          <w:lang w:val="en-US"/>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s</m:t>
                  </m:r>
                  <m:r>
                    <m:rPr>
                      <m:sty m:val="bi"/>
                    </m:rPr>
                    <w:rPr>
                      <w:rFonts w:ascii="Cambria Math" w:hAnsi="Cambria Math"/>
                      <w:lang w:val="en-US"/>
                    </w:rPr>
                    <m:t>,</m:t>
                  </m:r>
                  <m:r>
                    <w:rPr>
                      <w:rFonts w:ascii="Cambria Math" w:eastAsiaTheme="minorEastAsia" w:hAnsi="Cambria Math"/>
                    </w:rPr>
                    <m:t>K</m:t>
                  </m:r>
                </m:sub>
              </m:sSub>
            </m:sub>
          </m:sSub>
          <m:d>
            <m:dPr>
              <m:ctrlPr>
                <w:rPr>
                  <w:rFonts w:ascii="Cambria Math" w:hAnsi="Cambria Math"/>
                  <w:b/>
                  <w:i/>
                </w:rPr>
              </m:ctrlPr>
            </m:dPr>
            <m:e>
              <m:r>
                <m:rPr>
                  <m:sty m:val="bi"/>
                </m:rPr>
                <w:rPr>
                  <w:rFonts w:ascii="Cambria Math" w:hAnsi="Cambria Math"/>
                </w:rPr>
                <m:t>t</m:t>
              </m:r>
            </m:e>
          </m:d>
          <m:r>
            <m:rPr>
              <m:sty m:val="bi"/>
            </m:rPr>
            <w:rPr>
              <w:rFonts w:ascii="Cambria Math" w:hAnsi="Cambria Math"/>
              <w:lang w:val="en-US"/>
            </w:rPr>
            <m:t>+</m:t>
          </m:r>
          <m:r>
            <m:rPr>
              <m:sty m:val="bi"/>
            </m:rPr>
            <w:rPr>
              <w:rFonts w:ascii="Cambria Math" w:eastAsiaTheme="minorEastAsia" w:hAnsi="Cambria Math"/>
              <w:lang w:val="en-US"/>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 STOCK</m:t>
              </m:r>
            </m:sub>
          </m:sSub>
          <m:r>
            <m:rPr>
              <m:sty m:val="bi"/>
            </m:rPr>
            <w:rPr>
              <w:rFonts w:ascii="Cambria Math" w:hAnsi="Cambria Math"/>
            </w:rPr>
            <m:t>(t)</m:t>
          </m:r>
          <m:r>
            <m:rPr>
              <m:sty m:val="bi"/>
            </m:rPr>
            <w:rPr>
              <w:rFonts w:ascii="Cambria Math" w:eastAsiaTheme="minorEastAsia" w:hAnsi="Cambria Math"/>
              <w:lang w:val="en-US"/>
            </w:rPr>
            <m:t xml:space="preserve">     </m:t>
          </m:r>
        </m:oMath>
      </m:oMathPara>
    </w:p>
    <w:p w14:paraId="3F336CB0" w14:textId="6CB04637" w:rsidR="00760F1A" w:rsidRPr="0008095F" w:rsidRDefault="00B26E35" w:rsidP="0008095F">
      <w:pPr>
        <w:rPr>
          <w:rFonts w:eastAsiaTheme="minorEastAsia"/>
          <w:bCs/>
        </w:rPr>
      </w:pPr>
      <w:r w:rsidRPr="00B26E35">
        <w:rPr>
          <w:rFonts w:eastAsiaTheme="minorEastAsia"/>
          <w:bCs/>
        </w:rPr>
        <w:t xml:space="preserve">Ces écoulements sont égaux aux encours cibles </w:t>
      </w:r>
      <w:r>
        <w:rPr>
          <w:rFonts w:eastAsiaTheme="minorEastAsia"/>
          <w:bCs/>
        </w:rPr>
        <w:t>jusqu’au mois où aucun encours cible n’est four</w:t>
      </w:r>
      <w:r w:rsidR="00E51348">
        <w:rPr>
          <w:rFonts w:eastAsiaTheme="minorEastAsia"/>
          <w:bCs/>
        </w:rPr>
        <w:t>n</w:t>
      </w:r>
      <w:r>
        <w:rPr>
          <w:rFonts w:eastAsiaTheme="minorEastAsia"/>
          <w:bCs/>
        </w:rPr>
        <w:t>i.</w:t>
      </w:r>
    </w:p>
    <w:p w14:paraId="115C9DBA" w14:textId="77777777" w:rsidR="00760F1A" w:rsidRPr="00B26E35" w:rsidRDefault="00760F1A" w:rsidP="00B26E35">
      <w:pPr>
        <w:rPr>
          <w:rFonts w:eastAsiaTheme="minorEastAsia"/>
          <w:b/>
        </w:rPr>
      </w:pPr>
    </w:p>
    <w:p w14:paraId="5411680D" w14:textId="77FE8917" w:rsidR="00B82EA4" w:rsidRPr="00B82EA4" w:rsidRDefault="007A4574" w:rsidP="00B82EA4">
      <w:pPr>
        <w:pStyle w:val="Titre3"/>
      </w:pPr>
      <w:r>
        <w:t>3.</w:t>
      </w:r>
      <w:r w:rsidR="00B82EA4">
        <w:t xml:space="preserve">3.5 </w:t>
      </w:r>
      <w:r w:rsidR="008A66AE">
        <w:t xml:space="preserve">Calcul des </w:t>
      </w:r>
      <w:r w:rsidR="00966897">
        <w:t>flux de PNs de calage</w:t>
      </w:r>
    </w:p>
    <w:p w14:paraId="225FDEF7" w14:textId="77777777" w:rsidR="00C02D08" w:rsidRDefault="00F8098F" w:rsidP="00445A40">
      <w:pPr>
        <w:jc w:val="both"/>
        <w:rPr>
          <w:rFonts w:eastAsiaTheme="minorEastAsia"/>
          <w:bCs/>
        </w:rPr>
      </w:pPr>
      <w:r>
        <w:rPr>
          <w:rFonts w:eastAsiaTheme="minorEastAsia"/>
          <w:bCs/>
        </w:rPr>
        <w:t>Rappelons-nous cependant que</w:t>
      </w:r>
      <w:r w:rsidR="00F605AB">
        <w:rPr>
          <w:rFonts w:eastAsiaTheme="minorEastAsia"/>
          <w:bCs/>
        </w:rPr>
        <w:t xml:space="preserve"> les écoulements </w:t>
      </w:r>
      <w:r w:rsidR="00760F1A">
        <w:rPr>
          <w:rFonts w:eastAsiaTheme="minorEastAsia"/>
          <w:bCs/>
        </w:rPr>
        <w:t xml:space="preserve">du capital </w:t>
      </w:r>
      <w:r w:rsidR="00F605AB">
        <w:rPr>
          <w:rFonts w:eastAsiaTheme="minorEastAsia"/>
          <w:bCs/>
        </w:rPr>
        <w:t>d</w:t>
      </w:r>
      <w:r w:rsidR="00760F1A">
        <w:rPr>
          <w:rFonts w:eastAsiaTheme="minorEastAsia"/>
          <w:bCs/>
        </w:rPr>
        <w:t xml:space="preserve">’un produit NMD </w:t>
      </w:r>
      <w:r w:rsidR="00F605AB">
        <w:rPr>
          <w:rFonts w:eastAsiaTheme="minorEastAsia"/>
          <w:bCs/>
        </w:rPr>
        <w:t xml:space="preserve">dépendent du scénario de taux </w:t>
      </w:r>
      <w:r w:rsidR="00760F1A">
        <w:rPr>
          <w:rFonts w:eastAsiaTheme="minorEastAsia"/>
          <w:bCs/>
        </w:rPr>
        <w:t>lorsqu</w:t>
      </w:r>
      <w:r w:rsidR="00BF1DF7">
        <w:rPr>
          <w:rFonts w:eastAsiaTheme="minorEastAsia"/>
          <w:bCs/>
        </w:rPr>
        <w:t xml:space="preserve">e ce produit est à </w:t>
      </w:r>
      <w:r>
        <w:rPr>
          <w:rFonts w:eastAsiaTheme="minorEastAsia"/>
          <w:bCs/>
        </w:rPr>
        <w:t xml:space="preserve">taux variables et </w:t>
      </w:r>
      <w:r w:rsidR="00760F1A">
        <w:rPr>
          <w:rFonts w:eastAsiaTheme="minorEastAsia"/>
          <w:bCs/>
        </w:rPr>
        <w:t>qu’il capitalise</w:t>
      </w:r>
      <w:r>
        <w:rPr>
          <w:rFonts w:eastAsiaTheme="minorEastAsia"/>
          <w:bCs/>
        </w:rPr>
        <w:t xml:space="preserve"> </w:t>
      </w:r>
      <w:r w:rsidR="00760F1A">
        <w:rPr>
          <w:rFonts w:eastAsiaTheme="minorEastAsia"/>
          <w:bCs/>
        </w:rPr>
        <w:t>l</w:t>
      </w:r>
      <w:r>
        <w:rPr>
          <w:rFonts w:eastAsiaTheme="minorEastAsia"/>
          <w:bCs/>
        </w:rPr>
        <w:t>es intérêts</w:t>
      </w:r>
      <w:r w:rsidR="003D60D0">
        <w:rPr>
          <w:rFonts w:eastAsiaTheme="minorEastAsia"/>
          <w:bCs/>
        </w:rPr>
        <w:t xml:space="preserve">. En effet, </w:t>
      </w:r>
      <w:r>
        <w:rPr>
          <w:rFonts w:eastAsiaTheme="minorEastAsia"/>
          <w:bCs/>
        </w:rPr>
        <w:t>les intérêts qu’il génèr</w:t>
      </w:r>
      <w:r w:rsidR="00CC1CBA">
        <w:rPr>
          <w:rFonts w:eastAsiaTheme="minorEastAsia"/>
          <w:bCs/>
        </w:rPr>
        <w:t>e</w:t>
      </w:r>
      <w:r>
        <w:rPr>
          <w:rFonts w:eastAsiaTheme="minorEastAsia"/>
          <w:bCs/>
        </w:rPr>
        <w:t xml:space="preserve"> </w:t>
      </w:r>
      <w:r w:rsidR="00CC1CBA">
        <w:rPr>
          <w:rFonts w:eastAsiaTheme="minorEastAsia"/>
          <w:bCs/>
        </w:rPr>
        <w:t xml:space="preserve">viennent </w:t>
      </w:r>
      <w:r>
        <w:rPr>
          <w:rFonts w:eastAsiaTheme="minorEastAsia"/>
          <w:bCs/>
        </w:rPr>
        <w:t>s’ajoute</w:t>
      </w:r>
      <w:r w:rsidR="00CC1CBA">
        <w:rPr>
          <w:rFonts w:eastAsiaTheme="minorEastAsia"/>
          <w:bCs/>
        </w:rPr>
        <w:t>r</w:t>
      </w:r>
      <w:r>
        <w:rPr>
          <w:rFonts w:eastAsiaTheme="minorEastAsia"/>
          <w:bCs/>
        </w:rPr>
        <w:t xml:space="preserve"> au capital</w:t>
      </w:r>
      <w:r w:rsidR="003D3D64">
        <w:rPr>
          <w:rFonts w:eastAsiaTheme="minorEastAsia"/>
          <w:bCs/>
        </w:rPr>
        <w:t xml:space="preserve"> écoulé</w:t>
      </w:r>
      <w:r>
        <w:rPr>
          <w:rFonts w:eastAsiaTheme="minorEastAsia"/>
          <w:bCs/>
        </w:rPr>
        <w:t>.</w:t>
      </w:r>
      <w:r w:rsidR="00F605AB">
        <w:rPr>
          <w:rFonts w:eastAsiaTheme="minorEastAsia"/>
          <w:bCs/>
        </w:rPr>
        <w:t xml:space="preserve"> </w:t>
      </w:r>
    </w:p>
    <w:p w14:paraId="0C5DEC7A" w14:textId="323AB3E1" w:rsidR="00F8098F" w:rsidRPr="00760F1A" w:rsidRDefault="00B82EA4" w:rsidP="00445A40">
      <w:pPr>
        <w:jc w:val="both"/>
        <w:rPr>
          <w:rFonts w:eastAsiaTheme="minorEastAsia"/>
          <w:b/>
        </w:rPr>
      </w:pPr>
      <w:r>
        <w:rPr>
          <w:rFonts w:eastAsiaTheme="minorEastAsia"/>
          <w:bCs/>
        </w:rPr>
        <w:t>D</w:t>
      </w:r>
      <w:r w:rsidR="00F605AB">
        <w:rPr>
          <w:rFonts w:eastAsiaTheme="minorEastAsia"/>
          <w:bCs/>
        </w:rPr>
        <w:t>ès lors</w:t>
      </w:r>
      <w:r w:rsidR="00C02D08">
        <w:rPr>
          <w:rFonts w:eastAsiaTheme="minorEastAsia"/>
          <w:bCs/>
        </w:rPr>
        <w:t>,</w:t>
      </w:r>
      <w:r w:rsidR="00F605AB">
        <w:rPr>
          <w:rFonts w:eastAsiaTheme="minorEastAsia"/>
          <w:bCs/>
        </w:rPr>
        <w:t xml:space="preserve"> les flux de PNs à générer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s,</m:t>
                </m:r>
                <m:r>
                  <w:rPr>
                    <w:rFonts w:ascii="Cambria Math" w:eastAsiaTheme="minorEastAsia" w:hAnsi="Cambria Math"/>
                  </w:rPr>
                  <m:t>K</m:t>
                </m:r>
              </m:sub>
            </m:sSub>
          </m:sub>
        </m:sSub>
        <m:d>
          <m:dPr>
            <m:ctrlPr>
              <w:rPr>
                <w:rFonts w:ascii="Cambria Math" w:hAnsi="Cambria Math"/>
                <w:b/>
                <w:i/>
              </w:rPr>
            </m:ctrlPr>
          </m:dPr>
          <m:e>
            <m:r>
              <m:rPr>
                <m:sty m:val="bi"/>
              </m:rPr>
              <w:rPr>
                <w:rFonts w:ascii="Cambria Math" w:hAnsi="Cambria Math"/>
              </w:rPr>
              <m:t>s</m:t>
            </m:r>
          </m:e>
        </m:d>
      </m:oMath>
      <w:r w:rsidR="00F8098F">
        <w:rPr>
          <w:rFonts w:eastAsiaTheme="minorEastAsia"/>
          <w:b/>
        </w:rPr>
        <w:t xml:space="preserve"> </w:t>
      </w:r>
      <w:r w:rsidR="00F8098F" w:rsidRPr="00F8098F">
        <w:rPr>
          <w:rFonts w:eastAsiaTheme="minorEastAsia"/>
          <w:bCs/>
        </w:rPr>
        <w:t>pour ces produits,</w:t>
      </w:r>
      <w:r w:rsidR="00F8098F">
        <w:rPr>
          <w:rFonts w:eastAsiaTheme="minorEastAsia"/>
          <w:b/>
        </w:rPr>
        <w:t xml:space="preserve"> </w:t>
      </w:r>
      <w:r w:rsidR="00F605AB">
        <w:rPr>
          <w:rFonts w:eastAsiaTheme="minorEastAsia"/>
          <w:bCs/>
        </w:rPr>
        <w:t>vont également dépendre du scénario de taux et les encours totaux</w:t>
      </w:r>
      <w:r w:rsidR="00760F1A">
        <w:rPr>
          <w:rFonts w:eastAsiaTheme="minorEastAsia"/>
          <w:bCs/>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s,</m:t>
                </m:r>
                <m:r>
                  <w:rPr>
                    <w:rFonts w:ascii="Cambria Math" w:eastAsiaTheme="minorEastAsia" w:hAnsi="Cambria Math"/>
                  </w:rPr>
                  <m:t>K</m:t>
                </m:r>
              </m:sub>
            </m:sSub>
          </m:sub>
        </m:sSub>
        <m:d>
          <m:dPr>
            <m:ctrlPr>
              <w:rPr>
                <w:rFonts w:ascii="Cambria Math" w:hAnsi="Cambria Math"/>
                <w:b/>
                <w:i/>
              </w:rPr>
            </m:ctrlPr>
          </m:dPr>
          <m:e>
            <m:r>
              <m:rPr>
                <m:sty m:val="bi"/>
              </m:rPr>
              <w:rPr>
                <w:rFonts w:ascii="Cambria Math" w:hAnsi="Cambria Math"/>
              </w:rPr>
              <m:t>t</m:t>
            </m:r>
          </m:e>
        </m:d>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 STOCK</m:t>
            </m:r>
          </m:sub>
        </m:sSub>
        <m:r>
          <m:rPr>
            <m:sty m:val="bi"/>
          </m:rPr>
          <w:rPr>
            <w:rFonts w:ascii="Cambria Math" w:hAnsi="Cambria Math"/>
          </w:rPr>
          <m:t>(t)</m:t>
        </m:r>
        <m:r>
          <m:rPr>
            <m:sty m:val="bi"/>
          </m:rPr>
          <w:rPr>
            <w:rFonts w:ascii="Cambria Math" w:eastAsiaTheme="minorEastAsia" w:hAnsi="Cambria Math"/>
          </w:rPr>
          <m:t xml:space="preserve">     </m:t>
        </m:r>
      </m:oMath>
      <w:r w:rsidR="00F605AB">
        <w:rPr>
          <w:rFonts w:eastAsiaTheme="minorEastAsia"/>
          <w:bCs/>
        </w:rPr>
        <w:t xml:space="preserve">ne peuvent </w:t>
      </w:r>
      <w:r w:rsidR="00C02D08">
        <w:rPr>
          <w:rFonts w:eastAsiaTheme="minorEastAsia"/>
          <w:bCs/>
        </w:rPr>
        <w:t xml:space="preserve">demeurer </w:t>
      </w:r>
      <w:r w:rsidR="00F605AB">
        <w:rPr>
          <w:rFonts w:eastAsiaTheme="minorEastAsia"/>
          <w:bCs/>
        </w:rPr>
        <w:t xml:space="preserve">les mêmes pour tous les scénarios de taux. </w:t>
      </w:r>
    </w:p>
    <w:p w14:paraId="0684C1F8" w14:textId="77777777" w:rsidR="00F8098F" w:rsidRDefault="00F8098F" w:rsidP="00F8098F">
      <w:pPr>
        <w:spacing w:after="0"/>
        <w:jc w:val="both"/>
        <w:rPr>
          <w:rFonts w:eastAsiaTheme="minorEastAsia"/>
          <w:bCs/>
        </w:rPr>
      </w:pPr>
    </w:p>
    <w:p w14:paraId="0D5DB39F" w14:textId="54A90A40" w:rsidR="00F605AB" w:rsidRDefault="00F605AB" w:rsidP="00F605AB">
      <w:pPr>
        <w:jc w:val="both"/>
        <w:rPr>
          <w:rFonts w:eastAsiaTheme="minorEastAsia"/>
          <w:bCs/>
        </w:rPr>
      </w:pPr>
      <w:r>
        <w:rPr>
          <w:rFonts w:eastAsiaTheme="minorEastAsia"/>
          <w:bCs/>
        </w:rPr>
        <w:t>Pour résoudre ce problème, RCO va associer un scénario de taux de référence aux encours cible (en général le scénario</w:t>
      </w:r>
      <w:r w:rsidR="00C02D08">
        <w:rPr>
          <w:rFonts w:eastAsiaTheme="minorEastAsia"/>
          <w:bCs/>
        </w:rPr>
        <w:t xml:space="preserve"> dit</w:t>
      </w:r>
      <w:r>
        <w:rPr>
          <w:rFonts w:eastAsiaTheme="minorEastAsia"/>
          <w:bCs/>
        </w:rPr>
        <w:t xml:space="preserve"> </w:t>
      </w:r>
      <w:r w:rsidRPr="00C02D08">
        <w:rPr>
          <w:rFonts w:eastAsiaTheme="minorEastAsia"/>
          <w:b/>
          <w:i/>
          <w:iCs/>
        </w:rPr>
        <w:t>BASELINE1</w:t>
      </w:r>
      <w:r>
        <w:rPr>
          <w:rFonts w:eastAsiaTheme="minorEastAsia"/>
          <w:bCs/>
        </w:rPr>
        <w:t>) et va générer des flux de PNs en fonction des encours cible et ce scénario de référence </w:t>
      </w:r>
      <w:r w:rsidR="00F8098F" w:rsidRPr="00F8098F">
        <w:rPr>
          <w:rFonts w:eastAsiaTheme="minorEastAsia"/>
          <w:bCs/>
          <w:i/>
          <w:iCs/>
        </w:rPr>
        <w:t>ref</w:t>
      </w:r>
      <w:r w:rsidR="00F8098F">
        <w:rPr>
          <w:rFonts w:eastAsiaTheme="minorEastAsia"/>
          <w:bCs/>
        </w:rPr>
        <w:t xml:space="preserve"> </w:t>
      </w:r>
      <w:r>
        <w:rPr>
          <w:rFonts w:eastAsiaTheme="minorEastAsia"/>
          <w:bCs/>
        </w:rPr>
        <w:t xml:space="preserve">: </w:t>
      </w:r>
    </w:p>
    <w:p w14:paraId="2274307F" w14:textId="4BD66079" w:rsidR="00F8098F" w:rsidRPr="008D0377" w:rsidRDefault="002F5A5D" w:rsidP="00760F1A">
      <w:pPr>
        <w:jc w:val="center"/>
        <w:rPr>
          <w:rFonts w:eastAsiaTheme="minorEastAsia"/>
          <w:b/>
        </w:rPr>
      </w:pPr>
      <m:oMath>
        <m:sSub>
          <m:sSubPr>
            <m:ctrlPr>
              <w:rPr>
                <w:rFonts w:ascii="Cambria Math" w:hAnsi="Cambria Math"/>
                <w:b/>
                <w:bCs/>
                <w:i/>
                <w:highlight w:val="lightGray"/>
              </w:rPr>
            </m:ctrlPr>
          </m:sSubPr>
          <m:e>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m:t>
                    </m:r>
                    <m:r>
                      <w:rPr>
                        <w:rFonts w:ascii="Cambria Math" w:eastAsiaTheme="minorEastAsia" w:hAnsi="Cambria Math"/>
                        <w:highlight w:val="lightGray"/>
                      </w:rPr>
                      <m:t>K,ref</m:t>
                    </m:r>
                  </m:sub>
                </m:sSub>
              </m:sub>
            </m:sSub>
            <m:d>
              <m:dPr>
                <m:ctrlPr>
                  <w:rPr>
                    <w:rFonts w:ascii="Cambria Math" w:hAnsi="Cambria Math"/>
                    <w:b/>
                    <w:i/>
                    <w:highlight w:val="lightGray"/>
                  </w:rPr>
                </m:ctrlPr>
              </m:dPr>
              <m:e>
                <m:r>
                  <m:rPr>
                    <m:sty m:val="bi"/>
                  </m:rPr>
                  <w:rPr>
                    <w:rFonts w:ascii="Cambria Math" w:hAnsi="Cambria Math"/>
                    <w:highlight w:val="lightGray"/>
                  </w:rPr>
                  <m:t>s</m:t>
                </m:r>
              </m:e>
            </m:d>
            <m:r>
              <m:rPr>
                <m:sty m:val="b"/>
              </m:rPr>
              <w:rPr>
                <w:rFonts w:ascii="Cambria Math" w:eastAsiaTheme="minorEastAsia" w:hAnsi="Cambria Math"/>
                <w:highlight w:val="lightGray"/>
              </w:rPr>
              <m:t xml:space="preserve"> </m:t>
            </m:r>
            <m:r>
              <m:rPr>
                <m:sty m:val="bi"/>
              </m:rPr>
              <w:rPr>
                <w:rFonts w:ascii="Cambria Math" w:hAnsi="Cambria Math"/>
                <w:highlight w:val="lightGray"/>
              </w:rPr>
              <m:t>= E</m:t>
            </m:r>
          </m:e>
          <m:sub>
            <m:r>
              <m:rPr>
                <m:sty m:val="bi"/>
              </m:rPr>
              <w:rPr>
                <w:rFonts w:ascii="Cambria Math" w:hAnsi="Cambria Math"/>
                <w:highlight w:val="lightGray"/>
              </w:rPr>
              <m:t>cible, ref,K</m:t>
            </m:r>
          </m:sub>
        </m:sSub>
        <m:d>
          <m:dPr>
            <m:ctrlPr>
              <w:rPr>
                <w:rFonts w:ascii="Cambria Math" w:hAnsi="Cambria Math"/>
                <w:b/>
                <w:bCs/>
                <w:i/>
                <w:highlight w:val="lightGray"/>
              </w:rPr>
            </m:ctrlPr>
          </m:dPr>
          <m:e>
            <m:r>
              <m:rPr>
                <m:sty m:val="bi"/>
              </m:rPr>
              <w:rPr>
                <w:rFonts w:ascii="Cambria Math" w:hAnsi="Cambria Math"/>
                <w:highlight w:val="lightGray"/>
              </w:rPr>
              <m:t>t</m:t>
            </m:r>
          </m:e>
        </m:d>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K,ref,STOCK</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 xml:space="preserve">- </m:t>
        </m:r>
        <m:nary>
          <m:naryPr>
            <m:chr m:val="∑"/>
            <m:limLoc m:val="undOvr"/>
            <m:ctrlPr>
              <w:rPr>
                <w:rFonts w:ascii="Cambria Math" w:hAnsi="Cambria Math"/>
                <w:b/>
                <w:i/>
                <w:highlight w:val="lightGray"/>
              </w:rPr>
            </m:ctrlPr>
          </m:naryPr>
          <m:sub>
            <m:r>
              <m:rPr>
                <m:sty m:val="bi"/>
              </m:rPr>
              <w:rPr>
                <w:rFonts w:ascii="Cambria Math" w:hAnsi="Cambria Math"/>
                <w:highlight w:val="lightGray"/>
              </w:rPr>
              <m:t>j=1</m:t>
            </m:r>
          </m:sub>
          <m:sup>
            <m:r>
              <m:rPr>
                <m:sty m:val="bi"/>
              </m:rPr>
              <w:rPr>
                <w:rFonts w:ascii="Cambria Math" w:hAnsi="Cambria Math"/>
                <w:highlight w:val="lightGray"/>
              </w:rPr>
              <m:t>s-1</m:t>
            </m:r>
          </m:sup>
          <m:e>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j</m:t>
                    </m:r>
                  </m:sub>
                </m:sSub>
              </m:sub>
            </m:sSub>
            <m:r>
              <m:rPr>
                <m:sty m:val="bi"/>
              </m:rPr>
              <w:rPr>
                <w:rFonts w:ascii="Cambria Math" w:hAnsi="Cambria Math"/>
                <w:highlight w:val="lightGray"/>
              </w:rPr>
              <m:t>(s)</m:t>
            </m:r>
          </m:e>
        </m:nary>
        <m:r>
          <m:rPr>
            <m:sty m:val="bi"/>
          </m:rPr>
          <w:rPr>
            <w:rFonts w:ascii="Cambria Math" w:hAnsi="Cambria Math"/>
            <w:highlight w:val="lightGray"/>
          </w:rPr>
          <m:t xml:space="preserve">       (L</m:t>
        </m:r>
        <m:r>
          <m:rPr>
            <m:sty m:val="bi"/>
          </m:rPr>
          <w:rPr>
            <w:rFonts w:ascii="Cambria Math" w:eastAsiaTheme="minorEastAsia" w:hAnsi="Cambria Math"/>
            <w:highlight w:val="lightGray"/>
          </w:rPr>
          <m:t>)</m:t>
        </m:r>
      </m:oMath>
      <w:r w:rsidR="00F605AB">
        <w:rPr>
          <w:rFonts w:eastAsiaTheme="minorEastAsia"/>
          <w:b/>
        </w:rPr>
        <w:t xml:space="preserve"> </w:t>
      </w:r>
    </w:p>
    <w:p w14:paraId="12054671" w14:textId="6569F282" w:rsidR="00760F1A" w:rsidRPr="00445A40" w:rsidRDefault="008D0377" w:rsidP="00445A40">
      <w:pPr>
        <w:jc w:val="both"/>
        <w:rPr>
          <w:b/>
          <w:bCs/>
          <w:color w:val="FF0000"/>
        </w:rPr>
      </w:pPr>
      <w:r>
        <w:rPr>
          <w:b/>
          <w:bCs/>
        </w:rPr>
        <w:t xml:space="preserve">On appelle calage la simulation qui permet de calculer les flux de PNs associés à chaque clé K en fonction du scénario de référence. </w:t>
      </w:r>
      <w:r w:rsidRPr="00760F1A">
        <w:rPr>
          <w:b/>
          <w:bCs/>
          <w:color w:val="FF0000"/>
        </w:rPr>
        <w:t>Ces flux de calage seront être considérés comme constants quel que soit le scénario de taux.</w:t>
      </w:r>
    </w:p>
    <w:p w14:paraId="76338162" w14:textId="39346436" w:rsidR="008A66AE" w:rsidRDefault="007A4574" w:rsidP="008A66AE">
      <w:pPr>
        <w:pStyle w:val="Titre3"/>
      </w:pPr>
      <w:r>
        <w:lastRenderedPageBreak/>
        <w:t>3.</w:t>
      </w:r>
      <w:r w:rsidR="008A66AE">
        <w:t>3.5 Calcul du capital des PNs dans le cas général</w:t>
      </w:r>
    </w:p>
    <w:p w14:paraId="2A955C68" w14:textId="6B857318" w:rsidR="008A66AE" w:rsidRDefault="008A66AE" w:rsidP="00966897">
      <w:pPr>
        <w:jc w:val="both"/>
        <w:rPr>
          <w:lang w:eastAsia="ja-JP"/>
        </w:rPr>
      </w:pPr>
      <w:r>
        <w:rPr>
          <w:lang w:eastAsia="ja-JP"/>
        </w:rPr>
        <w:t>Dans le cas général,</w:t>
      </w:r>
      <w:r w:rsidR="00966897">
        <w:rPr>
          <w:lang w:eastAsia="ja-JP"/>
        </w:rPr>
        <w:t xml:space="preserve"> c’est-à-dire dans le cas où l’on dispose déjà des flux de calage et que l’on considère n’importe quel scénario de taux, </w:t>
      </w:r>
      <w:r>
        <w:rPr>
          <w:lang w:eastAsia="ja-JP"/>
        </w:rPr>
        <w:t>on va inverser l’ordre de calcul pour trouver ca</w:t>
      </w:r>
      <w:r w:rsidR="00966897">
        <w:rPr>
          <w:lang w:eastAsia="ja-JP"/>
        </w:rPr>
        <w:t xml:space="preserve">lculer les écoulements de PNs. On va </w:t>
      </w:r>
      <w:r w:rsidR="00760F1A">
        <w:rPr>
          <w:lang w:eastAsia="ja-JP"/>
        </w:rPr>
        <w:t>appeler</w:t>
      </w:r>
      <w:r w:rsidR="00966897">
        <w:rPr>
          <w:lang w:eastAsia="ja-JP"/>
        </w:rPr>
        <w:t xml:space="preserve"> </w:t>
      </w:r>
      <w:r w:rsidR="00966897" w:rsidRPr="00966897">
        <w:rPr>
          <w:b/>
          <w:bCs/>
          <w:i/>
          <w:iCs/>
          <w:lang w:eastAsia="ja-JP"/>
        </w:rPr>
        <w:t>sc</w:t>
      </w:r>
      <w:r w:rsidR="00966897">
        <w:rPr>
          <w:lang w:eastAsia="ja-JP"/>
        </w:rPr>
        <w:t xml:space="preserve"> le nouveau scénario de taux.</w:t>
      </w:r>
    </w:p>
    <w:p w14:paraId="79291210" w14:textId="3ECA12E6" w:rsidR="00966897" w:rsidRDefault="00760F1A" w:rsidP="00966897">
      <w:pPr>
        <w:jc w:val="both"/>
        <w:rPr>
          <w:rFonts w:eastAsiaTheme="minorEastAsia"/>
          <w:b/>
        </w:rPr>
      </w:pPr>
      <w:r>
        <w:rPr>
          <w:lang w:eastAsia="ja-JP"/>
        </w:rPr>
        <w:t>On</w:t>
      </w:r>
      <w:r w:rsidR="00966897">
        <w:rPr>
          <w:lang w:eastAsia="ja-JP"/>
        </w:rPr>
        <w:t xml:space="preserve"> </w:t>
      </w:r>
      <w:r w:rsidR="00445A40">
        <w:rPr>
          <w:lang w:eastAsia="ja-JP"/>
        </w:rPr>
        <w:t xml:space="preserve">peut désormais </w:t>
      </w:r>
      <w:r w:rsidR="003948F7">
        <w:rPr>
          <w:lang w:eastAsia="ja-JP"/>
        </w:rPr>
        <w:t xml:space="preserve">disposer </w:t>
      </w:r>
      <w:r>
        <w:rPr>
          <w:lang w:eastAsia="ja-JP"/>
        </w:rPr>
        <w:t>des</w:t>
      </w:r>
      <w:r w:rsidR="00966897">
        <w:rPr>
          <w:lang w:eastAsia="ja-JP"/>
        </w:rPr>
        <w:t xml:space="preserve"> écoulements du stock</w:t>
      </w:r>
      <m:oMath>
        <m:r>
          <w:rPr>
            <w:rFonts w:ascii="Cambria Math" w:hAnsi="Cambria Math"/>
            <w:lang w:eastAsia="ja-JP"/>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K,sc,STOCK</m:t>
            </m:r>
          </m:sub>
        </m:sSub>
        <m:d>
          <m:dPr>
            <m:ctrlPr>
              <w:rPr>
                <w:rFonts w:ascii="Cambria Math" w:hAnsi="Cambria Math"/>
                <w:b/>
                <w:i/>
              </w:rPr>
            </m:ctrlPr>
          </m:dPr>
          <m:e>
            <m:r>
              <m:rPr>
                <m:sty m:val="bi"/>
              </m:rPr>
              <w:rPr>
                <w:rFonts w:ascii="Cambria Math" w:hAnsi="Cambria Math"/>
              </w:rPr>
              <m:t>t</m:t>
            </m:r>
          </m:e>
        </m:d>
      </m:oMath>
      <w:r w:rsidR="00966897">
        <w:rPr>
          <w:rFonts w:eastAsiaTheme="minorEastAsia"/>
          <w:b/>
        </w:rPr>
        <w:t xml:space="preserve"> </w:t>
      </w:r>
      <w:r w:rsidR="00966897" w:rsidRPr="00966897">
        <w:rPr>
          <w:rFonts w:eastAsiaTheme="minorEastAsia"/>
          <w:bCs/>
        </w:rPr>
        <w:t xml:space="preserve">ainsi que des flux de </w:t>
      </w:r>
      <w:r w:rsidR="00966897">
        <w:rPr>
          <w:rFonts w:eastAsiaTheme="minorEastAsia"/>
          <w:bCs/>
        </w:rPr>
        <w:t>PNs à produire chaque mois</w:t>
      </w:r>
      <m:oMath>
        <m:r>
          <w:rPr>
            <w:rFonts w:ascii="Cambria Math" w:eastAsiaTheme="minorEastAsia"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s,</m:t>
                </m:r>
                <m:r>
                  <w:rPr>
                    <w:rFonts w:ascii="Cambria Math" w:eastAsiaTheme="minorEastAsia" w:hAnsi="Cambria Math"/>
                  </w:rPr>
                  <m:t>K,ref</m:t>
                </m:r>
              </m:sub>
            </m:sSub>
          </m:sub>
        </m:sSub>
        <m:d>
          <m:dPr>
            <m:ctrlPr>
              <w:rPr>
                <w:rFonts w:ascii="Cambria Math" w:hAnsi="Cambria Math"/>
                <w:b/>
                <w:i/>
              </w:rPr>
            </m:ctrlPr>
          </m:dPr>
          <m:e>
            <m:r>
              <m:rPr>
                <m:sty m:val="bi"/>
              </m:rPr>
              <w:rPr>
                <w:rFonts w:ascii="Cambria Math" w:hAnsi="Cambria Math"/>
              </w:rPr>
              <m:t>s</m:t>
            </m:r>
          </m:e>
        </m:d>
      </m:oMath>
      <w:r w:rsidR="00966897">
        <w:rPr>
          <w:rFonts w:eastAsiaTheme="minorEastAsia"/>
          <w:b/>
        </w:rPr>
        <w:t>.</w:t>
      </w:r>
      <w:r w:rsidR="00E43823">
        <w:rPr>
          <w:rFonts w:eastAsiaTheme="minorEastAsia"/>
          <w:b/>
        </w:rPr>
        <w:t xml:space="preserve"> </w:t>
      </w:r>
      <w:r w:rsidR="00E43823" w:rsidRPr="00E43823">
        <w:rPr>
          <w:rFonts w:eastAsiaTheme="minorEastAsia"/>
          <w:bCs/>
        </w:rPr>
        <w:t xml:space="preserve">Chaque </w:t>
      </w:r>
      <m:oMath>
        <m:sSub>
          <m:sSubPr>
            <m:ctrlPr>
              <w:rPr>
                <w:rFonts w:ascii="Cambria Math" w:hAnsi="Cambria Math"/>
                <w:bCs/>
                <w:i/>
              </w:rPr>
            </m:ctrlPr>
          </m:sSubPr>
          <m:e>
            <m:r>
              <w:rPr>
                <w:rFonts w:ascii="Cambria Math" w:hAnsi="Cambria Math"/>
              </w:rPr>
              <m:t>C</m:t>
            </m:r>
          </m:e>
          <m:sub>
            <m:r>
              <w:rPr>
                <w:rFonts w:ascii="Cambria Math" w:hAnsi="Cambria Math"/>
              </w:rPr>
              <m:t>P</m:t>
            </m:r>
            <m:sSub>
              <m:sSubPr>
                <m:ctrlPr>
                  <w:rPr>
                    <w:rFonts w:ascii="Cambria Math" w:hAnsi="Cambria Math"/>
                    <w:bCs/>
                    <w:i/>
                  </w:rPr>
                </m:ctrlPr>
              </m:sSubPr>
              <m:e>
                <m:r>
                  <w:rPr>
                    <w:rFonts w:ascii="Cambria Math" w:hAnsi="Cambria Math"/>
                  </w:rPr>
                  <m:t>N</m:t>
                </m:r>
              </m:e>
              <m:sub>
                <m:r>
                  <w:rPr>
                    <w:rFonts w:ascii="Cambria Math" w:hAnsi="Cambria Math"/>
                  </w:rPr>
                  <m:t>s,</m:t>
                </m:r>
                <m:r>
                  <w:rPr>
                    <w:rFonts w:ascii="Cambria Math" w:eastAsiaTheme="minorEastAsia" w:hAnsi="Cambria Math"/>
                  </w:rPr>
                  <m:t>K,ref</m:t>
                </m:r>
              </m:sub>
            </m:sSub>
          </m:sub>
        </m:sSub>
        <m:d>
          <m:dPr>
            <m:ctrlPr>
              <w:rPr>
                <w:rFonts w:ascii="Cambria Math" w:hAnsi="Cambria Math"/>
                <w:bCs/>
                <w:i/>
              </w:rPr>
            </m:ctrlPr>
          </m:dPr>
          <m:e>
            <m:r>
              <w:rPr>
                <w:rFonts w:ascii="Cambria Math" w:hAnsi="Cambria Math"/>
              </w:rPr>
              <m:t>s</m:t>
            </m:r>
          </m:e>
        </m:d>
      </m:oMath>
      <w:r w:rsidR="00E43823" w:rsidRPr="00E43823">
        <w:rPr>
          <w:rFonts w:eastAsiaTheme="minorEastAsia"/>
          <w:bCs/>
        </w:rPr>
        <w:t xml:space="preserve"> est écoulé en utilisant le scénario de taux </w:t>
      </w:r>
      <w:r w:rsidR="00E43823" w:rsidRPr="00E43823">
        <w:rPr>
          <w:rFonts w:eastAsiaTheme="minorEastAsia"/>
          <w:b/>
          <w:i/>
          <w:iCs/>
        </w:rPr>
        <w:t>sc</w:t>
      </w:r>
      <w:r w:rsidR="00E43823" w:rsidRPr="00E43823">
        <w:rPr>
          <w:rFonts w:eastAsiaTheme="minorEastAsia"/>
          <w:bCs/>
        </w:rPr>
        <w:t>.</w:t>
      </w:r>
    </w:p>
    <w:p w14:paraId="29AF744E" w14:textId="7FECE41C" w:rsidR="00760F1A" w:rsidRDefault="00760F1A" w:rsidP="00966897">
      <w:pPr>
        <w:jc w:val="both"/>
        <w:rPr>
          <w:rFonts w:eastAsiaTheme="minorEastAsia"/>
          <w:b/>
        </w:rPr>
      </w:pPr>
      <w:r>
        <w:rPr>
          <w:rFonts w:eastAsiaTheme="minorEastAsia"/>
          <w:b/>
        </w:rPr>
        <w:t xml:space="preserve">On va alors calculer des encours cible fictifs pour le nouveau scénario de taux, tels que : </w:t>
      </w:r>
    </w:p>
    <w:p w14:paraId="57768BB4" w14:textId="644244FC" w:rsidR="00760F1A" w:rsidRPr="008A66AE" w:rsidRDefault="002F5A5D" w:rsidP="00966897">
      <w:pPr>
        <w:jc w:val="both"/>
        <w:rPr>
          <w:lang w:eastAsia="ja-JP"/>
        </w:rPr>
      </w:pPr>
      <m:oMathPara>
        <m:oMath>
          <m:sSub>
            <m:sSubPr>
              <m:ctrlPr>
                <w:rPr>
                  <w:rFonts w:ascii="Cambria Math" w:hAnsi="Cambria Math"/>
                  <w:b/>
                  <w:bCs/>
                  <w:i/>
                  <w:highlight w:val="lightGray"/>
                </w:rPr>
              </m:ctrlPr>
            </m:sSubPr>
            <m:e>
              <m:r>
                <m:rPr>
                  <m:sty m:val="bi"/>
                </m:rPr>
                <w:rPr>
                  <w:rFonts w:ascii="Cambria Math" w:hAnsi="Cambria Math"/>
                  <w:highlight w:val="lightGray"/>
                </w:rPr>
                <m:t>E</m:t>
              </m:r>
            </m:e>
            <m:sub>
              <m:r>
                <m:rPr>
                  <m:sty m:val="bi"/>
                </m:rPr>
                <w:rPr>
                  <w:rFonts w:ascii="Cambria Math" w:hAnsi="Cambria Math"/>
                  <w:highlight w:val="lightGray"/>
                </w:rPr>
                <m:t>cible, sc,K</m:t>
              </m:r>
            </m:sub>
          </m:sSub>
          <m:d>
            <m:dPr>
              <m:ctrlPr>
                <w:rPr>
                  <w:rFonts w:ascii="Cambria Math" w:hAnsi="Cambria Math"/>
                  <w:b/>
                  <w:bCs/>
                  <w:i/>
                  <w:highlight w:val="lightGray"/>
                </w:rPr>
              </m:ctrlPr>
            </m:dPr>
            <m:e>
              <m:r>
                <m:rPr>
                  <m:sty m:val="bi"/>
                </m:rPr>
                <w:rPr>
                  <w:rFonts w:ascii="Cambria Math" w:hAnsi="Cambria Math"/>
                  <w:highlight w:val="lightGray"/>
                </w:rPr>
                <m:t>t</m:t>
              </m:r>
            </m:e>
          </m:d>
          <m:r>
            <m:rPr>
              <m:sty m:val="bi"/>
            </m:rPr>
            <w:rPr>
              <w:rFonts w:ascii="Cambria Math" w:hAnsi="Cambria Math"/>
              <w:highlight w:val="lightGray"/>
            </w:rPr>
            <m:t xml:space="preserve">= </m:t>
          </m:r>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s,</m:t>
                  </m:r>
                  <m:r>
                    <w:rPr>
                      <w:rFonts w:ascii="Cambria Math" w:eastAsiaTheme="minorEastAsia" w:hAnsi="Cambria Math"/>
                      <w:highlight w:val="lightGray"/>
                    </w:rPr>
                    <m:t>K,ref</m:t>
                  </m:r>
                </m:sub>
              </m:sSub>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K,sc,STOCK</m:t>
              </m:r>
            </m:sub>
          </m:sSub>
          <m:d>
            <m:dPr>
              <m:ctrlPr>
                <w:rPr>
                  <w:rFonts w:ascii="Cambria Math" w:hAnsi="Cambria Math"/>
                  <w:b/>
                  <w:i/>
                  <w:highlight w:val="lightGray"/>
                </w:rPr>
              </m:ctrlPr>
            </m:dPr>
            <m:e>
              <m:r>
                <m:rPr>
                  <m:sty m:val="bi"/>
                </m:rPr>
                <w:rPr>
                  <w:rFonts w:ascii="Cambria Math" w:hAnsi="Cambria Math"/>
                  <w:highlight w:val="lightGray"/>
                </w:rPr>
                <m:t>s</m:t>
              </m:r>
            </m:e>
          </m:d>
          <m:r>
            <m:rPr>
              <m:sty m:val="bi"/>
            </m:rPr>
            <w:rPr>
              <w:rFonts w:ascii="Cambria Math" w:hAnsi="Cambria Math"/>
              <w:highlight w:val="lightGray"/>
            </w:rPr>
            <m:t xml:space="preserve">- </m:t>
          </m:r>
          <m:nary>
            <m:naryPr>
              <m:chr m:val="∑"/>
              <m:limLoc m:val="undOvr"/>
              <m:ctrlPr>
                <w:rPr>
                  <w:rFonts w:ascii="Cambria Math" w:hAnsi="Cambria Math"/>
                  <w:b/>
                  <w:i/>
                  <w:highlight w:val="lightGray"/>
                </w:rPr>
              </m:ctrlPr>
            </m:naryPr>
            <m:sub>
              <m:r>
                <m:rPr>
                  <m:sty m:val="bi"/>
                </m:rPr>
                <w:rPr>
                  <w:rFonts w:ascii="Cambria Math" w:hAnsi="Cambria Math"/>
                  <w:highlight w:val="lightGray"/>
                </w:rPr>
                <m:t>j=1</m:t>
              </m:r>
            </m:sub>
            <m:sup>
              <m:r>
                <m:rPr>
                  <m:sty m:val="bi"/>
                </m:rPr>
                <w:rPr>
                  <w:rFonts w:ascii="Cambria Math" w:hAnsi="Cambria Math"/>
                  <w:highlight w:val="lightGray"/>
                </w:rPr>
                <m:t>s-1</m:t>
              </m:r>
            </m:sup>
            <m:e>
              <m:sSub>
                <m:sSubPr>
                  <m:ctrlPr>
                    <w:rPr>
                      <w:rFonts w:ascii="Cambria Math" w:hAnsi="Cambria Math"/>
                      <w:b/>
                      <w:i/>
                      <w:highlight w:val="lightGray"/>
                    </w:rPr>
                  </m:ctrlPr>
                </m:sSubPr>
                <m:e>
                  <m:r>
                    <m:rPr>
                      <m:sty m:val="bi"/>
                    </m:rPr>
                    <w:rPr>
                      <w:rFonts w:ascii="Cambria Math" w:hAnsi="Cambria Math"/>
                      <w:highlight w:val="lightGray"/>
                    </w:rPr>
                    <m:t>C</m:t>
                  </m:r>
                </m:e>
                <m:sub>
                  <m:r>
                    <m:rPr>
                      <m:sty m:val="bi"/>
                    </m:rPr>
                    <w:rPr>
                      <w:rFonts w:ascii="Cambria Math" w:hAnsi="Cambria Math"/>
                      <w:highlight w:val="lightGray"/>
                    </w:rPr>
                    <m:t>P</m:t>
                  </m:r>
                  <m:sSub>
                    <m:sSubPr>
                      <m:ctrlPr>
                        <w:rPr>
                          <w:rFonts w:ascii="Cambria Math" w:hAnsi="Cambria Math"/>
                          <w:b/>
                          <w:i/>
                          <w:highlight w:val="lightGray"/>
                        </w:rPr>
                      </m:ctrlPr>
                    </m:sSubPr>
                    <m:e>
                      <m:r>
                        <m:rPr>
                          <m:sty m:val="bi"/>
                        </m:rPr>
                        <w:rPr>
                          <w:rFonts w:ascii="Cambria Math" w:hAnsi="Cambria Math"/>
                          <w:highlight w:val="lightGray"/>
                        </w:rPr>
                        <m:t>N</m:t>
                      </m:r>
                    </m:e>
                    <m:sub>
                      <m:r>
                        <m:rPr>
                          <m:sty m:val="bi"/>
                        </m:rPr>
                        <w:rPr>
                          <w:rFonts w:ascii="Cambria Math" w:hAnsi="Cambria Math"/>
                          <w:highlight w:val="lightGray"/>
                        </w:rPr>
                        <m:t>j</m:t>
                      </m:r>
                    </m:sub>
                  </m:sSub>
                  <m:r>
                    <m:rPr>
                      <m:sty m:val="bi"/>
                    </m:rPr>
                    <w:rPr>
                      <w:rFonts w:ascii="Cambria Math" w:hAnsi="Cambria Math"/>
                      <w:highlight w:val="lightGray"/>
                    </w:rPr>
                    <m:t>,K,ref, sc</m:t>
                  </m:r>
                </m:sub>
              </m:sSub>
              <m:d>
                <m:dPr>
                  <m:ctrlPr>
                    <w:rPr>
                      <w:rFonts w:ascii="Cambria Math" w:hAnsi="Cambria Math"/>
                      <w:b/>
                      <w:i/>
                    </w:rPr>
                  </m:ctrlPr>
                </m:dPr>
                <m:e>
                  <m:r>
                    <m:rPr>
                      <m:sty m:val="bi"/>
                    </m:rPr>
                    <w:rPr>
                      <w:rFonts w:ascii="Cambria Math" w:hAnsi="Cambria Math"/>
                      <w:highlight w:val="lightGray"/>
                    </w:rPr>
                    <m:t>s</m:t>
                  </m:r>
                </m:e>
              </m:d>
            </m:e>
          </m:nary>
          <m:r>
            <m:rPr>
              <m:sty m:val="bi"/>
            </m:rPr>
            <w:rPr>
              <w:rFonts w:ascii="Cambria Math" w:hAnsi="Cambria Math"/>
            </w:rPr>
            <m:t xml:space="preserve">   (M)         </m:t>
          </m:r>
        </m:oMath>
      </m:oMathPara>
    </w:p>
    <w:p w14:paraId="5C12466F" w14:textId="40A3FA6C" w:rsidR="00F605AB" w:rsidRDefault="00760F1A" w:rsidP="00FE3F6E">
      <w:pPr>
        <w:jc w:val="both"/>
        <w:rPr>
          <w:rFonts w:cstheme="majorBidi"/>
          <w:b/>
          <w:bCs/>
        </w:rPr>
      </w:pPr>
      <w:r>
        <w:rPr>
          <w:rFonts w:cstheme="majorBidi"/>
          <w:b/>
          <w:bCs/>
        </w:rPr>
        <w:t>On peut alors reprendre le raisonnement construit dans les paragraphes précédent</w:t>
      </w:r>
      <w:r w:rsidR="00E43823">
        <w:rPr>
          <w:rFonts w:cstheme="majorBidi"/>
          <w:b/>
          <w:bCs/>
        </w:rPr>
        <w:t>s</w:t>
      </w:r>
      <w:r>
        <w:rPr>
          <w:rFonts w:cstheme="majorBidi"/>
          <w:b/>
          <w:bCs/>
        </w:rPr>
        <w:t xml:space="preserve"> pour calculer les écoulements dynamiques dans le cas général.</w:t>
      </w:r>
    </w:p>
    <w:p w14:paraId="6902D449" w14:textId="6B77308A" w:rsidR="00760F1A" w:rsidRDefault="00760F1A" w:rsidP="00FE3F6E">
      <w:pPr>
        <w:jc w:val="both"/>
        <w:rPr>
          <w:rFonts w:cstheme="majorBidi"/>
          <w:b/>
          <w:bCs/>
        </w:rPr>
      </w:pPr>
    </w:p>
    <w:p w14:paraId="34593D02" w14:textId="0B9432FB" w:rsidR="0008095F" w:rsidRDefault="009304DE" w:rsidP="009304DE">
      <w:pPr>
        <w:pStyle w:val="Titre2"/>
        <w:rPr>
          <w:rFonts w:cstheme="majorBidi"/>
        </w:rPr>
      </w:pPr>
      <w:r>
        <w:rPr>
          <w:rFonts w:cstheme="majorBidi"/>
        </w:rPr>
        <w:t>3.4</w:t>
      </w:r>
      <w:r w:rsidRPr="00FE3F6E">
        <w:rPr>
          <w:rFonts w:cstheme="majorBidi"/>
        </w:rPr>
        <w:t xml:space="preserve"> </w:t>
      </w:r>
      <w:r>
        <w:rPr>
          <w:rFonts w:cstheme="majorBidi"/>
        </w:rPr>
        <w:t>Calcul du TCI</w:t>
      </w:r>
    </w:p>
    <w:p w14:paraId="4F7482C0" w14:textId="5E344771" w:rsidR="009304DE" w:rsidRPr="009304DE" w:rsidRDefault="009304DE" w:rsidP="00C02D08">
      <w:pPr>
        <w:jc w:val="both"/>
        <w:rPr>
          <w:b/>
          <w:bCs/>
        </w:rPr>
      </w:pPr>
      <w:r>
        <w:t xml:space="preserve">Pour calculer un TCI (prix de transfert de l’entité au gestionnaire central) d’un NMD, on utilise une approche dite en </w:t>
      </w:r>
      <w:r w:rsidR="00CF39EB">
        <w:t>« </w:t>
      </w:r>
      <w:r>
        <w:t>replicating model</w:t>
      </w:r>
      <w:r w:rsidR="00CF39EB">
        <w:t> »</w:t>
      </w:r>
      <w:r>
        <w:t>.</w:t>
      </w:r>
    </w:p>
    <w:p w14:paraId="311EF4C6" w14:textId="0A013B6D" w:rsidR="00C02D08" w:rsidRDefault="009304DE" w:rsidP="00C02D08">
      <w:pPr>
        <w:jc w:val="both"/>
      </w:pPr>
      <w:r>
        <w:t>Un produit non échéancé est répliqué par un portefeuille financier qui imite l'évolution du taux d'intérêt du produit et l'évolution de son capital.</w:t>
      </w:r>
      <w:r w:rsidR="00CA213E">
        <w:t xml:space="preserve"> </w:t>
      </w:r>
    </w:p>
    <w:p w14:paraId="570AFFCA" w14:textId="036D3B5C" w:rsidR="0027646F" w:rsidRDefault="00D55455" w:rsidP="0027646F">
      <w:pPr>
        <w:jc w:val="both"/>
      </w:pPr>
      <w:r>
        <w:t xml:space="preserve">RCO calcule un TCI sur la partie fixe (dite aussi </w:t>
      </w:r>
      <w:r w:rsidR="00252F6B">
        <w:t>liquidité</w:t>
      </w:r>
      <w:r>
        <w:t>) et sur la partie variable (dite aussi taux). La partie fixe se calcule selon deux approches : l’approche « INDEX » et l’approche « MATURITY ».</w:t>
      </w:r>
    </w:p>
    <w:p w14:paraId="1622432F" w14:textId="6A41BE66" w:rsidR="0027646F" w:rsidRDefault="0027646F" w:rsidP="00C02D08">
      <w:pPr>
        <w:jc w:val="both"/>
      </w:pPr>
      <w:r>
        <w:t>Chaque type de contrat dispose d’une méthode de calcul du TCI donné par les paramètres du fichier modèle. Un exemple ci-dessous pour les « pP-LIV-A-BP » en marché « AUTRES » :</w:t>
      </w:r>
    </w:p>
    <w:p w14:paraId="7F6AA9F0" w14:textId="0E1B6C1E" w:rsidR="0027646F" w:rsidRDefault="0027646F" w:rsidP="00C02D08">
      <w:pPr>
        <w:jc w:val="both"/>
      </w:pPr>
      <w:r w:rsidRPr="0027646F">
        <w:rPr>
          <w:noProof/>
        </w:rPr>
        <w:drawing>
          <wp:inline distT="0" distB="0" distL="0" distR="0" wp14:anchorId="2BF21271" wp14:editId="7AA6ACD2">
            <wp:extent cx="5760720" cy="6362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36270"/>
                    </a:xfrm>
                    <a:prstGeom prst="rect">
                      <a:avLst/>
                    </a:prstGeom>
                    <a:noFill/>
                    <a:ln>
                      <a:noFill/>
                    </a:ln>
                  </pic:spPr>
                </pic:pic>
              </a:graphicData>
            </a:graphic>
          </wp:inline>
        </w:drawing>
      </w:r>
    </w:p>
    <w:p w14:paraId="2C36FA77" w14:textId="3CFBA30E" w:rsidR="0027646F" w:rsidRDefault="0027646F" w:rsidP="00C02D08">
      <w:pPr>
        <w:jc w:val="both"/>
      </w:pPr>
    </w:p>
    <w:p w14:paraId="1CAB1E17" w14:textId="6BAE0F33" w:rsidR="0027646F" w:rsidRDefault="0027646F" w:rsidP="00C02D08">
      <w:pPr>
        <w:jc w:val="both"/>
      </w:pPr>
    </w:p>
    <w:p w14:paraId="0F8A163C" w14:textId="3F83B544" w:rsidR="0027646F" w:rsidRDefault="0027646F" w:rsidP="00C02D08">
      <w:pPr>
        <w:jc w:val="both"/>
      </w:pPr>
    </w:p>
    <w:p w14:paraId="3ACDD7C2" w14:textId="7732375A" w:rsidR="0027646F" w:rsidRDefault="0027646F" w:rsidP="00C02D08">
      <w:pPr>
        <w:jc w:val="both"/>
      </w:pPr>
    </w:p>
    <w:p w14:paraId="5C8271E7" w14:textId="77777777" w:rsidR="0027646F" w:rsidRDefault="0027646F" w:rsidP="00C02D08">
      <w:pPr>
        <w:jc w:val="both"/>
      </w:pPr>
    </w:p>
    <w:p w14:paraId="2D0444CA" w14:textId="5C11D6A1" w:rsidR="00D55455" w:rsidRDefault="00D55455" w:rsidP="00D55455">
      <w:pPr>
        <w:jc w:val="both"/>
      </w:pPr>
      <w:r>
        <w:lastRenderedPageBreak/>
        <w:t>Pour l’approche « INDEX », le TCI est simplement égal à la valeur donnée par la courbe et la tenor associé au modèle de TCI FIXE défini pour le contrat dans les paramètres.</w:t>
      </w:r>
    </w:p>
    <w:p w14:paraId="1C479721" w14:textId="77777777" w:rsidR="0027646F" w:rsidRDefault="00D55455" w:rsidP="0027646F">
      <w:pPr>
        <w:jc w:val="both"/>
      </w:pPr>
      <w:r>
        <w:t xml:space="preserve">L’approche « MATURITY » </w:t>
      </w:r>
      <w:r w:rsidR="0027646F">
        <w:t>est, elle,</w:t>
      </w:r>
      <w:r>
        <w:t xml:space="preserve"> plus complexe. Dans cette approche, à chaque </w:t>
      </w:r>
      <w:r w:rsidR="0027646F">
        <w:t xml:space="preserve">type </w:t>
      </w:r>
      <w:r>
        <w:t>contrat, on associe une courbe de taux</w:t>
      </w:r>
      <w:r w:rsidR="0027646F">
        <w:t xml:space="preserve"> à partir de laquelle sera calculé le TCI : un TCI est associé à chaque strate du contrat et le TCI final sera le la moyenne des TCIs de chaque strate pondérés le capital restant sur chaque strate au temps t.</w:t>
      </w:r>
    </w:p>
    <w:p w14:paraId="3363C657" w14:textId="01BC219A" w:rsidR="00D55455" w:rsidRDefault="00CC54EC" w:rsidP="0027646F">
      <w:pPr>
        <w:jc w:val="both"/>
      </w:pPr>
      <w:r>
        <w:t xml:space="preserve">Ainsi, si on pose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t xml:space="preserve"> le capital de la strate </w:t>
      </w:r>
      <w:r w:rsidR="0027646F">
        <w:t xml:space="preserve">de maturité i </w:t>
      </w:r>
      <w:r>
        <w:t>au temps t, et T(0,i) le taux de la courbe du contrat à la tenor i en DAR, alors :</w:t>
      </w:r>
    </w:p>
    <w:p w14:paraId="3FAA004E" w14:textId="4AF8C443" w:rsidR="00C02D08" w:rsidRPr="003A19D7" w:rsidRDefault="003A19D7" w:rsidP="00252F6B">
      <w:pPr>
        <w:jc w:val="both"/>
        <w:rPr>
          <w:rFonts w:eastAsiaTheme="minorEastAsia"/>
          <w:b/>
          <w:bCs/>
        </w:rPr>
      </w:pPr>
      <m:oMathPara>
        <m:oMath>
          <m:r>
            <m:rPr>
              <m:sty m:val="bi"/>
            </m:rPr>
            <w:rPr>
              <w:rFonts w:ascii="Cambria Math" w:hAnsi="Cambria Math"/>
            </w:rPr>
            <m:t>TC</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FIX</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MATURITY</m:t>
                  </m:r>
                </m:sub>
              </m:sSub>
            </m:sub>
          </m:sSub>
          <m:r>
            <m:rPr>
              <m:sty m:val="bi"/>
            </m:rPr>
            <w:rPr>
              <w:rFonts w:ascii="Cambria Math" w:hAnsi="Cambria Math"/>
            </w:rPr>
            <m:t xml:space="preserve">(t)= </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T</m:t>
                  </m:r>
                  <m:d>
                    <m:dPr>
                      <m:ctrlPr>
                        <w:rPr>
                          <w:rFonts w:ascii="Cambria Math" w:hAnsi="Cambria Math"/>
                          <w:b/>
                          <w:bCs/>
                          <w:i/>
                        </w:rPr>
                      </m:ctrlPr>
                    </m:dPr>
                    <m:e>
                      <m:r>
                        <m:rPr>
                          <m:sty m:val="bi"/>
                        </m:rPr>
                        <w:rPr>
                          <w:rFonts w:ascii="Cambria Math" w:hAnsi="Cambria Math"/>
                        </w:rPr>
                        <m:t>0,i</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i,t</m:t>
                      </m:r>
                    </m:sub>
                  </m:sSub>
                </m:e>
              </m:nary>
            </m:num>
            <m:den>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i,t</m:t>
                  </m:r>
                </m:sub>
              </m:sSub>
            </m:den>
          </m:f>
        </m:oMath>
      </m:oMathPara>
    </w:p>
    <w:p w14:paraId="192F2A4E" w14:textId="6A9F1A3F" w:rsidR="00803545" w:rsidRDefault="00803545" w:rsidP="00252F6B">
      <w:pPr>
        <w:jc w:val="both"/>
      </w:pPr>
      <w:r>
        <w:rPr>
          <w:rFonts w:eastAsiaTheme="minorEastAsia"/>
        </w:rPr>
        <w:t xml:space="preserve">Pour les contrats émis </w:t>
      </w:r>
      <w:r w:rsidR="0027646F">
        <w:rPr>
          <w:rFonts w:eastAsiaTheme="minorEastAsia"/>
        </w:rPr>
        <w:t>postérieurement à la</w:t>
      </w:r>
      <w:r>
        <w:rPr>
          <w:rFonts w:eastAsiaTheme="minorEastAsia"/>
        </w:rPr>
        <w:t xml:space="preserve"> DAR (la PN), si on</w:t>
      </w:r>
      <w:r w:rsidR="00CA213E">
        <w:rPr>
          <w:rFonts w:eastAsiaTheme="minorEastAsia"/>
        </w:rPr>
        <w:t xml:space="preserve"> définit</w:t>
      </w:r>
      <w:r>
        <w:rPr>
          <w:rFonts w:eastAsiaTheme="minorEastAsia"/>
        </w:rPr>
        <w:t xml:space="preserve"> j</w:t>
      </w:r>
      <w:r w:rsidR="00CA213E">
        <w:rPr>
          <w:rFonts w:eastAsiaTheme="minorEastAsia"/>
        </w:rPr>
        <w:t xml:space="preserve"> comme</w:t>
      </w:r>
      <w:r>
        <w:rPr>
          <w:rFonts w:eastAsiaTheme="minorEastAsia"/>
        </w:rPr>
        <w:t xml:space="preserve"> le mois d’émission, ce sont les taux forward T(j,i) qui sont considérés dans l’égalité précédente</w:t>
      </w:r>
      <w:r w:rsidR="0027646F">
        <w:rPr>
          <w:rFonts w:eastAsiaTheme="minorEastAsia"/>
        </w:rPr>
        <w:t>.</w:t>
      </w:r>
    </w:p>
    <w:p w14:paraId="54D0B448" w14:textId="3102BF77" w:rsidR="00252F6B" w:rsidRDefault="00252F6B" w:rsidP="0027646F">
      <w:pPr>
        <w:jc w:val="both"/>
      </w:pPr>
      <w:r>
        <w:t>Pour la part variable le TCI est simplement égal à la valeur donnée par la courbe et la tenor associé</w:t>
      </w:r>
      <w:r w:rsidR="003A19D7">
        <w:t>e</w:t>
      </w:r>
      <w:r>
        <w:t xml:space="preserve"> au modèle de TCI VARIABLE défini pour le contrat dans les paramètres.</w:t>
      </w:r>
      <w:r w:rsidR="0027646F">
        <w:t xml:space="preserve"> </w:t>
      </w:r>
      <w:r>
        <w:t>A noter que le TCI fixe en approche INDEX et la TCI variable subissent un changement de base, de la base de la courbe à la base 30/360.</w:t>
      </w:r>
    </w:p>
    <w:p w14:paraId="35BEF003" w14:textId="39878370" w:rsidR="00252F6B" w:rsidRDefault="00252F6B" w:rsidP="00252F6B">
      <w:pPr>
        <w:jc w:val="both"/>
      </w:pPr>
      <w:r w:rsidRPr="00252F6B">
        <w:t xml:space="preserve">In fine, le </w:t>
      </w:r>
      <w:r>
        <w:t>T</w:t>
      </w:r>
      <w:r w:rsidRPr="00252F6B">
        <w:t>CI d’un contrat</w:t>
      </w:r>
      <w:r>
        <w:t xml:space="preserve"> NMD est égal à :</w:t>
      </w:r>
    </w:p>
    <w:p w14:paraId="4C4CDE5E" w14:textId="3A5AF874" w:rsidR="00C02D08" w:rsidRPr="007567E3" w:rsidRDefault="003A19D7" w:rsidP="00E718F2">
      <w:pPr>
        <w:jc w:val="both"/>
        <w:rPr>
          <w:rFonts w:eastAsiaTheme="minorEastAsia"/>
          <w:b/>
          <w:bCs/>
        </w:rPr>
      </w:pPr>
      <m:oMathPara>
        <m:oMath>
          <m:r>
            <m:rPr>
              <m:sty m:val="bi"/>
            </m:rPr>
            <w:rPr>
              <w:rFonts w:ascii="Cambria Math" w:hAnsi="Cambria Math"/>
            </w:rPr>
            <m:t>TCI</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=TC</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FIXE</m:t>
              </m:r>
            </m:sub>
          </m:sSub>
          <m:r>
            <m:rPr>
              <m:sty m:val="bi"/>
            </m:rPr>
            <w:rPr>
              <w:rFonts w:ascii="Cambria Math" w:hAnsi="Cambria Math"/>
            </w:rPr>
            <m:t>+TC</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VARIABLE</m:t>
              </m:r>
            </m:sub>
          </m:sSub>
        </m:oMath>
      </m:oMathPara>
    </w:p>
    <w:p w14:paraId="4EFA4631" w14:textId="34D98863" w:rsidR="007567E3" w:rsidRPr="007567E3" w:rsidRDefault="007567E3" w:rsidP="00E718F2">
      <w:pPr>
        <w:jc w:val="both"/>
      </w:pPr>
      <w:r w:rsidRPr="007567E3">
        <w:rPr>
          <w:rFonts w:eastAsiaTheme="minorEastAsia"/>
        </w:rPr>
        <w:t xml:space="preserve">Enfin, </w:t>
      </w:r>
      <w:r>
        <w:rPr>
          <w:rFonts w:eastAsiaTheme="minorEastAsia"/>
        </w:rPr>
        <w:t>dans certains cas, le TCI</w:t>
      </w:r>
      <w:r w:rsidR="00D64B29">
        <w:rPr>
          <w:rFonts w:eastAsiaTheme="minorEastAsia"/>
        </w:rPr>
        <w:t xml:space="preserve"> FIXE</w:t>
      </w:r>
      <w:r>
        <w:rPr>
          <w:rFonts w:eastAsiaTheme="minorEastAsia"/>
        </w:rPr>
        <w:t xml:space="preserve"> est pris dans un fichier à la main de l’</w:t>
      </w:r>
      <w:r w:rsidR="00D64B29">
        <w:rPr>
          <w:rFonts w:eastAsiaTheme="minorEastAsia"/>
        </w:rPr>
        <w:t>utilisateur qui vient remplacer celui qui aurait autrement calculé via la méthode exposée précédemment.</w:t>
      </w:r>
    </w:p>
    <w:p w14:paraId="283F559B" w14:textId="5DEDA7DA" w:rsidR="00D279BB" w:rsidRDefault="009304DE" w:rsidP="004808B9">
      <w:pPr>
        <w:pStyle w:val="Titre1"/>
      </w:pPr>
      <w:bookmarkStart w:id="36" w:name="_Toc131063860"/>
      <w:bookmarkStart w:id="37" w:name="_Toc131065332"/>
      <w:bookmarkStart w:id="38" w:name="_Toc131065715"/>
      <w:bookmarkStart w:id="39" w:name="_Toc169283247"/>
      <w:r>
        <w:t>4</w:t>
      </w:r>
      <w:r w:rsidR="004808B9">
        <w:t xml:space="preserve">. </w:t>
      </w:r>
      <w:r w:rsidR="00BC60CF" w:rsidRPr="004808B9">
        <w:t>Comparaison avec RCO</w:t>
      </w:r>
      <w:bookmarkEnd w:id="36"/>
      <w:bookmarkEnd w:id="37"/>
      <w:bookmarkEnd w:id="38"/>
      <w:bookmarkEnd w:id="39"/>
    </w:p>
    <w:p w14:paraId="0CB5E376" w14:textId="02318407" w:rsidR="00F04EFC" w:rsidRPr="00F04EFC" w:rsidRDefault="00F04EFC" w:rsidP="00F04EFC">
      <w:pPr>
        <w:pStyle w:val="Titre2"/>
      </w:pPr>
      <w:r>
        <w:t xml:space="preserve">4.1 </w:t>
      </w:r>
      <w:r w:rsidRPr="00F04EFC">
        <w:t>Comparaison sur la MNI TC</w:t>
      </w:r>
    </w:p>
    <w:p w14:paraId="0A0D7EB0" w14:textId="31F12F72" w:rsidR="004808B9" w:rsidRDefault="005B7E2C" w:rsidP="004808B9">
      <w:pPr>
        <w:rPr>
          <w:lang w:eastAsia="ja-JP"/>
        </w:rPr>
      </w:pPr>
      <w:r>
        <w:rPr>
          <w:lang w:eastAsia="ja-JP"/>
        </w:rPr>
        <w:t xml:space="preserve">Lorsque l’on compare les chiffres produits par RCO et PASS-ALM sur le bassin BP sur le stock, on trouve des chiffres très similaires, qui montrent que l’implémentation de la modélisation est </w:t>
      </w:r>
      <w:r w:rsidR="003948F7">
        <w:rPr>
          <w:lang w:eastAsia="ja-JP"/>
        </w:rPr>
        <w:t>réussie</w:t>
      </w:r>
      <w:r>
        <w:rPr>
          <w:lang w:eastAsia="ja-JP"/>
        </w:rPr>
        <w:t> :</w:t>
      </w:r>
    </w:p>
    <w:p w14:paraId="1F8B2288" w14:textId="33DE8075" w:rsidR="004808B9" w:rsidRDefault="004808B9" w:rsidP="004808B9">
      <w:pPr>
        <w:rPr>
          <w:lang w:eastAsia="ja-JP"/>
        </w:rPr>
      </w:pPr>
      <w:r w:rsidRPr="00F605AB">
        <w:rPr>
          <w:noProof/>
        </w:rPr>
        <w:drawing>
          <wp:inline distT="0" distB="0" distL="0" distR="0" wp14:anchorId="39C1E2EE" wp14:editId="6CA1E040">
            <wp:extent cx="5760720" cy="19221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22145"/>
                    </a:xfrm>
                    <a:prstGeom prst="rect">
                      <a:avLst/>
                    </a:prstGeom>
                    <a:noFill/>
                    <a:ln>
                      <a:noFill/>
                    </a:ln>
                  </pic:spPr>
                </pic:pic>
              </a:graphicData>
            </a:graphic>
          </wp:inline>
        </w:drawing>
      </w:r>
    </w:p>
    <w:p w14:paraId="0EA07585" w14:textId="5927E5D6" w:rsidR="003948F7" w:rsidRPr="00C02D08" w:rsidRDefault="005B7E2C" w:rsidP="00C02D08">
      <w:pPr>
        <w:jc w:val="both"/>
        <w:rPr>
          <w:b/>
          <w:bCs/>
          <w:lang w:eastAsia="ja-JP"/>
        </w:rPr>
      </w:pPr>
      <w:r w:rsidRPr="006150DE">
        <w:rPr>
          <w:b/>
          <w:bCs/>
          <w:lang w:eastAsia="ja-JP"/>
        </w:rPr>
        <w:lastRenderedPageBreak/>
        <w:t>En effet les écarts sont ténus</w:t>
      </w:r>
      <w:r w:rsidR="00886F47">
        <w:rPr>
          <w:b/>
          <w:bCs/>
          <w:lang w:eastAsia="ja-JP"/>
        </w:rPr>
        <w:t xml:space="preserve"> et </w:t>
      </w:r>
      <w:r w:rsidRPr="006150DE">
        <w:rPr>
          <w:b/>
          <w:bCs/>
          <w:lang w:eastAsia="ja-JP"/>
        </w:rPr>
        <w:t>inférieurs à 0,0018% pour l’encours moyen et à 0,03% pour la MNI.</w:t>
      </w:r>
    </w:p>
    <w:p w14:paraId="442E4DB6" w14:textId="612CCC24" w:rsidR="006150DE" w:rsidRPr="004808B9" w:rsidRDefault="006150DE" w:rsidP="003948F7">
      <w:pPr>
        <w:jc w:val="both"/>
        <w:rPr>
          <w:lang w:eastAsia="ja-JP"/>
        </w:rPr>
      </w:pPr>
      <w:r>
        <w:rPr>
          <w:lang w:eastAsia="ja-JP"/>
        </w:rPr>
        <w:t xml:space="preserve">En ce qui concerne, les encours dynamiques, en raison qu’ils dépendent du scénario de taux, nous avons choisi de confronter </w:t>
      </w:r>
      <w:r w:rsidR="003948F7">
        <w:rPr>
          <w:lang w:eastAsia="ja-JP"/>
        </w:rPr>
        <w:t xml:space="preserve">ici </w:t>
      </w:r>
      <w:r>
        <w:rPr>
          <w:lang w:eastAsia="ja-JP"/>
        </w:rPr>
        <w:t>les données de RCO et de PASS-ALM sur deux scénarios de taux : le @FORWARD (très proche du scénario de calage @BASELINE1) et le FORWARD + 100 bps. Les résultats démontrent la qualité de la modélisation dans PASS-ALM, puisque les différences constatées sont minimes que ce soit pour la MNI ou l’EM :</w:t>
      </w:r>
    </w:p>
    <w:p w14:paraId="5BBD9097" w14:textId="7B60F27B" w:rsidR="0070282A" w:rsidRDefault="004808B9" w:rsidP="00220D7D">
      <w:pPr>
        <w:pStyle w:val="Paragraphedeliste"/>
        <w:jc w:val="center"/>
        <w:rPr>
          <w:rFonts w:cstheme="majorBidi"/>
          <w:lang w:eastAsia="ja-JP"/>
        </w:rPr>
      </w:pPr>
      <w:r w:rsidRPr="004255E9">
        <w:rPr>
          <w:noProof/>
        </w:rPr>
        <w:drawing>
          <wp:inline distT="0" distB="0" distL="0" distR="0" wp14:anchorId="3EA175EF" wp14:editId="71C58AE6">
            <wp:extent cx="5760720" cy="1368425"/>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68425"/>
                    </a:xfrm>
                    <a:prstGeom prst="rect">
                      <a:avLst/>
                    </a:prstGeom>
                    <a:noFill/>
                    <a:ln>
                      <a:noFill/>
                    </a:ln>
                  </pic:spPr>
                </pic:pic>
              </a:graphicData>
            </a:graphic>
          </wp:inline>
        </w:drawing>
      </w:r>
    </w:p>
    <w:p w14:paraId="51436326" w14:textId="555A1DEA" w:rsidR="004808B9" w:rsidRDefault="004808B9" w:rsidP="00220D7D">
      <w:pPr>
        <w:pStyle w:val="Paragraphedeliste"/>
        <w:jc w:val="center"/>
        <w:rPr>
          <w:rFonts w:cstheme="majorBidi"/>
          <w:lang w:eastAsia="ja-JP"/>
        </w:rPr>
      </w:pPr>
    </w:p>
    <w:p w14:paraId="7D3A6F59" w14:textId="0EBD69CC" w:rsidR="004808B9" w:rsidRDefault="004808B9" w:rsidP="00220D7D">
      <w:pPr>
        <w:pStyle w:val="Paragraphedeliste"/>
        <w:jc w:val="center"/>
        <w:rPr>
          <w:rFonts w:cstheme="majorBidi"/>
          <w:lang w:eastAsia="ja-JP"/>
        </w:rPr>
      </w:pPr>
      <w:r w:rsidRPr="00D568B9">
        <w:rPr>
          <w:noProof/>
        </w:rPr>
        <w:drawing>
          <wp:inline distT="0" distB="0" distL="0" distR="0" wp14:anchorId="23A6E5F7" wp14:editId="4F615C56">
            <wp:extent cx="5760720" cy="1293495"/>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93495"/>
                    </a:xfrm>
                    <a:prstGeom prst="rect">
                      <a:avLst/>
                    </a:prstGeom>
                    <a:noFill/>
                    <a:ln>
                      <a:noFill/>
                    </a:ln>
                  </pic:spPr>
                </pic:pic>
              </a:graphicData>
            </a:graphic>
          </wp:inline>
        </w:drawing>
      </w:r>
    </w:p>
    <w:p w14:paraId="21C360EC" w14:textId="071D7C81" w:rsidR="006150DE" w:rsidRDefault="006150DE" w:rsidP="00356851">
      <w:pPr>
        <w:jc w:val="both"/>
        <w:rPr>
          <w:rFonts w:cstheme="majorBidi"/>
          <w:b/>
          <w:bCs/>
          <w:lang w:eastAsia="ja-JP"/>
        </w:rPr>
      </w:pPr>
      <w:r>
        <w:rPr>
          <w:rFonts w:cstheme="majorBidi"/>
          <w:lang w:eastAsia="ja-JP"/>
        </w:rPr>
        <w:t>Sur la MNI, on observe des différences de l’ordre de 0.6% sur l’année</w:t>
      </w:r>
      <w:r w:rsidR="003948F7">
        <w:rPr>
          <w:rFonts w:cstheme="majorBidi"/>
          <w:lang w:eastAsia="ja-JP"/>
        </w:rPr>
        <w:t xml:space="preserve"> 1</w:t>
      </w:r>
      <w:r>
        <w:rPr>
          <w:rFonts w:cstheme="majorBidi"/>
          <w:lang w:eastAsia="ja-JP"/>
        </w:rPr>
        <w:t xml:space="preserve"> qui sont dus exclusivement aux produits indexés sur l’index de taux </w:t>
      </w:r>
      <w:r w:rsidRPr="006150DE">
        <w:rPr>
          <w:rFonts w:cstheme="majorBidi"/>
          <w:b/>
          <w:bCs/>
          <w:lang w:eastAsia="ja-JP"/>
        </w:rPr>
        <w:t>EURBCEAO1W</w:t>
      </w:r>
      <w:r>
        <w:rPr>
          <w:rFonts w:cstheme="majorBidi"/>
          <w:b/>
          <w:bCs/>
          <w:lang w:eastAsia="ja-JP"/>
        </w:rPr>
        <w:t xml:space="preserve">. En effet, cet index subit des changements de base complexes que PASS-ALM ne reproduit pas. Cependant, à partir du T1 2024, ce changement de base sera éliminé par RCO et cette différence de MNI </w:t>
      </w:r>
      <w:r w:rsidR="003948F7">
        <w:rPr>
          <w:rFonts w:cstheme="majorBidi"/>
          <w:b/>
          <w:bCs/>
          <w:lang w:eastAsia="ja-JP"/>
        </w:rPr>
        <w:t>d</w:t>
      </w:r>
      <w:r>
        <w:rPr>
          <w:rFonts w:cstheme="majorBidi"/>
          <w:b/>
          <w:bCs/>
          <w:lang w:eastAsia="ja-JP"/>
        </w:rPr>
        <w:t>evrait se résorber.</w:t>
      </w:r>
    </w:p>
    <w:p w14:paraId="13907EAB" w14:textId="518CD815" w:rsidR="006150DE" w:rsidRDefault="006150DE" w:rsidP="00D04756">
      <w:pPr>
        <w:jc w:val="both"/>
        <w:rPr>
          <w:rFonts w:cstheme="majorBidi"/>
          <w:lang w:eastAsia="ja-JP"/>
        </w:rPr>
      </w:pPr>
      <w:r w:rsidRPr="006150DE">
        <w:rPr>
          <w:rFonts w:cstheme="majorBidi"/>
          <w:lang w:eastAsia="ja-JP"/>
        </w:rPr>
        <w:t xml:space="preserve">Les résultats sans l’index EURBCEAO1W sur le </w:t>
      </w:r>
      <w:r>
        <w:rPr>
          <w:rFonts w:cstheme="majorBidi"/>
          <w:lang w:eastAsia="ja-JP"/>
        </w:rPr>
        <w:t>@</w:t>
      </w:r>
      <w:r w:rsidRPr="006150DE">
        <w:rPr>
          <w:rFonts w:cstheme="majorBidi"/>
          <w:lang w:eastAsia="ja-JP"/>
        </w:rPr>
        <w:t>FORWA</w:t>
      </w:r>
      <w:r>
        <w:rPr>
          <w:rFonts w:cstheme="majorBidi"/>
          <w:lang w:eastAsia="ja-JP"/>
        </w:rPr>
        <w:t>R</w:t>
      </w:r>
      <w:r w:rsidRPr="006150DE">
        <w:rPr>
          <w:rFonts w:cstheme="majorBidi"/>
          <w:lang w:eastAsia="ja-JP"/>
        </w:rPr>
        <w:t>D</w:t>
      </w:r>
      <w:r>
        <w:rPr>
          <w:rFonts w:cstheme="majorBidi"/>
          <w:lang w:eastAsia="ja-JP"/>
        </w:rPr>
        <w:t xml:space="preserve"> </w:t>
      </w:r>
      <w:r w:rsidR="003A112A">
        <w:rPr>
          <w:rFonts w:cstheme="majorBidi"/>
          <w:lang w:eastAsia="ja-JP"/>
        </w:rPr>
        <w:t>montrent</w:t>
      </w:r>
      <w:r w:rsidR="003879A9">
        <w:rPr>
          <w:rFonts w:cstheme="majorBidi"/>
          <w:lang w:eastAsia="ja-JP"/>
        </w:rPr>
        <w:t xml:space="preserve"> des écarts de MNI visiblement </w:t>
      </w:r>
      <w:r w:rsidR="00255160">
        <w:rPr>
          <w:rFonts w:cstheme="majorBidi"/>
          <w:lang w:eastAsia="ja-JP"/>
        </w:rPr>
        <w:t>résorbés :</w:t>
      </w:r>
    </w:p>
    <w:p w14:paraId="41DD1422" w14:textId="6F7DA25F" w:rsidR="006150DE" w:rsidRDefault="006150DE" w:rsidP="006150DE">
      <w:pPr>
        <w:jc w:val="both"/>
        <w:rPr>
          <w:rFonts w:cstheme="majorBidi"/>
          <w:lang w:eastAsia="ja-JP"/>
        </w:rPr>
      </w:pPr>
      <w:r w:rsidRPr="006150DE">
        <w:rPr>
          <w:noProof/>
        </w:rPr>
        <w:drawing>
          <wp:inline distT="0" distB="0" distL="0" distR="0" wp14:anchorId="36A70178" wp14:editId="54810B2C">
            <wp:extent cx="5760720" cy="1293495"/>
            <wp:effectExtent l="0" t="0" r="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93495"/>
                    </a:xfrm>
                    <a:prstGeom prst="rect">
                      <a:avLst/>
                    </a:prstGeom>
                    <a:noFill/>
                    <a:ln>
                      <a:noFill/>
                    </a:ln>
                  </pic:spPr>
                </pic:pic>
              </a:graphicData>
            </a:graphic>
          </wp:inline>
        </w:drawing>
      </w:r>
    </w:p>
    <w:p w14:paraId="41CAFC31" w14:textId="38886D73" w:rsidR="00F04EFC" w:rsidRDefault="00F04EFC" w:rsidP="006150DE">
      <w:pPr>
        <w:jc w:val="both"/>
        <w:rPr>
          <w:rFonts w:cstheme="majorBidi"/>
          <w:lang w:eastAsia="ja-JP"/>
        </w:rPr>
      </w:pPr>
    </w:p>
    <w:p w14:paraId="64DB93F1" w14:textId="56C7631C" w:rsidR="00FA4BA4" w:rsidRDefault="00FA4BA4" w:rsidP="006150DE">
      <w:pPr>
        <w:jc w:val="both"/>
        <w:rPr>
          <w:rFonts w:cstheme="majorBidi"/>
          <w:lang w:eastAsia="ja-JP"/>
        </w:rPr>
      </w:pPr>
    </w:p>
    <w:p w14:paraId="74782748" w14:textId="0BC4EBE8" w:rsidR="00F04EFC" w:rsidRDefault="00F04EFC" w:rsidP="00F04EFC">
      <w:pPr>
        <w:pStyle w:val="Titre2"/>
      </w:pPr>
      <w:r>
        <w:lastRenderedPageBreak/>
        <w:t>4.</w:t>
      </w:r>
      <w:r>
        <w:t>2</w:t>
      </w:r>
      <w:r>
        <w:t xml:space="preserve"> </w:t>
      </w:r>
      <w:r w:rsidRPr="00F04EFC">
        <w:t>Comparaison sur l</w:t>
      </w:r>
      <w:r w:rsidR="00FA4BA4">
        <w:t xml:space="preserve">e flux d’intérêts </w:t>
      </w:r>
      <w:r w:rsidRPr="00F04EFC">
        <w:t>TC</w:t>
      </w:r>
      <w:r>
        <w:t>I</w:t>
      </w:r>
    </w:p>
    <w:p w14:paraId="0BDFDA3A" w14:textId="63AC4DAA" w:rsidR="00FA4BA4" w:rsidRDefault="00FA4BA4" w:rsidP="00BE6526">
      <w:pPr>
        <w:jc w:val="both"/>
      </w:pPr>
      <w:r>
        <w:t>Les flux d’intérêts TCI sont utilisés dans l’exercice SOT-EVE, exercice présente un horizon de projection de 300 mois.</w:t>
      </w:r>
    </w:p>
    <w:p w14:paraId="55D24A29" w14:textId="30163220" w:rsidR="00FA4BA4" w:rsidRDefault="00FA4BA4" w:rsidP="00BE6526">
      <w:pPr>
        <w:jc w:val="both"/>
      </w:pPr>
      <w:r>
        <w:t>Pour le stock, nous disposons bien d’une base de comparaison de 300 mois :</w:t>
      </w:r>
    </w:p>
    <w:p w14:paraId="1A2E2D3B" w14:textId="58662081" w:rsidR="00FA4BA4" w:rsidRDefault="00FA4BA4" w:rsidP="00BE6526">
      <w:pPr>
        <w:jc w:val="both"/>
      </w:pPr>
    </w:p>
    <w:p w14:paraId="60F9E09C" w14:textId="4592C9EB" w:rsidR="00FA4BA4" w:rsidRDefault="00FA4BA4" w:rsidP="00BE6526">
      <w:pPr>
        <w:jc w:val="both"/>
      </w:pPr>
      <w:r w:rsidRPr="00FA4BA4">
        <w:rPr>
          <w:noProof/>
        </w:rPr>
        <w:drawing>
          <wp:inline distT="0" distB="0" distL="0" distR="0" wp14:anchorId="386800AF" wp14:editId="5D1F856A">
            <wp:extent cx="6264322" cy="647700"/>
            <wp:effectExtent l="0" t="0" r="317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5794" cy="648886"/>
                    </a:xfrm>
                    <a:prstGeom prst="rect">
                      <a:avLst/>
                    </a:prstGeom>
                    <a:noFill/>
                    <a:ln>
                      <a:noFill/>
                    </a:ln>
                  </pic:spPr>
                </pic:pic>
              </a:graphicData>
            </a:graphic>
          </wp:inline>
        </w:drawing>
      </w:r>
    </w:p>
    <w:p w14:paraId="0F198CD8" w14:textId="3F1E1AB1" w:rsidR="00FA4BA4" w:rsidRDefault="00015AF2" w:rsidP="00BE6526">
      <w:pPr>
        <w:jc w:val="both"/>
      </w:pPr>
      <w:r>
        <w:t xml:space="preserve">Les résultats présentent des </w:t>
      </w:r>
      <w:r>
        <w:t xml:space="preserve">absolus </w:t>
      </w:r>
      <w:r>
        <w:t>inférieurs 0,1% sur l’ensemble des années considérées.</w:t>
      </w:r>
    </w:p>
    <w:p w14:paraId="27285F0C" w14:textId="7AB5786C" w:rsidR="00BE6526" w:rsidRDefault="00FA4BA4" w:rsidP="00BE6526">
      <w:pPr>
        <w:jc w:val="both"/>
      </w:pPr>
      <w:r>
        <w:t>Sur la PN, on doit se limiter à 60 mois :</w:t>
      </w:r>
    </w:p>
    <w:p w14:paraId="5C8FBD31" w14:textId="4EDEE78E" w:rsidR="00FA4BA4" w:rsidRDefault="00FA4BA4" w:rsidP="00BE6526">
      <w:pPr>
        <w:jc w:val="both"/>
      </w:pPr>
      <w:r w:rsidRPr="00FA4BA4">
        <w:rPr>
          <w:noProof/>
        </w:rPr>
        <w:drawing>
          <wp:inline distT="0" distB="0" distL="0" distR="0" wp14:anchorId="674B0A73" wp14:editId="1978EB13">
            <wp:extent cx="5607050" cy="95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952500"/>
                    </a:xfrm>
                    <a:prstGeom prst="rect">
                      <a:avLst/>
                    </a:prstGeom>
                    <a:noFill/>
                    <a:ln>
                      <a:noFill/>
                    </a:ln>
                  </pic:spPr>
                </pic:pic>
              </a:graphicData>
            </a:graphic>
          </wp:inline>
        </w:drawing>
      </w:r>
    </w:p>
    <w:p w14:paraId="1928AE00" w14:textId="24FCEB6B" w:rsidR="00015AF2" w:rsidRDefault="00015AF2" w:rsidP="00015AF2">
      <w:pPr>
        <w:jc w:val="both"/>
      </w:pPr>
      <w:r>
        <w:t xml:space="preserve">Les résultats présentent des écarts </w:t>
      </w:r>
      <w:r>
        <w:t>absolus inférieurs à</w:t>
      </w:r>
      <w:r>
        <w:t xml:space="preserve"> 0,</w:t>
      </w:r>
      <w:r>
        <w:t>06</w:t>
      </w:r>
      <w:r>
        <w:t>% sur l’ensemble des années considérées.</w:t>
      </w:r>
    </w:p>
    <w:p w14:paraId="09A11E0C" w14:textId="77777777" w:rsidR="00BE6526" w:rsidRDefault="00BE6526" w:rsidP="00BE6526">
      <w:pPr>
        <w:jc w:val="both"/>
      </w:pPr>
    </w:p>
    <w:p w14:paraId="5D148594" w14:textId="485679B8" w:rsidR="00F04EFC" w:rsidRDefault="00DE05D2" w:rsidP="00BE6526">
      <w:pPr>
        <w:jc w:val="both"/>
      </w:pPr>
      <w:r w:rsidRPr="00BE6526">
        <w:rPr>
          <w:b/>
          <w:bCs/>
        </w:rPr>
        <w:t xml:space="preserve">Nous avons également </w:t>
      </w:r>
      <w:r w:rsidR="00BE6526" w:rsidRPr="00BE6526">
        <w:rPr>
          <w:b/>
          <w:bCs/>
        </w:rPr>
        <w:t>comparé</w:t>
      </w:r>
      <w:r w:rsidRPr="00BE6526">
        <w:rPr>
          <w:b/>
          <w:bCs/>
        </w:rPr>
        <w:t xml:space="preserve"> nos résultats sur le scénario FORWARD +200BPS </w:t>
      </w:r>
      <w:r w:rsidR="00BE6526" w:rsidRPr="00BE6526">
        <w:rPr>
          <w:b/>
          <w:bCs/>
        </w:rPr>
        <w:t>et</w:t>
      </w:r>
      <w:r w:rsidRPr="00BE6526">
        <w:rPr>
          <w:b/>
          <w:bCs/>
        </w:rPr>
        <w:t xml:space="preserve"> nous obtenons sensiblement </w:t>
      </w:r>
      <w:r w:rsidR="00BE6526" w:rsidRPr="00BE6526">
        <w:rPr>
          <w:b/>
          <w:bCs/>
        </w:rPr>
        <w:t>les mêmes résultats</w:t>
      </w:r>
      <w:r w:rsidRPr="00BE6526">
        <w:rPr>
          <w:b/>
          <w:bCs/>
        </w:rPr>
        <w:t xml:space="preserve"> qu</w:t>
      </w:r>
      <w:r w:rsidR="00BE6526" w:rsidRPr="00BE6526">
        <w:rPr>
          <w:b/>
          <w:bCs/>
        </w:rPr>
        <w:t>’</w:t>
      </w:r>
      <w:r w:rsidRPr="00BE6526">
        <w:rPr>
          <w:b/>
          <w:bCs/>
        </w:rPr>
        <w:t>RCO à l’exception du contrat P-RSLT-FORM</w:t>
      </w:r>
      <w:r w:rsidR="009D456D" w:rsidRPr="00BE6526">
        <w:rPr>
          <w:b/>
          <w:bCs/>
        </w:rPr>
        <w:t>. Les paramètres d</w:t>
      </w:r>
      <w:r w:rsidR="00BE6526" w:rsidRPr="00BE6526">
        <w:rPr>
          <w:b/>
          <w:bCs/>
        </w:rPr>
        <w:t>e</w:t>
      </w:r>
      <w:r w:rsidR="009D456D" w:rsidRPr="00BE6526">
        <w:rPr>
          <w:b/>
          <w:bCs/>
        </w:rPr>
        <w:t xml:space="preserve"> modélisation </w:t>
      </w:r>
      <w:r w:rsidR="00BE6526" w:rsidRPr="00BE6526">
        <w:rPr>
          <w:b/>
          <w:bCs/>
        </w:rPr>
        <w:t xml:space="preserve">du TCI </w:t>
      </w:r>
      <w:r w:rsidR="009D456D" w:rsidRPr="00BE6526">
        <w:rPr>
          <w:b/>
          <w:bCs/>
        </w:rPr>
        <w:t xml:space="preserve">sur ce contrat </w:t>
      </w:r>
      <w:r w:rsidR="00FA4BA4" w:rsidRPr="00BE6526">
        <w:rPr>
          <w:b/>
          <w:bCs/>
        </w:rPr>
        <w:t>prévoient</w:t>
      </w:r>
      <w:r w:rsidR="009D456D" w:rsidRPr="00BE6526">
        <w:rPr>
          <w:b/>
          <w:bCs/>
        </w:rPr>
        <w:t xml:space="preserve"> seulement un TCI FIXE </w:t>
      </w:r>
      <w:r w:rsidR="00BE6526" w:rsidRPr="00BE6526">
        <w:rPr>
          <w:b/>
          <w:bCs/>
        </w:rPr>
        <w:t>indexé</w:t>
      </w:r>
      <w:r w:rsidR="009D456D" w:rsidRPr="00BE6526">
        <w:rPr>
          <w:b/>
          <w:bCs/>
        </w:rPr>
        <w:t xml:space="preserve"> sur EURFDR. Dès lors il ne saurait y avoir de différence entre la MNI TCI en FO</w:t>
      </w:r>
      <w:r w:rsidR="00BE6526" w:rsidRPr="00BE6526">
        <w:rPr>
          <w:b/>
          <w:bCs/>
        </w:rPr>
        <w:t>R</w:t>
      </w:r>
      <w:r w:rsidR="009D456D" w:rsidRPr="00BE6526">
        <w:rPr>
          <w:b/>
          <w:bCs/>
        </w:rPr>
        <w:t xml:space="preserve">WARD et en </w:t>
      </w:r>
      <w:r w:rsidR="009D456D" w:rsidRPr="00BE6526">
        <w:rPr>
          <w:b/>
          <w:bCs/>
        </w:rPr>
        <w:t>FORWARD +200BPS</w:t>
      </w:r>
      <w:r w:rsidR="009D456D" w:rsidRPr="00BE6526">
        <w:rPr>
          <w:b/>
          <w:bCs/>
        </w:rPr>
        <w:t xml:space="preserve">. RCO affiche néanmoins une hausse de la MNI TCI, ce qui </w:t>
      </w:r>
      <w:r w:rsidR="00BE6526" w:rsidRPr="00BE6526">
        <w:rPr>
          <w:b/>
          <w:bCs/>
        </w:rPr>
        <w:t>constitue</w:t>
      </w:r>
      <w:r w:rsidR="009D456D" w:rsidRPr="00BE6526">
        <w:rPr>
          <w:b/>
          <w:bCs/>
        </w:rPr>
        <w:t xml:space="preserve"> une erreur. Ce problème est en cours d’investigation par l’équipe INDICATEURS</w:t>
      </w:r>
      <w:r w:rsidR="009D456D">
        <w:t>.</w:t>
      </w:r>
    </w:p>
    <w:p w14:paraId="1F7D0C42" w14:textId="77777777" w:rsidR="00F04EFC" w:rsidRPr="00F04EFC" w:rsidRDefault="00F04EFC" w:rsidP="00F04EFC">
      <w:pPr>
        <w:pStyle w:val="Titre2"/>
      </w:pPr>
    </w:p>
    <w:p w14:paraId="763BF021" w14:textId="77777777" w:rsidR="00F04EFC" w:rsidRPr="006150DE" w:rsidRDefault="00F04EFC" w:rsidP="006150DE">
      <w:pPr>
        <w:jc w:val="both"/>
        <w:rPr>
          <w:rFonts w:cstheme="majorBidi"/>
          <w:lang w:eastAsia="ja-JP"/>
        </w:rPr>
      </w:pPr>
    </w:p>
    <w:sectPr w:rsidR="00F04EFC" w:rsidRPr="006150DE" w:rsidSect="009875EA">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1B4E" w14:textId="77777777" w:rsidR="002F5A5D" w:rsidRDefault="002F5A5D" w:rsidP="00257EFF">
      <w:pPr>
        <w:spacing w:after="0" w:line="240" w:lineRule="auto"/>
      </w:pPr>
      <w:r>
        <w:separator/>
      </w:r>
    </w:p>
  </w:endnote>
  <w:endnote w:type="continuationSeparator" w:id="0">
    <w:p w14:paraId="31FBBB94" w14:textId="77777777" w:rsidR="002F5A5D" w:rsidRDefault="002F5A5D"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EFA5" w14:textId="77777777" w:rsidR="002F5A5D" w:rsidRDefault="002F5A5D" w:rsidP="00257EFF">
      <w:pPr>
        <w:spacing w:after="0" w:line="240" w:lineRule="auto"/>
      </w:pPr>
      <w:r>
        <w:separator/>
      </w:r>
    </w:p>
  </w:footnote>
  <w:footnote w:type="continuationSeparator" w:id="0">
    <w:p w14:paraId="34A5B74C" w14:textId="77777777" w:rsidR="002F5A5D" w:rsidRDefault="002F5A5D" w:rsidP="0025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04ECD295" w:rsidR="006B6285" w:rsidRDefault="009875EA" w:rsidP="009875EA">
    <w:pPr>
      <w:pStyle w:val="En-tte"/>
      <w:rPr>
        <w:sz w:val="16"/>
        <w:szCs w:val="16"/>
      </w:rPr>
    </w:pPr>
    <w:r>
      <w:rPr>
        <w:sz w:val="16"/>
        <w:szCs w:val="16"/>
      </w:rPr>
      <w:t xml:space="preserve">Version 1 – </w:t>
    </w:r>
    <w:r w:rsidR="00C655EC">
      <w:rPr>
        <w:sz w:val="16"/>
        <w:szCs w:val="16"/>
      </w:rPr>
      <w:t>JUILLET</w:t>
    </w:r>
    <w:r>
      <w:rPr>
        <w:sz w:val="16"/>
        <w:szCs w:val="16"/>
      </w:rPr>
      <w:t xml:space="preserve"> 202</w:t>
    </w:r>
    <w:r w:rsidR="00C655EC">
      <w:rPr>
        <w:sz w:val="16"/>
        <w:szCs w:val="16"/>
      </w:rPr>
      <w:t>4</w:t>
    </w:r>
  </w:p>
  <w:p w14:paraId="419E23DC" w14:textId="39C1940A" w:rsidR="009875EA" w:rsidRPr="007F0D66" w:rsidRDefault="006B6285" w:rsidP="009875EA">
    <w:pPr>
      <w:pStyle w:val="En-tte"/>
      <w:rPr>
        <w:sz w:val="16"/>
        <w:szCs w:val="16"/>
      </w:rPr>
    </w:pPr>
    <w:r>
      <w:rPr>
        <w:sz w:val="16"/>
        <w:szCs w:val="16"/>
      </w:rPr>
      <w:t>Auteur : 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779"/>
    <w:multiLevelType w:val="hybridMultilevel"/>
    <w:tmpl w:val="6C58E230"/>
    <w:lvl w:ilvl="0" w:tplc="C8FE4A78">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37306"/>
    <w:multiLevelType w:val="hybridMultilevel"/>
    <w:tmpl w:val="0420B33C"/>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CBA4FA8"/>
    <w:multiLevelType w:val="hybridMultilevel"/>
    <w:tmpl w:val="0E9CE6C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36F9D"/>
    <w:multiLevelType w:val="hybridMultilevel"/>
    <w:tmpl w:val="71EAC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046F98"/>
    <w:multiLevelType w:val="hybridMultilevel"/>
    <w:tmpl w:val="B7E4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4F6F81"/>
    <w:multiLevelType w:val="hybridMultilevel"/>
    <w:tmpl w:val="7C2AF6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7E2B2A"/>
    <w:multiLevelType w:val="hybridMultilevel"/>
    <w:tmpl w:val="8B34B3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4"/>
  </w:num>
  <w:num w:numId="3">
    <w:abstractNumId w:val="9"/>
  </w:num>
  <w:num w:numId="4">
    <w:abstractNumId w:val="2"/>
  </w:num>
  <w:num w:numId="5">
    <w:abstractNumId w:val="6"/>
  </w:num>
  <w:num w:numId="6">
    <w:abstractNumId w:val="7"/>
  </w:num>
  <w:num w:numId="7">
    <w:abstractNumId w:val="13"/>
  </w:num>
  <w:num w:numId="8">
    <w:abstractNumId w:val="11"/>
  </w:num>
  <w:num w:numId="9">
    <w:abstractNumId w:val="5"/>
  </w:num>
  <w:num w:numId="10">
    <w:abstractNumId w:val="1"/>
  </w:num>
  <w:num w:numId="11">
    <w:abstractNumId w:val="3"/>
  </w:num>
  <w:num w:numId="12">
    <w:abstractNumId w:val="0"/>
  </w:num>
  <w:num w:numId="13">
    <w:abstractNumId w:val="8"/>
  </w:num>
  <w:num w:numId="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008DC"/>
    <w:rsid w:val="00004E5A"/>
    <w:rsid w:val="00006309"/>
    <w:rsid w:val="000063A0"/>
    <w:rsid w:val="00006CCC"/>
    <w:rsid w:val="00010605"/>
    <w:rsid w:val="00010762"/>
    <w:rsid w:val="00015AF2"/>
    <w:rsid w:val="00023667"/>
    <w:rsid w:val="00023A21"/>
    <w:rsid w:val="00024E2B"/>
    <w:rsid w:val="00025A49"/>
    <w:rsid w:val="00025BEC"/>
    <w:rsid w:val="000360BB"/>
    <w:rsid w:val="000379D8"/>
    <w:rsid w:val="00041E3D"/>
    <w:rsid w:val="0004659E"/>
    <w:rsid w:val="00060EE4"/>
    <w:rsid w:val="000614EB"/>
    <w:rsid w:val="00065DF5"/>
    <w:rsid w:val="000676D5"/>
    <w:rsid w:val="00072973"/>
    <w:rsid w:val="0007309E"/>
    <w:rsid w:val="00074AF2"/>
    <w:rsid w:val="00075F61"/>
    <w:rsid w:val="0008095F"/>
    <w:rsid w:val="0008405F"/>
    <w:rsid w:val="00084B15"/>
    <w:rsid w:val="000902B5"/>
    <w:rsid w:val="00090BB8"/>
    <w:rsid w:val="00091759"/>
    <w:rsid w:val="0009341C"/>
    <w:rsid w:val="000961FF"/>
    <w:rsid w:val="00096BE1"/>
    <w:rsid w:val="000A3192"/>
    <w:rsid w:val="000A446D"/>
    <w:rsid w:val="000A732D"/>
    <w:rsid w:val="000B0055"/>
    <w:rsid w:val="000B15BE"/>
    <w:rsid w:val="000B1F3B"/>
    <w:rsid w:val="000B2D53"/>
    <w:rsid w:val="000B30FA"/>
    <w:rsid w:val="000B748B"/>
    <w:rsid w:val="000C03C4"/>
    <w:rsid w:val="000C10E9"/>
    <w:rsid w:val="000C4731"/>
    <w:rsid w:val="000C723D"/>
    <w:rsid w:val="000C7695"/>
    <w:rsid w:val="000D331B"/>
    <w:rsid w:val="000D5EB1"/>
    <w:rsid w:val="000D77BB"/>
    <w:rsid w:val="000E0A9F"/>
    <w:rsid w:val="000E0CCB"/>
    <w:rsid w:val="000E14EB"/>
    <w:rsid w:val="000E1AA2"/>
    <w:rsid w:val="000E455D"/>
    <w:rsid w:val="000E6928"/>
    <w:rsid w:val="000F3F99"/>
    <w:rsid w:val="00101678"/>
    <w:rsid w:val="0010605E"/>
    <w:rsid w:val="00111625"/>
    <w:rsid w:val="0011243C"/>
    <w:rsid w:val="00112CFA"/>
    <w:rsid w:val="00114CA2"/>
    <w:rsid w:val="001170B1"/>
    <w:rsid w:val="001176AD"/>
    <w:rsid w:val="001201CB"/>
    <w:rsid w:val="00120D6E"/>
    <w:rsid w:val="00127F36"/>
    <w:rsid w:val="0013120C"/>
    <w:rsid w:val="0013498D"/>
    <w:rsid w:val="001366F5"/>
    <w:rsid w:val="00140FB1"/>
    <w:rsid w:val="00146490"/>
    <w:rsid w:val="00150BDF"/>
    <w:rsid w:val="00152B5B"/>
    <w:rsid w:val="00152DFF"/>
    <w:rsid w:val="00155564"/>
    <w:rsid w:val="00162248"/>
    <w:rsid w:val="0016255F"/>
    <w:rsid w:val="0016599A"/>
    <w:rsid w:val="00165B16"/>
    <w:rsid w:val="00173E08"/>
    <w:rsid w:val="001816D4"/>
    <w:rsid w:val="0018696B"/>
    <w:rsid w:val="00192B6C"/>
    <w:rsid w:val="001948AA"/>
    <w:rsid w:val="00194F11"/>
    <w:rsid w:val="00196BA9"/>
    <w:rsid w:val="001A05A8"/>
    <w:rsid w:val="001B3542"/>
    <w:rsid w:val="001B38B6"/>
    <w:rsid w:val="001B48BD"/>
    <w:rsid w:val="001C234C"/>
    <w:rsid w:val="001C27ED"/>
    <w:rsid w:val="001C5AB9"/>
    <w:rsid w:val="001C6191"/>
    <w:rsid w:val="001C7829"/>
    <w:rsid w:val="001D35FF"/>
    <w:rsid w:val="001D3D3D"/>
    <w:rsid w:val="001D6F71"/>
    <w:rsid w:val="001F0B84"/>
    <w:rsid w:val="001F2E4C"/>
    <w:rsid w:val="00202A51"/>
    <w:rsid w:val="00202F3B"/>
    <w:rsid w:val="0020348A"/>
    <w:rsid w:val="00204BBD"/>
    <w:rsid w:val="00206722"/>
    <w:rsid w:val="00212CA2"/>
    <w:rsid w:val="00213702"/>
    <w:rsid w:val="00217104"/>
    <w:rsid w:val="00220D7D"/>
    <w:rsid w:val="00221D3B"/>
    <w:rsid w:val="00225833"/>
    <w:rsid w:val="0023087D"/>
    <w:rsid w:val="00233D94"/>
    <w:rsid w:val="002348A7"/>
    <w:rsid w:val="0023661E"/>
    <w:rsid w:val="00241997"/>
    <w:rsid w:val="00241FD5"/>
    <w:rsid w:val="002453B3"/>
    <w:rsid w:val="00252F6B"/>
    <w:rsid w:val="00253948"/>
    <w:rsid w:val="00255160"/>
    <w:rsid w:val="002572F2"/>
    <w:rsid w:val="00257EFF"/>
    <w:rsid w:val="00262211"/>
    <w:rsid w:val="0027646F"/>
    <w:rsid w:val="002769E4"/>
    <w:rsid w:val="002774E8"/>
    <w:rsid w:val="00280DF3"/>
    <w:rsid w:val="00281766"/>
    <w:rsid w:val="00281848"/>
    <w:rsid w:val="00282BC3"/>
    <w:rsid w:val="00283DE0"/>
    <w:rsid w:val="00286CE2"/>
    <w:rsid w:val="00287D31"/>
    <w:rsid w:val="00291207"/>
    <w:rsid w:val="002920BC"/>
    <w:rsid w:val="00294F21"/>
    <w:rsid w:val="00297406"/>
    <w:rsid w:val="00297CD3"/>
    <w:rsid w:val="002A2DD2"/>
    <w:rsid w:val="002A558A"/>
    <w:rsid w:val="002A6740"/>
    <w:rsid w:val="002B422F"/>
    <w:rsid w:val="002B71B3"/>
    <w:rsid w:val="002C4026"/>
    <w:rsid w:val="002C5DDF"/>
    <w:rsid w:val="002D0991"/>
    <w:rsid w:val="002D1EBC"/>
    <w:rsid w:val="002D4382"/>
    <w:rsid w:val="002D475D"/>
    <w:rsid w:val="002D5781"/>
    <w:rsid w:val="002D7FA2"/>
    <w:rsid w:val="002E534F"/>
    <w:rsid w:val="002F08CF"/>
    <w:rsid w:val="002F0EEA"/>
    <w:rsid w:val="002F4ECE"/>
    <w:rsid w:val="002F5A5D"/>
    <w:rsid w:val="0030034B"/>
    <w:rsid w:val="0031211C"/>
    <w:rsid w:val="003132DC"/>
    <w:rsid w:val="003155AA"/>
    <w:rsid w:val="00323B13"/>
    <w:rsid w:val="003257CF"/>
    <w:rsid w:val="0032639F"/>
    <w:rsid w:val="00332BA5"/>
    <w:rsid w:val="00333E49"/>
    <w:rsid w:val="00341D89"/>
    <w:rsid w:val="003421D0"/>
    <w:rsid w:val="00342E5C"/>
    <w:rsid w:val="00343384"/>
    <w:rsid w:val="003433F5"/>
    <w:rsid w:val="00346B8C"/>
    <w:rsid w:val="00347830"/>
    <w:rsid w:val="003506C7"/>
    <w:rsid w:val="003520BE"/>
    <w:rsid w:val="00354A0E"/>
    <w:rsid w:val="0035643C"/>
    <w:rsid w:val="00356851"/>
    <w:rsid w:val="00360CDD"/>
    <w:rsid w:val="00363F01"/>
    <w:rsid w:val="00364E83"/>
    <w:rsid w:val="00365ACE"/>
    <w:rsid w:val="003705C3"/>
    <w:rsid w:val="003722BB"/>
    <w:rsid w:val="003730B6"/>
    <w:rsid w:val="00373BD1"/>
    <w:rsid w:val="0037563F"/>
    <w:rsid w:val="00377907"/>
    <w:rsid w:val="00380D4D"/>
    <w:rsid w:val="00381075"/>
    <w:rsid w:val="00382817"/>
    <w:rsid w:val="00383069"/>
    <w:rsid w:val="00383455"/>
    <w:rsid w:val="00386041"/>
    <w:rsid w:val="003879A9"/>
    <w:rsid w:val="00391C01"/>
    <w:rsid w:val="00393543"/>
    <w:rsid w:val="00393590"/>
    <w:rsid w:val="003946BA"/>
    <w:rsid w:val="003948F7"/>
    <w:rsid w:val="003A112A"/>
    <w:rsid w:val="003A19D7"/>
    <w:rsid w:val="003A1CC2"/>
    <w:rsid w:val="003A7E4A"/>
    <w:rsid w:val="003C4028"/>
    <w:rsid w:val="003C52B8"/>
    <w:rsid w:val="003D3D64"/>
    <w:rsid w:val="003D6046"/>
    <w:rsid w:val="003D60D0"/>
    <w:rsid w:val="003E065C"/>
    <w:rsid w:val="003E328A"/>
    <w:rsid w:val="003E57FC"/>
    <w:rsid w:val="003E6F4C"/>
    <w:rsid w:val="003E7672"/>
    <w:rsid w:val="003F254F"/>
    <w:rsid w:val="003F2791"/>
    <w:rsid w:val="003F54FA"/>
    <w:rsid w:val="003F766E"/>
    <w:rsid w:val="004018F7"/>
    <w:rsid w:val="004023F3"/>
    <w:rsid w:val="004066D8"/>
    <w:rsid w:val="0041712C"/>
    <w:rsid w:val="0042155F"/>
    <w:rsid w:val="00421DB0"/>
    <w:rsid w:val="00424EC6"/>
    <w:rsid w:val="004255E9"/>
    <w:rsid w:val="004259BB"/>
    <w:rsid w:val="0043222E"/>
    <w:rsid w:val="00433236"/>
    <w:rsid w:val="00443384"/>
    <w:rsid w:val="00443915"/>
    <w:rsid w:val="00445A40"/>
    <w:rsid w:val="00446BCD"/>
    <w:rsid w:val="00454F38"/>
    <w:rsid w:val="0045524A"/>
    <w:rsid w:val="004761AC"/>
    <w:rsid w:val="00477A55"/>
    <w:rsid w:val="004808B9"/>
    <w:rsid w:val="004808E3"/>
    <w:rsid w:val="00482B89"/>
    <w:rsid w:val="0048430D"/>
    <w:rsid w:val="00484CF8"/>
    <w:rsid w:val="00490E8F"/>
    <w:rsid w:val="00497390"/>
    <w:rsid w:val="004A37A0"/>
    <w:rsid w:val="004A385B"/>
    <w:rsid w:val="004A432B"/>
    <w:rsid w:val="004A5104"/>
    <w:rsid w:val="004B0C17"/>
    <w:rsid w:val="004B2E06"/>
    <w:rsid w:val="004B65BB"/>
    <w:rsid w:val="004C5AA5"/>
    <w:rsid w:val="004C618D"/>
    <w:rsid w:val="004C753F"/>
    <w:rsid w:val="004D1E7C"/>
    <w:rsid w:val="004D34BF"/>
    <w:rsid w:val="004D48A1"/>
    <w:rsid w:val="004D50EB"/>
    <w:rsid w:val="004D54EC"/>
    <w:rsid w:val="004D69FB"/>
    <w:rsid w:val="004D73F8"/>
    <w:rsid w:val="004E331A"/>
    <w:rsid w:val="004F0D03"/>
    <w:rsid w:val="004F292B"/>
    <w:rsid w:val="004F46C2"/>
    <w:rsid w:val="00500321"/>
    <w:rsid w:val="005026B6"/>
    <w:rsid w:val="00502985"/>
    <w:rsid w:val="00502AC4"/>
    <w:rsid w:val="00506E83"/>
    <w:rsid w:val="00511077"/>
    <w:rsid w:val="005138DC"/>
    <w:rsid w:val="00513DDD"/>
    <w:rsid w:val="00515DC7"/>
    <w:rsid w:val="0051672D"/>
    <w:rsid w:val="005241E7"/>
    <w:rsid w:val="005277DF"/>
    <w:rsid w:val="005307D9"/>
    <w:rsid w:val="0053263B"/>
    <w:rsid w:val="0053335E"/>
    <w:rsid w:val="00540379"/>
    <w:rsid w:val="00543450"/>
    <w:rsid w:val="00544654"/>
    <w:rsid w:val="00547A94"/>
    <w:rsid w:val="0055303E"/>
    <w:rsid w:val="00553378"/>
    <w:rsid w:val="00555EEB"/>
    <w:rsid w:val="00562D80"/>
    <w:rsid w:val="00563285"/>
    <w:rsid w:val="005659CB"/>
    <w:rsid w:val="00565B68"/>
    <w:rsid w:val="00565DA7"/>
    <w:rsid w:val="00567068"/>
    <w:rsid w:val="00570718"/>
    <w:rsid w:val="00570C84"/>
    <w:rsid w:val="00574E5C"/>
    <w:rsid w:val="00582100"/>
    <w:rsid w:val="00587553"/>
    <w:rsid w:val="00587820"/>
    <w:rsid w:val="00587E8E"/>
    <w:rsid w:val="00591E1D"/>
    <w:rsid w:val="00592B04"/>
    <w:rsid w:val="005A1913"/>
    <w:rsid w:val="005A68F0"/>
    <w:rsid w:val="005B04FB"/>
    <w:rsid w:val="005B0EBA"/>
    <w:rsid w:val="005B361B"/>
    <w:rsid w:val="005B5626"/>
    <w:rsid w:val="005B7E2C"/>
    <w:rsid w:val="005C28E7"/>
    <w:rsid w:val="005C4F1A"/>
    <w:rsid w:val="005C5E35"/>
    <w:rsid w:val="005D2CC8"/>
    <w:rsid w:val="005D4BA0"/>
    <w:rsid w:val="005D573A"/>
    <w:rsid w:val="005D713F"/>
    <w:rsid w:val="005F257D"/>
    <w:rsid w:val="005F4945"/>
    <w:rsid w:val="005F76FF"/>
    <w:rsid w:val="005F7D4A"/>
    <w:rsid w:val="00601244"/>
    <w:rsid w:val="00604D7B"/>
    <w:rsid w:val="006150DE"/>
    <w:rsid w:val="00622A55"/>
    <w:rsid w:val="00622C6A"/>
    <w:rsid w:val="00623522"/>
    <w:rsid w:val="00624CE8"/>
    <w:rsid w:val="006269B4"/>
    <w:rsid w:val="00627088"/>
    <w:rsid w:val="0063090D"/>
    <w:rsid w:val="00630928"/>
    <w:rsid w:val="0063140D"/>
    <w:rsid w:val="006322ED"/>
    <w:rsid w:val="00633FC8"/>
    <w:rsid w:val="00637109"/>
    <w:rsid w:val="006400C5"/>
    <w:rsid w:val="00642691"/>
    <w:rsid w:val="0064324D"/>
    <w:rsid w:val="006441F4"/>
    <w:rsid w:val="00646821"/>
    <w:rsid w:val="00646E5B"/>
    <w:rsid w:val="006504AE"/>
    <w:rsid w:val="006528F9"/>
    <w:rsid w:val="006552B7"/>
    <w:rsid w:val="00655A1C"/>
    <w:rsid w:val="006603CD"/>
    <w:rsid w:val="0066566E"/>
    <w:rsid w:val="00671F6F"/>
    <w:rsid w:val="00674267"/>
    <w:rsid w:val="0067560B"/>
    <w:rsid w:val="0067600F"/>
    <w:rsid w:val="006771E7"/>
    <w:rsid w:val="00677FD8"/>
    <w:rsid w:val="0068113D"/>
    <w:rsid w:val="006834D1"/>
    <w:rsid w:val="00684D08"/>
    <w:rsid w:val="00685DB5"/>
    <w:rsid w:val="006860F4"/>
    <w:rsid w:val="00691343"/>
    <w:rsid w:val="00691821"/>
    <w:rsid w:val="00696496"/>
    <w:rsid w:val="00696906"/>
    <w:rsid w:val="006A3877"/>
    <w:rsid w:val="006A3C1B"/>
    <w:rsid w:val="006B032C"/>
    <w:rsid w:val="006B1FD1"/>
    <w:rsid w:val="006B287D"/>
    <w:rsid w:val="006B38F4"/>
    <w:rsid w:val="006B3B47"/>
    <w:rsid w:val="006B4F57"/>
    <w:rsid w:val="006B5095"/>
    <w:rsid w:val="006B6285"/>
    <w:rsid w:val="006B7414"/>
    <w:rsid w:val="006B798B"/>
    <w:rsid w:val="006C38B2"/>
    <w:rsid w:val="006C4A5C"/>
    <w:rsid w:val="006C4B6D"/>
    <w:rsid w:val="006C58B2"/>
    <w:rsid w:val="006D1265"/>
    <w:rsid w:val="006D5672"/>
    <w:rsid w:val="006D6718"/>
    <w:rsid w:val="006D72BC"/>
    <w:rsid w:val="006E179E"/>
    <w:rsid w:val="006E3B1D"/>
    <w:rsid w:val="006F223B"/>
    <w:rsid w:val="00700C61"/>
    <w:rsid w:val="007016D6"/>
    <w:rsid w:val="007023F4"/>
    <w:rsid w:val="0070282A"/>
    <w:rsid w:val="00711ABB"/>
    <w:rsid w:val="0071245C"/>
    <w:rsid w:val="00712CF1"/>
    <w:rsid w:val="00713C0C"/>
    <w:rsid w:val="0072090C"/>
    <w:rsid w:val="00721322"/>
    <w:rsid w:val="00723E5A"/>
    <w:rsid w:val="00724F27"/>
    <w:rsid w:val="00725CF9"/>
    <w:rsid w:val="00726351"/>
    <w:rsid w:val="007270ED"/>
    <w:rsid w:val="0072722B"/>
    <w:rsid w:val="00730D99"/>
    <w:rsid w:val="00730E63"/>
    <w:rsid w:val="007366D6"/>
    <w:rsid w:val="007367E9"/>
    <w:rsid w:val="00741CFC"/>
    <w:rsid w:val="0074317E"/>
    <w:rsid w:val="00747EDA"/>
    <w:rsid w:val="00750C18"/>
    <w:rsid w:val="00753D77"/>
    <w:rsid w:val="007567E3"/>
    <w:rsid w:val="00757358"/>
    <w:rsid w:val="00760F1A"/>
    <w:rsid w:val="00764479"/>
    <w:rsid w:val="00765F91"/>
    <w:rsid w:val="007677DA"/>
    <w:rsid w:val="00770091"/>
    <w:rsid w:val="00777DD4"/>
    <w:rsid w:val="00787A0E"/>
    <w:rsid w:val="00787DED"/>
    <w:rsid w:val="0079120C"/>
    <w:rsid w:val="007940F7"/>
    <w:rsid w:val="00796496"/>
    <w:rsid w:val="00797CE3"/>
    <w:rsid w:val="007A4574"/>
    <w:rsid w:val="007A6253"/>
    <w:rsid w:val="007A70DB"/>
    <w:rsid w:val="007A714C"/>
    <w:rsid w:val="007A7D41"/>
    <w:rsid w:val="007B3326"/>
    <w:rsid w:val="007B3E92"/>
    <w:rsid w:val="007B6D71"/>
    <w:rsid w:val="007C119D"/>
    <w:rsid w:val="007D5173"/>
    <w:rsid w:val="007E11AA"/>
    <w:rsid w:val="007E1917"/>
    <w:rsid w:val="007E1D58"/>
    <w:rsid w:val="007E2AF3"/>
    <w:rsid w:val="007E4652"/>
    <w:rsid w:val="007E612E"/>
    <w:rsid w:val="007E6B9B"/>
    <w:rsid w:val="007F5F09"/>
    <w:rsid w:val="007F6BEC"/>
    <w:rsid w:val="0080012A"/>
    <w:rsid w:val="00801842"/>
    <w:rsid w:val="00801FDA"/>
    <w:rsid w:val="00803545"/>
    <w:rsid w:val="0080630A"/>
    <w:rsid w:val="008066F1"/>
    <w:rsid w:val="008069AF"/>
    <w:rsid w:val="008140B8"/>
    <w:rsid w:val="00815556"/>
    <w:rsid w:val="00815D95"/>
    <w:rsid w:val="008172EC"/>
    <w:rsid w:val="00825103"/>
    <w:rsid w:val="00825C25"/>
    <w:rsid w:val="00825D85"/>
    <w:rsid w:val="00830E69"/>
    <w:rsid w:val="00831D83"/>
    <w:rsid w:val="00834937"/>
    <w:rsid w:val="00841B34"/>
    <w:rsid w:val="00843407"/>
    <w:rsid w:val="008556FD"/>
    <w:rsid w:val="00856E1E"/>
    <w:rsid w:val="00861D67"/>
    <w:rsid w:val="008658C4"/>
    <w:rsid w:val="008708FC"/>
    <w:rsid w:val="008723B5"/>
    <w:rsid w:val="0088238A"/>
    <w:rsid w:val="00886F47"/>
    <w:rsid w:val="0089720D"/>
    <w:rsid w:val="008A23E7"/>
    <w:rsid w:val="008A66AE"/>
    <w:rsid w:val="008B1E2D"/>
    <w:rsid w:val="008B22DC"/>
    <w:rsid w:val="008B4CF0"/>
    <w:rsid w:val="008B7652"/>
    <w:rsid w:val="008C2068"/>
    <w:rsid w:val="008C2797"/>
    <w:rsid w:val="008C57A6"/>
    <w:rsid w:val="008C5B6D"/>
    <w:rsid w:val="008D0377"/>
    <w:rsid w:val="008D48AF"/>
    <w:rsid w:val="008D4B70"/>
    <w:rsid w:val="008E3707"/>
    <w:rsid w:val="008E65B1"/>
    <w:rsid w:val="008F37FB"/>
    <w:rsid w:val="008F435D"/>
    <w:rsid w:val="008F49BC"/>
    <w:rsid w:val="008F5971"/>
    <w:rsid w:val="008F7B3B"/>
    <w:rsid w:val="008F7BDF"/>
    <w:rsid w:val="0090020C"/>
    <w:rsid w:val="009016EE"/>
    <w:rsid w:val="00902A14"/>
    <w:rsid w:val="009030F5"/>
    <w:rsid w:val="00907641"/>
    <w:rsid w:val="00914CDB"/>
    <w:rsid w:val="00915CBC"/>
    <w:rsid w:val="00921F07"/>
    <w:rsid w:val="00922574"/>
    <w:rsid w:val="00926E9C"/>
    <w:rsid w:val="009304DE"/>
    <w:rsid w:val="009311D0"/>
    <w:rsid w:val="00935B07"/>
    <w:rsid w:val="00936BEA"/>
    <w:rsid w:val="00940D48"/>
    <w:rsid w:val="009428D8"/>
    <w:rsid w:val="0094711F"/>
    <w:rsid w:val="0095275F"/>
    <w:rsid w:val="009612ED"/>
    <w:rsid w:val="00961B8B"/>
    <w:rsid w:val="00966897"/>
    <w:rsid w:val="00973631"/>
    <w:rsid w:val="00973A93"/>
    <w:rsid w:val="00974A79"/>
    <w:rsid w:val="00977B7D"/>
    <w:rsid w:val="009875EA"/>
    <w:rsid w:val="009907D0"/>
    <w:rsid w:val="0099252D"/>
    <w:rsid w:val="00992D47"/>
    <w:rsid w:val="009953F3"/>
    <w:rsid w:val="00996C97"/>
    <w:rsid w:val="009A1719"/>
    <w:rsid w:val="009A4360"/>
    <w:rsid w:val="009A7E17"/>
    <w:rsid w:val="009B31CF"/>
    <w:rsid w:val="009B5050"/>
    <w:rsid w:val="009B5074"/>
    <w:rsid w:val="009B76E4"/>
    <w:rsid w:val="009C130F"/>
    <w:rsid w:val="009C3FA6"/>
    <w:rsid w:val="009C5120"/>
    <w:rsid w:val="009D0672"/>
    <w:rsid w:val="009D19FB"/>
    <w:rsid w:val="009D319E"/>
    <w:rsid w:val="009D456D"/>
    <w:rsid w:val="009D498C"/>
    <w:rsid w:val="009D49D6"/>
    <w:rsid w:val="009D5C42"/>
    <w:rsid w:val="009D63D2"/>
    <w:rsid w:val="009D6476"/>
    <w:rsid w:val="009E5D07"/>
    <w:rsid w:val="009F6BA2"/>
    <w:rsid w:val="00A0002C"/>
    <w:rsid w:val="00A03B48"/>
    <w:rsid w:val="00A04509"/>
    <w:rsid w:val="00A07CC0"/>
    <w:rsid w:val="00A11A4F"/>
    <w:rsid w:val="00A154B2"/>
    <w:rsid w:val="00A23C51"/>
    <w:rsid w:val="00A32E6C"/>
    <w:rsid w:val="00A3779B"/>
    <w:rsid w:val="00A37B47"/>
    <w:rsid w:val="00A417E7"/>
    <w:rsid w:val="00A41CD8"/>
    <w:rsid w:val="00A430A7"/>
    <w:rsid w:val="00A43FE0"/>
    <w:rsid w:val="00A44128"/>
    <w:rsid w:val="00A45F8D"/>
    <w:rsid w:val="00A464BD"/>
    <w:rsid w:val="00A5043E"/>
    <w:rsid w:val="00A514F1"/>
    <w:rsid w:val="00A656FA"/>
    <w:rsid w:val="00A707C5"/>
    <w:rsid w:val="00A837B3"/>
    <w:rsid w:val="00A866AD"/>
    <w:rsid w:val="00A86A93"/>
    <w:rsid w:val="00A90CC0"/>
    <w:rsid w:val="00A90D7B"/>
    <w:rsid w:val="00A92787"/>
    <w:rsid w:val="00A92816"/>
    <w:rsid w:val="00A9301C"/>
    <w:rsid w:val="00A966C7"/>
    <w:rsid w:val="00AA35BE"/>
    <w:rsid w:val="00AA39EC"/>
    <w:rsid w:val="00AA5C9E"/>
    <w:rsid w:val="00AA63F3"/>
    <w:rsid w:val="00AB04A8"/>
    <w:rsid w:val="00AB0707"/>
    <w:rsid w:val="00AB0A3E"/>
    <w:rsid w:val="00AC2E26"/>
    <w:rsid w:val="00AC3735"/>
    <w:rsid w:val="00AC5C4D"/>
    <w:rsid w:val="00AC652C"/>
    <w:rsid w:val="00AC7E3A"/>
    <w:rsid w:val="00AD0F5D"/>
    <w:rsid w:val="00AD2452"/>
    <w:rsid w:val="00AD3F9D"/>
    <w:rsid w:val="00AD5B17"/>
    <w:rsid w:val="00AD6C15"/>
    <w:rsid w:val="00AE0C22"/>
    <w:rsid w:val="00AE4BDA"/>
    <w:rsid w:val="00AE67AD"/>
    <w:rsid w:val="00AE7DCA"/>
    <w:rsid w:val="00AF07B5"/>
    <w:rsid w:val="00AF13AE"/>
    <w:rsid w:val="00AF191B"/>
    <w:rsid w:val="00AF2B40"/>
    <w:rsid w:val="00AF2CF4"/>
    <w:rsid w:val="00AF3DE4"/>
    <w:rsid w:val="00AF5F2F"/>
    <w:rsid w:val="00AF703F"/>
    <w:rsid w:val="00AF74EE"/>
    <w:rsid w:val="00B046C5"/>
    <w:rsid w:val="00B0789B"/>
    <w:rsid w:val="00B10F2F"/>
    <w:rsid w:val="00B12AA8"/>
    <w:rsid w:val="00B13186"/>
    <w:rsid w:val="00B155A1"/>
    <w:rsid w:val="00B1752F"/>
    <w:rsid w:val="00B204CA"/>
    <w:rsid w:val="00B2346D"/>
    <w:rsid w:val="00B23597"/>
    <w:rsid w:val="00B26E35"/>
    <w:rsid w:val="00B3489B"/>
    <w:rsid w:val="00B35156"/>
    <w:rsid w:val="00B3535F"/>
    <w:rsid w:val="00B35A84"/>
    <w:rsid w:val="00B36447"/>
    <w:rsid w:val="00B36FE5"/>
    <w:rsid w:val="00B403CB"/>
    <w:rsid w:val="00B549BA"/>
    <w:rsid w:val="00B54E65"/>
    <w:rsid w:val="00B632D5"/>
    <w:rsid w:val="00B64BFC"/>
    <w:rsid w:val="00B64C60"/>
    <w:rsid w:val="00B67571"/>
    <w:rsid w:val="00B67602"/>
    <w:rsid w:val="00B755ED"/>
    <w:rsid w:val="00B76847"/>
    <w:rsid w:val="00B8296B"/>
    <w:rsid w:val="00B82EA4"/>
    <w:rsid w:val="00B83DA9"/>
    <w:rsid w:val="00B86381"/>
    <w:rsid w:val="00B93826"/>
    <w:rsid w:val="00B93B32"/>
    <w:rsid w:val="00B93FCF"/>
    <w:rsid w:val="00B96E25"/>
    <w:rsid w:val="00BA4D10"/>
    <w:rsid w:val="00BA5631"/>
    <w:rsid w:val="00BB0C7A"/>
    <w:rsid w:val="00BB293E"/>
    <w:rsid w:val="00BB40E6"/>
    <w:rsid w:val="00BB736E"/>
    <w:rsid w:val="00BC554F"/>
    <w:rsid w:val="00BC60CF"/>
    <w:rsid w:val="00BC70D8"/>
    <w:rsid w:val="00BD1014"/>
    <w:rsid w:val="00BD5752"/>
    <w:rsid w:val="00BD6AD3"/>
    <w:rsid w:val="00BE3324"/>
    <w:rsid w:val="00BE6526"/>
    <w:rsid w:val="00BF1DF7"/>
    <w:rsid w:val="00BF21E5"/>
    <w:rsid w:val="00BF38CD"/>
    <w:rsid w:val="00BF6EAF"/>
    <w:rsid w:val="00C02D08"/>
    <w:rsid w:val="00C04E94"/>
    <w:rsid w:val="00C11239"/>
    <w:rsid w:val="00C1207A"/>
    <w:rsid w:val="00C1207C"/>
    <w:rsid w:val="00C204B1"/>
    <w:rsid w:val="00C2293B"/>
    <w:rsid w:val="00C22DA4"/>
    <w:rsid w:val="00C2681D"/>
    <w:rsid w:val="00C26E29"/>
    <w:rsid w:val="00C323C4"/>
    <w:rsid w:val="00C34359"/>
    <w:rsid w:val="00C3575D"/>
    <w:rsid w:val="00C41B9D"/>
    <w:rsid w:val="00C4725E"/>
    <w:rsid w:val="00C51CED"/>
    <w:rsid w:val="00C5706D"/>
    <w:rsid w:val="00C60FCF"/>
    <w:rsid w:val="00C650E1"/>
    <w:rsid w:val="00C655EC"/>
    <w:rsid w:val="00C6639E"/>
    <w:rsid w:val="00C67E70"/>
    <w:rsid w:val="00C70ECC"/>
    <w:rsid w:val="00C740FD"/>
    <w:rsid w:val="00C76D99"/>
    <w:rsid w:val="00C804A2"/>
    <w:rsid w:val="00C804C1"/>
    <w:rsid w:val="00C80C19"/>
    <w:rsid w:val="00C8284B"/>
    <w:rsid w:val="00C84418"/>
    <w:rsid w:val="00C85E42"/>
    <w:rsid w:val="00C91DE5"/>
    <w:rsid w:val="00C96DA5"/>
    <w:rsid w:val="00CA213E"/>
    <w:rsid w:val="00CA2C98"/>
    <w:rsid w:val="00CA6AFA"/>
    <w:rsid w:val="00CA70EC"/>
    <w:rsid w:val="00CB0F67"/>
    <w:rsid w:val="00CB2B1D"/>
    <w:rsid w:val="00CB7F56"/>
    <w:rsid w:val="00CC078D"/>
    <w:rsid w:val="00CC0991"/>
    <w:rsid w:val="00CC1CBA"/>
    <w:rsid w:val="00CC3611"/>
    <w:rsid w:val="00CC4356"/>
    <w:rsid w:val="00CC54EC"/>
    <w:rsid w:val="00CC5F93"/>
    <w:rsid w:val="00CC672C"/>
    <w:rsid w:val="00CC6E04"/>
    <w:rsid w:val="00CC75A0"/>
    <w:rsid w:val="00CD1128"/>
    <w:rsid w:val="00CD2DAE"/>
    <w:rsid w:val="00CD541A"/>
    <w:rsid w:val="00CD56EA"/>
    <w:rsid w:val="00CD7597"/>
    <w:rsid w:val="00CE1FA6"/>
    <w:rsid w:val="00CE5B7D"/>
    <w:rsid w:val="00CE604E"/>
    <w:rsid w:val="00CE69B8"/>
    <w:rsid w:val="00CF2559"/>
    <w:rsid w:val="00CF39EB"/>
    <w:rsid w:val="00CF4DB5"/>
    <w:rsid w:val="00CF6707"/>
    <w:rsid w:val="00D015FF"/>
    <w:rsid w:val="00D04756"/>
    <w:rsid w:val="00D1433A"/>
    <w:rsid w:val="00D2235E"/>
    <w:rsid w:val="00D22EA4"/>
    <w:rsid w:val="00D27681"/>
    <w:rsid w:val="00D279BB"/>
    <w:rsid w:val="00D319BE"/>
    <w:rsid w:val="00D34625"/>
    <w:rsid w:val="00D36646"/>
    <w:rsid w:val="00D3670E"/>
    <w:rsid w:val="00D46BAA"/>
    <w:rsid w:val="00D50B3D"/>
    <w:rsid w:val="00D50B4F"/>
    <w:rsid w:val="00D534C2"/>
    <w:rsid w:val="00D55455"/>
    <w:rsid w:val="00D568B9"/>
    <w:rsid w:val="00D57767"/>
    <w:rsid w:val="00D64B29"/>
    <w:rsid w:val="00D658BB"/>
    <w:rsid w:val="00D65999"/>
    <w:rsid w:val="00D66BFB"/>
    <w:rsid w:val="00D67AE9"/>
    <w:rsid w:val="00D704F2"/>
    <w:rsid w:val="00D70F7C"/>
    <w:rsid w:val="00D72D43"/>
    <w:rsid w:val="00D80833"/>
    <w:rsid w:val="00D86F49"/>
    <w:rsid w:val="00D90E21"/>
    <w:rsid w:val="00D91272"/>
    <w:rsid w:val="00D9658F"/>
    <w:rsid w:val="00DA06F0"/>
    <w:rsid w:val="00DA0A3F"/>
    <w:rsid w:val="00DA0B08"/>
    <w:rsid w:val="00DA4D06"/>
    <w:rsid w:val="00DA7D1C"/>
    <w:rsid w:val="00DB0D39"/>
    <w:rsid w:val="00DB1771"/>
    <w:rsid w:val="00DB45D0"/>
    <w:rsid w:val="00DC10F3"/>
    <w:rsid w:val="00DC12C6"/>
    <w:rsid w:val="00DC2B0F"/>
    <w:rsid w:val="00DC3FCF"/>
    <w:rsid w:val="00DC6330"/>
    <w:rsid w:val="00DD2EDF"/>
    <w:rsid w:val="00DD74F4"/>
    <w:rsid w:val="00DE05D2"/>
    <w:rsid w:val="00DE0C01"/>
    <w:rsid w:val="00DF0AD8"/>
    <w:rsid w:val="00DF2ADE"/>
    <w:rsid w:val="00DF4B86"/>
    <w:rsid w:val="00DF5419"/>
    <w:rsid w:val="00DF7532"/>
    <w:rsid w:val="00E01290"/>
    <w:rsid w:val="00E01E92"/>
    <w:rsid w:val="00E02515"/>
    <w:rsid w:val="00E031A4"/>
    <w:rsid w:val="00E06B1B"/>
    <w:rsid w:val="00E12D67"/>
    <w:rsid w:val="00E13822"/>
    <w:rsid w:val="00E16B1E"/>
    <w:rsid w:val="00E22C66"/>
    <w:rsid w:val="00E22CEB"/>
    <w:rsid w:val="00E238A7"/>
    <w:rsid w:val="00E30742"/>
    <w:rsid w:val="00E34603"/>
    <w:rsid w:val="00E35306"/>
    <w:rsid w:val="00E36FDA"/>
    <w:rsid w:val="00E376E1"/>
    <w:rsid w:val="00E4097C"/>
    <w:rsid w:val="00E43823"/>
    <w:rsid w:val="00E45122"/>
    <w:rsid w:val="00E51348"/>
    <w:rsid w:val="00E60ACA"/>
    <w:rsid w:val="00E640AD"/>
    <w:rsid w:val="00E65725"/>
    <w:rsid w:val="00E66AE2"/>
    <w:rsid w:val="00E678ED"/>
    <w:rsid w:val="00E718F2"/>
    <w:rsid w:val="00E71A10"/>
    <w:rsid w:val="00E7269D"/>
    <w:rsid w:val="00E74A45"/>
    <w:rsid w:val="00E82DEB"/>
    <w:rsid w:val="00E83BA2"/>
    <w:rsid w:val="00E8751C"/>
    <w:rsid w:val="00E90512"/>
    <w:rsid w:val="00E910CA"/>
    <w:rsid w:val="00EA07BE"/>
    <w:rsid w:val="00EA1F7E"/>
    <w:rsid w:val="00EA6F46"/>
    <w:rsid w:val="00EB3EC5"/>
    <w:rsid w:val="00EB3FF5"/>
    <w:rsid w:val="00EB4F28"/>
    <w:rsid w:val="00EB6238"/>
    <w:rsid w:val="00EB7B69"/>
    <w:rsid w:val="00EC3A2D"/>
    <w:rsid w:val="00EC3FDB"/>
    <w:rsid w:val="00EC4CE3"/>
    <w:rsid w:val="00EE6226"/>
    <w:rsid w:val="00EF1606"/>
    <w:rsid w:val="00EF584E"/>
    <w:rsid w:val="00EF70AB"/>
    <w:rsid w:val="00EF7690"/>
    <w:rsid w:val="00F02B47"/>
    <w:rsid w:val="00F04EFC"/>
    <w:rsid w:val="00F0659B"/>
    <w:rsid w:val="00F10AA0"/>
    <w:rsid w:val="00F1314D"/>
    <w:rsid w:val="00F13397"/>
    <w:rsid w:val="00F17490"/>
    <w:rsid w:val="00F2495B"/>
    <w:rsid w:val="00F30BAB"/>
    <w:rsid w:val="00F32BE0"/>
    <w:rsid w:val="00F3312B"/>
    <w:rsid w:val="00F350A5"/>
    <w:rsid w:val="00F4069D"/>
    <w:rsid w:val="00F42D2C"/>
    <w:rsid w:val="00F44146"/>
    <w:rsid w:val="00F46873"/>
    <w:rsid w:val="00F5176D"/>
    <w:rsid w:val="00F57766"/>
    <w:rsid w:val="00F605AB"/>
    <w:rsid w:val="00F61030"/>
    <w:rsid w:val="00F61486"/>
    <w:rsid w:val="00F61DF5"/>
    <w:rsid w:val="00F62BAA"/>
    <w:rsid w:val="00F64B81"/>
    <w:rsid w:val="00F72AC8"/>
    <w:rsid w:val="00F75EA8"/>
    <w:rsid w:val="00F777B5"/>
    <w:rsid w:val="00F8098F"/>
    <w:rsid w:val="00F81B74"/>
    <w:rsid w:val="00F81CD8"/>
    <w:rsid w:val="00F81D4A"/>
    <w:rsid w:val="00F821C7"/>
    <w:rsid w:val="00F843BD"/>
    <w:rsid w:val="00F87EC1"/>
    <w:rsid w:val="00F90153"/>
    <w:rsid w:val="00F92E20"/>
    <w:rsid w:val="00F934C7"/>
    <w:rsid w:val="00F955D1"/>
    <w:rsid w:val="00FA116C"/>
    <w:rsid w:val="00FA2D81"/>
    <w:rsid w:val="00FA4BA4"/>
    <w:rsid w:val="00FA65AD"/>
    <w:rsid w:val="00FA6EDA"/>
    <w:rsid w:val="00FA782D"/>
    <w:rsid w:val="00FB0C4E"/>
    <w:rsid w:val="00FB5338"/>
    <w:rsid w:val="00FB5B75"/>
    <w:rsid w:val="00FC10A9"/>
    <w:rsid w:val="00FC40C9"/>
    <w:rsid w:val="00FD265B"/>
    <w:rsid w:val="00FD7FDD"/>
    <w:rsid w:val="00FE34E4"/>
    <w:rsid w:val="00FE361D"/>
    <w:rsid w:val="00FE3F6E"/>
    <w:rsid w:val="00FE614C"/>
    <w:rsid w:val="00FF30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61"/>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624CE8"/>
    <w:pPr>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semiHidden/>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 w:type="character" w:styleId="Marquedecommentaire">
    <w:name w:val="annotation reference"/>
    <w:basedOn w:val="Policepardfaut"/>
    <w:uiPriority w:val="99"/>
    <w:semiHidden/>
    <w:unhideWhenUsed/>
    <w:rsid w:val="003E6F4C"/>
    <w:rPr>
      <w:sz w:val="16"/>
      <w:szCs w:val="16"/>
    </w:rPr>
  </w:style>
  <w:style w:type="paragraph" w:styleId="Commentaire">
    <w:name w:val="annotation text"/>
    <w:basedOn w:val="Normal"/>
    <w:link w:val="CommentaireCar"/>
    <w:uiPriority w:val="99"/>
    <w:semiHidden/>
    <w:unhideWhenUsed/>
    <w:rsid w:val="003E6F4C"/>
    <w:pPr>
      <w:spacing w:line="240" w:lineRule="auto"/>
    </w:pPr>
    <w:rPr>
      <w:sz w:val="20"/>
      <w:szCs w:val="20"/>
    </w:rPr>
  </w:style>
  <w:style w:type="character" w:customStyle="1" w:styleId="CommentaireCar">
    <w:name w:val="Commentaire Car"/>
    <w:basedOn w:val="Policepardfaut"/>
    <w:link w:val="Commentaire"/>
    <w:uiPriority w:val="99"/>
    <w:semiHidden/>
    <w:rsid w:val="003E6F4C"/>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3E6F4C"/>
    <w:rPr>
      <w:b/>
      <w:bCs/>
    </w:rPr>
  </w:style>
  <w:style w:type="character" w:customStyle="1" w:styleId="ObjetducommentaireCar">
    <w:name w:val="Objet du commentaire Car"/>
    <w:basedOn w:val="CommentaireCar"/>
    <w:link w:val="Objetducommentaire"/>
    <w:uiPriority w:val="99"/>
    <w:semiHidden/>
    <w:rsid w:val="003E6F4C"/>
    <w:rPr>
      <w:rFonts w:asciiTheme="majorBidi" w:hAnsiTheme="majorBidi"/>
      <w:b/>
      <w:bCs/>
      <w:sz w:val="20"/>
      <w:szCs w:val="20"/>
    </w:rPr>
  </w:style>
  <w:style w:type="paragraph" w:styleId="Notedefin">
    <w:name w:val="endnote text"/>
    <w:basedOn w:val="Normal"/>
    <w:link w:val="NotedefinCar"/>
    <w:uiPriority w:val="99"/>
    <w:semiHidden/>
    <w:unhideWhenUsed/>
    <w:rsid w:val="0013498D"/>
    <w:pPr>
      <w:spacing w:after="0" w:line="240" w:lineRule="auto"/>
    </w:pPr>
    <w:rPr>
      <w:sz w:val="20"/>
      <w:szCs w:val="20"/>
    </w:rPr>
  </w:style>
  <w:style w:type="character" w:customStyle="1" w:styleId="NotedefinCar">
    <w:name w:val="Note de fin Car"/>
    <w:basedOn w:val="Policepardfaut"/>
    <w:link w:val="Notedefin"/>
    <w:uiPriority w:val="99"/>
    <w:semiHidden/>
    <w:rsid w:val="0013498D"/>
    <w:rPr>
      <w:rFonts w:asciiTheme="majorBidi" w:hAnsiTheme="majorBidi"/>
      <w:sz w:val="20"/>
      <w:szCs w:val="20"/>
    </w:rPr>
  </w:style>
  <w:style w:type="character" w:styleId="Appeldenotedefin">
    <w:name w:val="endnote reference"/>
    <w:basedOn w:val="Policepardfaut"/>
    <w:uiPriority w:val="99"/>
    <w:semiHidden/>
    <w:unhideWhenUsed/>
    <w:rsid w:val="00134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233">
      <w:bodyDiv w:val="1"/>
      <w:marLeft w:val="0"/>
      <w:marRight w:val="0"/>
      <w:marTop w:val="0"/>
      <w:marBottom w:val="0"/>
      <w:divBdr>
        <w:top w:val="none" w:sz="0" w:space="0" w:color="auto"/>
        <w:left w:val="none" w:sz="0" w:space="0" w:color="auto"/>
        <w:bottom w:val="none" w:sz="0" w:space="0" w:color="auto"/>
        <w:right w:val="none" w:sz="0" w:space="0" w:color="auto"/>
      </w:divBdr>
    </w:div>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3919131">
      <w:bodyDiv w:val="1"/>
      <w:marLeft w:val="0"/>
      <w:marRight w:val="0"/>
      <w:marTop w:val="0"/>
      <w:marBottom w:val="0"/>
      <w:divBdr>
        <w:top w:val="none" w:sz="0" w:space="0" w:color="auto"/>
        <w:left w:val="none" w:sz="0" w:space="0" w:color="auto"/>
        <w:bottom w:val="none" w:sz="0" w:space="0" w:color="auto"/>
        <w:right w:val="none" w:sz="0" w:space="0" w:color="auto"/>
      </w:divBdr>
    </w:div>
    <w:div w:id="56713560">
      <w:bodyDiv w:val="1"/>
      <w:marLeft w:val="0"/>
      <w:marRight w:val="0"/>
      <w:marTop w:val="0"/>
      <w:marBottom w:val="0"/>
      <w:divBdr>
        <w:top w:val="none" w:sz="0" w:space="0" w:color="auto"/>
        <w:left w:val="none" w:sz="0" w:space="0" w:color="auto"/>
        <w:bottom w:val="none" w:sz="0" w:space="0" w:color="auto"/>
        <w:right w:val="none" w:sz="0" w:space="0" w:color="auto"/>
      </w:divBdr>
    </w:div>
    <w:div w:id="93869610">
      <w:bodyDiv w:val="1"/>
      <w:marLeft w:val="0"/>
      <w:marRight w:val="0"/>
      <w:marTop w:val="0"/>
      <w:marBottom w:val="0"/>
      <w:divBdr>
        <w:top w:val="none" w:sz="0" w:space="0" w:color="auto"/>
        <w:left w:val="none" w:sz="0" w:space="0" w:color="auto"/>
        <w:bottom w:val="none" w:sz="0" w:space="0" w:color="auto"/>
        <w:right w:val="none" w:sz="0" w:space="0" w:color="auto"/>
      </w:divBdr>
    </w:div>
    <w:div w:id="95685663">
      <w:bodyDiv w:val="1"/>
      <w:marLeft w:val="0"/>
      <w:marRight w:val="0"/>
      <w:marTop w:val="0"/>
      <w:marBottom w:val="0"/>
      <w:divBdr>
        <w:top w:val="none" w:sz="0" w:space="0" w:color="auto"/>
        <w:left w:val="none" w:sz="0" w:space="0" w:color="auto"/>
        <w:bottom w:val="none" w:sz="0" w:space="0" w:color="auto"/>
        <w:right w:val="none" w:sz="0" w:space="0" w:color="auto"/>
      </w:divBdr>
    </w:div>
    <w:div w:id="122189180">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188296607">
      <w:bodyDiv w:val="1"/>
      <w:marLeft w:val="0"/>
      <w:marRight w:val="0"/>
      <w:marTop w:val="0"/>
      <w:marBottom w:val="0"/>
      <w:divBdr>
        <w:top w:val="none" w:sz="0" w:space="0" w:color="auto"/>
        <w:left w:val="none" w:sz="0" w:space="0" w:color="auto"/>
        <w:bottom w:val="none" w:sz="0" w:space="0" w:color="auto"/>
        <w:right w:val="none" w:sz="0" w:space="0" w:color="auto"/>
      </w:divBdr>
    </w:div>
    <w:div w:id="195778678">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40986440">
      <w:bodyDiv w:val="1"/>
      <w:marLeft w:val="0"/>
      <w:marRight w:val="0"/>
      <w:marTop w:val="0"/>
      <w:marBottom w:val="0"/>
      <w:divBdr>
        <w:top w:val="none" w:sz="0" w:space="0" w:color="auto"/>
        <w:left w:val="none" w:sz="0" w:space="0" w:color="auto"/>
        <w:bottom w:val="none" w:sz="0" w:space="0" w:color="auto"/>
        <w:right w:val="none" w:sz="0" w:space="0" w:color="auto"/>
      </w:divBdr>
    </w:div>
    <w:div w:id="243151575">
      <w:bodyDiv w:val="1"/>
      <w:marLeft w:val="0"/>
      <w:marRight w:val="0"/>
      <w:marTop w:val="0"/>
      <w:marBottom w:val="0"/>
      <w:divBdr>
        <w:top w:val="none" w:sz="0" w:space="0" w:color="auto"/>
        <w:left w:val="none" w:sz="0" w:space="0" w:color="auto"/>
        <w:bottom w:val="none" w:sz="0" w:space="0" w:color="auto"/>
        <w:right w:val="none" w:sz="0" w:space="0" w:color="auto"/>
      </w:divBdr>
    </w:div>
    <w:div w:id="292908066">
      <w:bodyDiv w:val="1"/>
      <w:marLeft w:val="0"/>
      <w:marRight w:val="0"/>
      <w:marTop w:val="0"/>
      <w:marBottom w:val="0"/>
      <w:divBdr>
        <w:top w:val="none" w:sz="0" w:space="0" w:color="auto"/>
        <w:left w:val="none" w:sz="0" w:space="0" w:color="auto"/>
        <w:bottom w:val="none" w:sz="0" w:space="0" w:color="auto"/>
        <w:right w:val="none" w:sz="0" w:space="0" w:color="auto"/>
      </w:divBdr>
    </w:div>
    <w:div w:id="306397862">
      <w:bodyDiv w:val="1"/>
      <w:marLeft w:val="0"/>
      <w:marRight w:val="0"/>
      <w:marTop w:val="0"/>
      <w:marBottom w:val="0"/>
      <w:divBdr>
        <w:top w:val="none" w:sz="0" w:space="0" w:color="auto"/>
        <w:left w:val="none" w:sz="0" w:space="0" w:color="auto"/>
        <w:bottom w:val="none" w:sz="0" w:space="0" w:color="auto"/>
        <w:right w:val="none" w:sz="0" w:space="0" w:color="auto"/>
      </w:divBdr>
    </w:div>
    <w:div w:id="328023764">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419716609">
      <w:bodyDiv w:val="1"/>
      <w:marLeft w:val="0"/>
      <w:marRight w:val="0"/>
      <w:marTop w:val="0"/>
      <w:marBottom w:val="0"/>
      <w:divBdr>
        <w:top w:val="none" w:sz="0" w:space="0" w:color="auto"/>
        <w:left w:val="none" w:sz="0" w:space="0" w:color="auto"/>
        <w:bottom w:val="none" w:sz="0" w:space="0" w:color="auto"/>
        <w:right w:val="none" w:sz="0" w:space="0" w:color="auto"/>
      </w:divBdr>
    </w:div>
    <w:div w:id="424805785">
      <w:bodyDiv w:val="1"/>
      <w:marLeft w:val="0"/>
      <w:marRight w:val="0"/>
      <w:marTop w:val="0"/>
      <w:marBottom w:val="0"/>
      <w:divBdr>
        <w:top w:val="none" w:sz="0" w:space="0" w:color="auto"/>
        <w:left w:val="none" w:sz="0" w:space="0" w:color="auto"/>
        <w:bottom w:val="none" w:sz="0" w:space="0" w:color="auto"/>
        <w:right w:val="none" w:sz="0" w:space="0" w:color="auto"/>
      </w:divBdr>
    </w:div>
    <w:div w:id="435294911">
      <w:bodyDiv w:val="1"/>
      <w:marLeft w:val="0"/>
      <w:marRight w:val="0"/>
      <w:marTop w:val="0"/>
      <w:marBottom w:val="0"/>
      <w:divBdr>
        <w:top w:val="none" w:sz="0" w:space="0" w:color="auto"/>
        <w:left w:val="none" w:sz="0" w:space="0" w:color="auto"/>
        <w:bottom w:val="none" w:sz="0" w:space="0" w:color="auto"/>
        <w:right w:val="none" w:sz="0" w:space="0" w:color="auto"/>
      </w:divBdr>
    </w:div>
    <w:div w:id="443305993">
      <w:bodyDiv w:val="1"/>
      <w:marLeft w:val="0"/>
      <w:marRight w:val="0"/>
      <w:marTop w:val="0"/>
      <w:marBottom w:val="0"/>
      <w:divBdr>
        <w:top w:val="none" w:sz="0" w:space="0" w:color="auto"/>
        <w:left w:val="none" w:sz="0" w:space="0" w:color="auto"/>
        <w:bottom w:val="none" w:sz="0" w:space="0" w:color="auto"/>
        <w:right w:val="none" w:sz="0" w:space="0" w:color="auto"/>
      </w:divBdr>
    </w:div>
    <w:div w:id="449978724">
      <w:bodyDiv w:val="1"/>
      <w:marLeft w:val="0"/>
      <w:marRight w:val="0"/>
      <w:marTop w:val="0"/>
      <w:marBottom w:val="0"/>
      <w:divBdr>
        <w:top w:val="none" w:sz="0" w:space="0" w:color="auto"/>
        <w:left w:val="none" w:sz="0" w:space="0" w:color="auto"/>
        <w:bottom w:val="none" w:sz="0" w:space="0" w:color="auto"/>
        <w:right w:val="none" w:sz="0" w:space="0" w:color="auto"/>
      </w:divBdr>
    </w:div>
    <w:div w:id="452478596">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537161464">
      <w:bodyDiv w:val="1"/>
      <w:marLeft w:val="0"/>
      <w:marRight w:val="0"/>
      <w:marTop w:val="0"/>
      <w:marBottom w:val="0"/>
      <w:divBdr>
        <w:top w:val="none" w:sz="0" w:space="0" w:color="auto"/>
        <w:left w:val="none" w:sz="0" w:space="0" w:color="auto"/>
        <w:bottom w:val="none" w:sz="0" w:space="0" w:color="auto"/>
        <w:right w:val="none" w:sz="0" w:space="0" w:color="auto"/>
      </w:divBdr>
    </w:div>
    <w:div w:id="564535364">
      <w:bodyDiv w:val="1"/>
      <w:marLeft w:val="0"/>
      <w:marRight w:val="0"/>
      <w:marTop w:val="0"/>
      <w:marBottom w:val="0"/>
      <w:divBdr>
        <w:top w:val="none" w:sz="0" w:space="0" w:color="auto"/>
        <w:left w:val="none" w:sz="0" w:space="0" w:color="auto"/>
        <w:bottom w:val="none" w:sz="0" w:space="0" w:color="auto"/>
        <w:right w:val="none" w:sz="0" w:space="0" w:color="auto"/>
      </w:divBdr>
    </w:div>
    <w:div w:id="642124437">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752896862">
      <w:bodyDiv w:val="1"/>
      <w:marLeft w:val="0"/>
      <w:marRight w:val="0"/>
      <w:marTop w:val="0"/>
      <w:marBottom w:val="0"/>
      <w:divBdr>
        <w:top w:val="none" w:sz="0" w:space="0" w:color="auto"/>
        <w:left w:val="none" w:sz="0" w:space="0" w:color="auto"/>
        <w:bottom w:val="none" w:sz="0" w:space="0" w:color="auto"/>
        <w:right w:val="none" w:sz="0" w:space="0" w:color="auto"/>
      </w:divBdr>
    </w:div>
    <w:div w:id="755908455">
      <w:bodyDiv w:val="1"/>
      <w:marLeft w:val="0"/>
      <w:marRight w:val="0"/>
      <w:marTop w:val="0"/>
      <w:marBottom w:val="0"/>
      <w:divBdr>
        <w:top w:val="none" w:sz="0" w:space="0" w:color="auto"/>
        <w:left w:val="none" w:sz="0" w:space="0" w:color="auto"/>
        <w:bottom w:val="none" w:sz="0" w:space="0" w:color="auto"/>
        <w:right w:val="none" w:sz="0" w:space="0" w:color="auto"/>
      </w:divBdr>
    </w:div>
    <w:div w:id="758139474">
      <w:bodyDiv w:val="1"/>
      <w:marLeft w:val="0"/>
      <w:marRight w:val="0"/>
      <w:marTop w:val="0"/>
      <w:marBottom w:val="0"/>
      <w:divBdr>
        <w:top w:val="none" w:sz="0" w:space="0" w:color="auto"/>
        <w:left w:val="none" w:sz="0" w:space="0" w:color="auto"/>
        <w:bottom w:val="none" w:sz="0" w:space="0" w:color="auto"/>
        <w:right w:val="none" w:sz="0" w:space="0" w:color="auto"/>
      </w:divBdr>
    </w:div>
    <w:div w:id="768811262">
      <w:bodyDiv w:val="1"/>
      <w:marLeft w:val="0"/>
      <w:marRight w:val="0"/>
      <w:marTop w:val="0"/>
      <w:marBottom w:val="0"/>
      <w:divBdr>
        <w:top w:val="none" w:sz="0" w:space="0" w:color="auto"/>
        <w:left w:val="none" w:sz="0" w:space="0" w:color="auto"/>
        <w:bottom w:val="none" w:sz="0" w:space="0" w:color="auto"/>
        <w:right w:val="none" w:sz="0" w:space="0" w:color="auto"/>
      </w:divBdr>
    </w:div>
    <w:div w:id="781531623">
      <w:bodyDiv w:val="1"/>
      <w:marLeft w:val="0"/>
      <w:marRight w:val="0"/>
      <w:marTop w:val="0"/>
      <w:marBottom w:val="0"/>
      <w:divBdr>
        <w:top w:val="none" w:sz="0" w:space="0" w:color="auto"/>
        <w:left w:val="none" w:sz="0" w:space="0" w:color="auto"/>
        <w:bottom w:val="none" w:sz="0" w:space="0" w:color="auto"/>
        <w:right w:val="none" w:sz="0" w:space="0" w:color="auto"/>
      </w:divBdr>
    </w:div>
    <w:div w:id="790435360">
      <w:bodyDiv w:val="1"/>
      <w:marLeft w:val="0"/>
      <w:marRight w:val="0"/>
      <w:marTop w:val="0"/>
      <w:marBottom w:val="0"/>
      <w:divBdr>
        <w:top w:val="none" w:sz="0" w:space="0" w:color="auto"/>
        <w:left w:val="none" w:sz="0" w:space="0" w:color="auto"/>
        <w:bottom w:val="none" w:sz="0" w:space="0" w:color="auto"/>
        <w:right w:val="none" w:sz="0" w:space="0" w:color="auto"/>
      </w:divBdr>
    </w:div>
    <w:div w:id="856190395">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891043571">
      <w:bodyDiv w:val="1"/>
      <w:marLeft w:val="0"/>
      <w:marRight w:val="0"/>
      <w:marTop w:val="0"/>
      <w:marBottom w:val="0"/>
      <w:divBdr>
        <w:top w:val="none" w:sz="0" w:space="0" w:color="auto"/>
        <w:left w:val="none" w:sz="0" w:space="0" w:color="auto"/>
        <w:bottom w:val="none" w:sz="0" w:space="0" w:color="auto"/>
        <w:right w:val="none" w:sz="0" w:space="0" w:color="auto"/>
      </w:divBdr>
    </w:div>
    <w:div w:id="898708513">
      <w:bodyDiv w:val="1"/>
      <w:marLeft w:val="0"/>
      <w:marRight w:val="0"/>
      <w:marTop w:val="0"/>
      <w:marBottom w:val="0"/>
      <w:divBdr>
        <w:top w:val="none" w:sz="0" w:space="0" w:color="auto"/>
        <w:left w:val="none" w:sz="0" w:space="0" w:color="auto"/>
        <w:bottom w:val="none" w:sz="0" w:space="0" w:color="auto"/>
        <w:right w:val="none" w:sz="0" w:space="0" w:color="auto"/>
      </w:divBdr>
    </w:div>
    <w:div w:id="907350476">
      <w:bodyDiv w:val="1"/>
      <w:marLeft w:val="0"/>
      <w:marRight w:val="0"/>
      <w:marTop w:val="0"/>
      <w:marBottom w:val="0"/>
      <w:divBdr>
        <w:top w:val="none" w:sz="0" w:space="0" w:color="auto"/>
        <w:left w:val="none" w:sz="0" w:space="0" w:color="auto"/>
        <w:bottom w:val="none" w:sz="0" w:space="0" w:color="auto"/>
        <w:right w:val="none" w:sz="0" w:space="0" w:color="auto"/>
      </w:divBdr>
    </w:div>
    <w:div w:id="911624847">
      <w:bodyDiv w:val="1"/>
      <w:marLeft w:val="0"/>
      <w:marRight w:val="0"/>
      <w:marTop w:val="0"/>
      <w:marBottom w:val="0"/>
      <w:divBdr>
        <w:top w:val="none" w:sz="0" w:space="0" w:color="auto"/>
        <w:left w:val="none" w:sz="0" w:space="0" w:color="auto"/>
        <w:bottom w:val="none" w:sz="0" w:space="0" w:color="auto"/>
        <w:right w:val="none" w:sz="0" w:space="0" w:color="auto"/>
      </w:divBdr>
    </w:div>
    <w:div w:id="953756668">
      <w:bodyDiv w:val="1"/>
      <w:marLeft w:val="0"/>
      <w:marRight w:val="0"/>
      <w:marTop w:val="0"/>
      <w:marBottom w:val="0"/>
      <w:divBdr>
        <w:top w:val="none" w:sz="0" w:space="0" w:color="auto"/>
        <w:left w:val="none" w:sz="0" w:space="0" w:color="auto"/>
        <w:bottom w:val="none" w:sz="0" w:space="0" w:color="auto"/>
        <w:right w:val="none" w:sz="0" w:space="0" w:color="auto"/>
      </w:divBdr>
    </w:div>
    <w:div w:id="954210446">
      <w:bodyDiv w:val="1"/>
      <w:marLeft w:val="0"/>
      <w:marRight w:val="0"/>
      <w:marTop w:val="0"/>
      <w:marBottom w:val="0"/>
      <w:divBdr>
        <w:top w:val="none" w:sz="0" w:space="0" w:color="auto"/>
        <w:left w:val="none" w:sz="0" w:space="0" w:color="auto"/>
        <w:bottom w:val="none" w:sz="0" w:space="0" w:color="auto"/>
        <w:right w:val="none" w:sz="0" w:space="0" w:color="auto"/>
      </w:divBdr>
    </w:div>
    <w:div w:id="987707204">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4147220">
      <w:bodyDiv w:val="1"/>
      <w:marLeft w:val="0"/>
      <w:marRight w:val="0"/>
      <w:marTop w:val="0"/>
      <w:marBottom w:val="0"/>
      <w:divBdr>
        <w:top w:val="none" w:sz="0" w:space="0" w:color="auto"/>
        <w:left w:val="none" w:sz="0" w:space="0" w:color="auto"/>
        <w:bottom w:val="none" w:sz="0" w:space="0" w:color="auto"/>
        <w:right w:val="none" w:sz="0" w:space="0" w:color="auto"/>
      </w:divBdr>
    </w:div>
    <w:div w:id="995185479">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08642056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6582343">
      <w:bodyDiv w:val="1"/>
      <w:marLeft w:val="0"/>
      <w:marRight w:val="0"/>
      <w:marTop w:val="0"/>
      <w:marBottom w:val="0"/>
      <w:divBdr>
        <w:top w:val="none" w:sz="0" w:space="0" w:color="auto"/>
        <w:left w:val="none" w:sz="0" w:space="0" w:color="auto"/>
        <w:bottom w:val="none" w:sz="0" w:space="0" w:color="auto"/>
        <w:right w:val="none" w:sz="0" w:space="0" w:color="auto"/>
      </w:divBdr>
    </w:div>
    <w:div w:id="1118334005">
      <w:bodyDiv w:val="1"/>
      <w:marLeft w:val="0"/>
      <w:marRight w:val="0"/>
      <w:marTop w:val="0"/>
      <w:marBottom w:val="0"/>
      <w:divBdr>
        <w:top w:val="none" w:sz="0" w:space="0" w:color="auto"/>
        <w:left w:val="none" w:sz="0" w:space="0" w:color="auto"/>
        <w:bottom w:val="none" w:sz="0" w:space="0" w:color="auto"/>
        <w:right w:val="none" w:sz="0" w:space="0" w:color="auto"/>
      </w:divBdr>
    </w:div>
    <w:div w:id="1131095563">
      <w:bodyDiv w:val="1"/>
      <w:marLeft w:val="0"/>
      <w:marRight w:val="0"/>
      <w:marTop w:val="0"/>
      <w:marBottom w:val="0"/>
      <w:divBdr>
        <w:top w:val="none" w:sz="0" w:space="0" w:color="auto"/>
        <w:left w:val="none" w:sz="0" w:space="0" w:color="auto"/>
        <w:bottom w:val="none" w:sz="0" w:space="0" w:color="auto"/>
        <w:right w:val="none" w:sz="0" w:space="0" w:color="auto"/>
      </w:divBdr>
    </w:div>
    <w:div w:id="1164584454">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13611515">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74939885">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302151173">
      <w:bodyDiv w:val="1"/>
      <w:marLeft w:val="0"/>
      <w:marRight w:val="0"/>
      <w:marTop w:val="0"/>
      <w:marBottom w:val="0"/>
      <w:divBdr>
        <w:top w:val="none" w:sz="0" w:space="0" w:color="auto"/>
        <w:left w:val="none" w:sz="0" w:space="0" w:color="auto"/>
        <w:bottom w:val="none" w:sz="0" w:space="0" w:color="auto"/>
        <w:right w:val="none" w:sz="0" w:space="0" w:color="auto"/>
      </w:divBdr>
    </w:div>
    <w:div w:id="1306547572">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343782405">
      <w:bodyDiv w:val="1"/>
      <w:marLeft w:val="0"/>
      <w:marRight w:val="0"/>
      <w:marTop w:val="0"/>
      <w:marBottom w:val="0"/>
      <w:divBdr>
        <w:top w:val="none" w:sz="0" w:space="0" w:color="auto"/>
        <w:left w:val="none" w:sz="0" w:space="0" w:color="auto"/>
        <w:bottom w:val="none" w:sz="0" w:space="0" w:color="auto"/>
        <w:right w:val="none" w:sz="0" w:space="0" w:color="auto"/>
      </w:divBdr>
    </w:div>
    <w:div w:id="1348797324">
      <w:bodyDiv w:val="1"/>
      <w:marLeft w:val="0"/>
      <w:marRight w:val="0"/>
      <w:marTop w:val="0"/>
      <w:marBottom w:val="0"/>
      <w:divBdr>
        <w:top w:val="none" w:sz="0" w:space="0" w:color="auto"/>
        <w:left w:val="none" w:sz="0" w:space="0" w:color="auto"/>
        <w:bottom w:val="none" w:sz="0" w:space="0" w:color="auto"/>
        <w:right w:val="none" w:sz="0" w:space="0" w:color="auto"/>
      </w:divBdr>
    </w:div>
    <w:div w:id="1381829637">
      <w:bodyDiv w:val="1"/>
      <w:marLeft w:val="0"/>
      <w:marRight w:val="0"/>
      <w:marTop w:val="0"/>
      <w:marBottom w:val="0"/>
      <w:divBdr>
        <w:top w:val="none" w:sz="0" w:space="0" w:color="auto"/>
        <w:left w:val="none" w:sz="0" w:space="0" w:color="auto"/>
        <w:bottom w:val="none" w:sz="0" w:space="0" w:color="auto"/>
        <w:right w:val="none" w:sz="0" w:space="0" w:color="auto"/>
      </w:divBdr>
    </w:div>
    <w:div w:id="1435704970">
      <w:bodyDiv w:val="1"/>
      <w:marLeft w:val="0"/>
      <w:marRight w:val="0"/>
      <w:marTop w:val="0"/>
      <w:marBottom w:val="0"/>
      <w:divBdr>
        <w:top w:val="none" w:sz="0" w:space="0" w:color="auto"/>
        <w:left w:val="none" w:sz="0" w:space="0" w:color="auto"/>
        <w:bottom w:val="none" w:sz="0" w:space="0" w:color="auto"/>
        <w:right w:val="none" w:sz="0" w:space="0" w:color="auto"/>
      </w:divBdr>
    </w:div>
    <w:div w:id="1437826142">
      <w:bodyDiv w:val="1"/>
      <w:marLeft w:val="0"/>
      <w:marRight w:val="0"/>
      <w:marTop w:val="0"/>
      <w:marBottom w:val="0"/>
      <w:divBdr>
        <w:top w:val="none" w:sz="0" w:space="0" w:color="auto"/>
        <w:left w:val="none" w:sz="0" w:space="0" w:color="auto"/>
        <w:bottom w:val="none" w:sz="0" w:space="0" w:color="auto"/>
        <w:right w:val="none" w:sz="0" w:space="0" w:color="auto"/>
      </w:divBdr>
    </w:div>
    <w:div w:id="1451584299">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485928733">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7336">
      <w:bodyDiv w:val="1"/>
      <w:marLeft w:val="0"/>
      <w:marRight w:val="0"/>
      <w:marTop w:val="0"/>
      <w:marBottom w:val="0"/>
      <w:divBdr>
        <w:top w:val="none" w:sz="0" w:space="0" w:color="auto"/>
        <w:left w:val="none" w:sz="0" w:space="0" w:color="auto"/>
        <w:bottom w:val="none" w:sz="0" w:space="0" w:color="auto"/>
        <w:right w:val="none" w:sz="0" w:space="0" w:color="auto"/>
      </w:divBdr>
    </w:div>
    <w:div w:id="1574701938">
      <w:bodyDiv w:val="1"/>
      <w:marLeft w:val="0"/>
      <w:marRight w:val="0"/>
      <w:marTop w:val="0"/>
      <w:marBottom w:val="0"/>
      <w:divBdr>
        <w:top w:val="none" w:sz="0" w:space="0" w:color="auto"/>
        <w:left w:val="none" w:sz="0" w:space="0" w:color="auto"/>
        <w:bottom w:val="none" w:sz="0" w:space="0" w:color="auto"/>
        <w:right w:val="none" w:sz="0" w:space="0" w:color="auto"/>
      </w:divBdr>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594509992">
      <w:bodyDiv w:val="1"/>
      <w:marLeft w:val="0"/>
      <w:marRight w:val="0"/>
      <w:marTop w:val="0"/>
      <w:marBottom w:val="0"/>
      <w:divBdr>
        <w:top w:val="none" w:sz="0" w:space="0" w:color="auto"/>
        <w:left w:val="none" w:sz="0" w:space="0" w:color="auto"/>
        <w:bottom w:val="none" w:sz="0" w:space="0" w:color="auto"/>
        <w:right w:val="none" w:sz="0" w:space="0" w:color="auto"/>
      </w:divBdr>
    </w:div>
    <w:div w:id="1605915169">
      <w:bodyDiv w:val="1"/>
      <w:marLeft w:val="0"/>
      <w:marRight w:val="0"/>
      <w:marTop w:val="0"/>
      <w:marBottom w:val="0"/>
      <w:divBdr>
        <w:top w:val="none" w:sz="0" w:space="0" w:color="auto"/>
        <w:left w:val="none" w:sz="0" w:space="0" w:color="auto"/>
        <w:bottom w:val="none" w:sz="0" w:space="0" w:color="auto"/>
        <w:right w:val="none" w:sz="0" w:space="0" w:color="auto"/>
      </w:divBdr>
    </w:div>
    <w:div w:id="1615284298">
      <w:bodyDiv w:val="1"/>
      <w:marLeft w:val="0"/>
      <w:marRight w:val="0"/>
      <w:marTop w:val="0"/>
      <w:marBottom w:val="0"/>
      <w:divBdr>
        <w:top w:val="none" w:sz="0" w:space="0" w:color="auto"/>
        <w:left w:val="none" w:sz="0" w:space="0" w:color="auto"/>
        <w:bottom w:val="none" w:sz="0" w:space="0" w:color="auto"/>
        <w:right w:val="none" w:sz="0" w:space="0" w:color="auto"/>
      </w:divBdr>
    </w:div>
    <w:div w:id="1619994076">
      <w:bodyDiv w:val="1"/>
      <w:marLeft w:val="0"/>
      <w:marRight w:val="0"/>
      <w:marTop w:val="0"/>
      <w:marBottom w:val="0"/>
      <w:divBdr>
        <w:top w:val="none" w:sz="0" w:space="0" w:color="auto"/>
        <w:left w:val="none" w:sz="0" w:space="0" w:color="auto"/>
        <w:bottom w:val="none" w:sz="0" w:space="0" w:color="auto"/>
        <w:right w:val="none" w:sz="0" w:space="0" w:color="auto"/>
      </w:divBdr>
    </w:div>
    <w:div w:id="1622422480">
      <w:bodyDiv w:val="1"/>
      <w:marLeft w:val="0"/>
      <w:marRight w:val="0"/>
      <w:marTop w:val="0"/>
      <w:marBottom w:val="0"/>
      <w:divBdr>
        <w:top w:val="none" w:sz="0" w:space="0" w:color="auto"/>
        <w:left w:val="none" w:sz="0" w:space="0" w:color="auto"/>
        <w:bottom w:val="none" w:sz="0" w:space="0" w:color="auto"/>
        <w:right w:val="none" w:sz="0" w:space="0" w:color="auto"/>
      </w:divBdr>
    </w:div>
    <w:div w:id="1673987090">
      <w:bodyDiv w:val="1"/>
      <w:marLeft w:val="0"/>
      <w:marRight w:val="0"/>
      <w:marTop w:val="0"/>
      <w:marBottom w:val="0"/>
      <w:divBdr>
        <w:top w:val="none" w:sz="0" w:space="0" w:color="auto"/>
        <w:left w:val="none" w:sz="0" w:space="0" w:color="auto"/>
        <w:bottom w:val="none" w:sz="0" w:space="0" w:color="auto"/>
        <w:right w:val="none" w:sz="0" w:space="0" w:color="auto"/>
      </w:divBdr>
    </w:div>
    <w:div w:id="1686707916">
      <w:bodyDiv w:val="1"/>
      <w:marLeft w:val="0"/>
      <w:marRight w:val="0"/>
      <w:marTop w:val="0"/>
      <w:marBottom w:val="0"/>
      <w:divBdr>
        <w:top w:val="none" w:sz="0" w:space="0" w:color="auto"/>
        <w:left w:val="none" w:sz="0" w:space="0" w:color="auto"/>
        <w:bottom w:val="none" w:sz="0" w:space="0" w:color="auto"/>
        <w:right w:val="none" w:sz="0" w:space="0" w:color="auto"/>
      </w:divBdr>
    </w:div>
    <w:div w:id="1688828931">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18896823">
      <w:bodyDiv w:val="1"/>
      <w:marLeft w:val="0"/>
      <w:marRight w:val="0"/>
      <w:marTop w:val="0"/>
      <w:marBottom w:val="0"/>
      <w:divBdr>
        <w:top w:val="none" w:sz="0" w:space="0" w:color="auto"/>
        <w:left w:val="none" w:sz="0" w:space="0" w:color="auto"/>
        <w:bottom w:val="none" w:sz="0" w:space="0" w:color="auto"/>
        <w:right w:val="none" w:sz="0" w:space="0" w:color="auto"/>
      </w:divBdr>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754202153">
      <w:bodyDiv w:val="1"/>
      <w:marLeft w:val="0"/>
      <w:marRight w:val="0"/>
      <w:marTop w:val="0"/>
      <w:marBottom w:val="0"/>
      <w:divBdr>
        <w:top w:val="none" w:sz="0" w:space="0" w:color="auto"/>
        <w:left w:val="none" w:sz="0" w:space="0" w:color="auto"/>
        <w:bottom w:val="none" w:sz="0" w:space="0" w:color="auto"/>
        <w:right w:val="none" w:sz="0" w:space="0" w:color="auto"/>
      </w:divBdr>
    </w:div>
    <w:div w:id="1777824238">
      <w:bodyDiv w:val="1"/>
      <w:marLeft w:val="0"/>
      <w:marRight w:val="0"/>
      <w:marTop w:val="0"/>
      <w:marBottom w:val="0"/>
      <w:divBdr>
        <w:top w:val="none" w:sz="0" w:space="0" w:color="auto"/>
        <w:left w:val="none" w:sz="0" w:space="0" w:color="auto"/>
        <w:bottom w:val="none" w:sz="0" w:space="0" w:color="auto"/>
        <w:right w:val="none" w:sz="0" w:space="0" w:color="auto"/>
      </w:divBdr>
    </w:div>
    <w:div w:id="1781021955">
      <w:bodyDiv w:val="1"/>
      <w:marLeft w:val="0"/>
      <w:marRight w:val="0"/>
      <w:marTop w:val="0"/>
      <w:marBottom w:val="0"/>
      <w:divBdr>
        <w:top w:val="none" w:sz="0" w:space="0" w:color="auto"/>
        <w:left w:val="none" w:sz="0" w:space="0" w:color="auto"/>
        <w:bottom w:val="none" w:sz="0" w:space="0" w:color="auto"/>
        <w:right w:val="none" w:sz="0" w:space="0" w:color="auto"/>
      </w:divBdr>
    </w:div>
    <w:div w:id="1819956977">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831209084">
      <w:bodyDiv w:val="1"/>
      <w:marLeft w:val="0"/>
      <w:marRight w:val="0"/>
      <w:marTop w:val="0"/>
      <w:marBottom w:val="0"/>
      <w:divBdr>
        <w:top w:val="none" w:sz="0" w:space="0" w:color="auto"/>
        <w:left w:val="none" w:sz="0" w:space="0" w:color="auto"/>
        <w:bottom w:val="none" w:sz="0" w:space="0" w:color="auto"/>
        <w:right w:val="none" w:sz="0" w:space="0" w:color="auto"/>
      </w:divBdr>
    </w:div>
    <w:div w:id="1868836673">
      <w:bodyDiv w:val="1"/>
      <w:marLeft w:val="0"/>
      <w:marRight w:val="0"/>
      <w:marTop w:val="0"/>
      <w:marBottom w:val="0"/>
      <w:divBdr>
        <w:top w:val="none" w:sz="0" w:space="0" w:color="auto"/>
        <w:left w:val="none" w:sz="0" w:space="0" w:color="auto"/>
        <w:bottom w:val="none" w:sz="0" w:space="0" w:color="auto"/>
        <w:right w:val="none" w:sz="0" w:space="0" w:color="auto"/>
      </w:divBdr>
    </w:div>
    <w:div w:id="1876455991">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62104648">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88898169">
      <w:bodyDiv w:val="1"/>
      <w:marLeft w:val="0"/>
      <w:marRight w:val="0"/>
      <w:marTop w:val="0"/>
      <w:marBottom w:val="0"/>
      <w:divBdr>
        <w:top w:val="none" w:sz="0" w:space="0" w:color="auto"/>
        <w:left w:val="none" w:sz="0" w:space="0" w:color="auto"/>
        <w:bottom w:val="none" w:sz="0" w:space="0" w:color="auto"/>
        <w:right w:val="none" w:sz="0" w:space="0" w:color="auto"/>
      </w:divBdr>
    </w:div>
    <w:div w:id="1990474603">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00309435">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 w:id="2067339978">
      <w:bodyDiv w:val="1"/>
      <w:marLeft w:val="0"/>
      <w:marRight w:val="0"/>
      <w:marTop w:val="0"/>
      <w:marBottom w:val="0"/>
      <w:divBdr>
        <w:top w:val="none" w:sz="0" w:space="0" w:color="auto"/>
        <w:left w:val="none" w:sz="0" w:space="0" w:color="auto"/>
        <w:bottom w:val="none" w:sz="0" w:space="0" w:color="auto"/>
        <w:right w:val="none" w:sz="0" w:space="0" w:color="auto"/>
      </w:divBdr>
    </w:div>
    <w:div w:id="2069453344">
      <w:bodyDiv w:val="1"/>
      <w:marLeft w:val="0"/>
      <w:marRight w:val="0"/>
      <w:marTop w:val="0"/>
      <w:marBottom w:val="0"/>
      <w:divBdr>
        <w:top w:val="none" w:sz="0" w:space="0" w:color="auto"/>
        <w:left w:val="none" w:sz="0" w:space="0" w:color="auto"/>
        <w:bottom w:val="none" w:sz="0" w:space="0" w:color="auto"/>
        <w:right w:val="none" w:sz="0" w:space="0" w:color="auto"/>
      </w:divBdr>
    </w:div>
    <w:div w:id="2081445086">
      <w:bodyDiv w:val="1"/>
      <w:marLeft w:val="0"/>
      <w:marRight w:val="0"/>
      <w:marTop w:val="0"/>
      <w:marBottom w:val="0"/>
      <w:divBdr>
        <w:top w:val="none" w:sz="0" w:space="0" w:color="auto"/>
        <w:left w:val="none" w:sz="0" w:space="0" w:color="auto"/>
        <w:bottom w:val="none" w:sz="0" w:space="0" w:color="auto"/>
        <w:right w:val="none" w:sz="0" w:space="0" w:color="auto"/>
      </w:divBdr>
    </w:div>
    <w:div w:id="21211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19</Pages>
  <Words>4261</Words>
  <Characters>23436</Characters>
  <Application>Microsoft Office Word</Application>
  <DocSecurity>0</DocSecurity>
  <Lines>195</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129</cp:revision>
  <dcterms:created xsi:type="dcterms:W3CDTF">2024-06-13T14:09:00Z</dcterms:created>
  <dcterms:modified xsi:type="dcterms:W3CDTF">2024-11-04T17:24:00Z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2023-10-04T07:14:00Z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4ab8b746-ff13-42ef-9cb4-294f69964b46</vt:lpwstr>
  </property>
  <property fmtid="{D5CDD505-2E9C-101B-9397-08002B2CF9AE}" pid="8" name="MSIP_Label_48a19f0c-bea1-442e-a475-ed109d9ec508_ContentBits">
    <vt:lpwstr>0</vt:lpwstr>
  </property>
</Properties>
</file>