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3B72" w14:textId="77777777" w:rsidR="004900CB" w:rsidRPr="00FC7EA9" w:rsidRDefault="004900CB" w:rsidP="004900CB">
      <w:pPr>
        <w:pStyle w:val="Titre1"/>
      </w:pPr>
      <w:r w:rsidRPr="00FC7EA9">
        <w:t>Architecture</w:t>
      </w:r>
    </w:p>
    <w:p w14:paraId="3B8C76FB" w14:textId="77777777" w:rsidR="004900CB" w:rsidRPr="00FC7EA9" w:rsidRDefault="004900CB" w:rsidP="004900CB">
      <w:pPr>
        <w:pStyle w:val="Titre2"/>
      </w:pPr>
      <w:bookmarkStart w:id="0" w:name="_Toc56785237"/>
      <w:bookmarkStart w:id="1" w:name="_Toc99978576"/>
      <w:bookmarkStart w:id="2" w:name="_Toc107267837"/>
      <w:r w:rsidRPr="00FC7EA9">
        <w:t>Architecture globale de PASS ALM</w:t>
      </w:r>
      <w:bookmarkEnd w:id="0"/>
      <w:bookmarkEnd w:id="1"/>
      <w:bookmarkEnd w:id="2"/>
    </w:p>
    <w:p w14:paraId="16BD4AAF" w14:textId="77777777" w:rsidR="004900CB" w:rsidRPr="009C16F9" w:rsidRDefault="004900CB" w:rsidP="004900CB">
      <w:pPr>
        <w:tabs>
          <w:tab w:val="num" w:pos="6480"/>
        </w:tabs>
        <w:spacing w:after="0"/>
        <w:jc w:val="both"/>
      </w:pPr>
      <w:r w:rsidRPr="009C16F9">
        <w:t>L</w:t>
      </w:r>
      <w:r>
        <w:t>e module MOTEUR</w:t>
      </w:r>
      <w:r w:rsidRPr="009C16F9">
        <w:t xml:space="preserve"> s’inscrit dans une architecture globale qui inclut </w:t>
      </w:r>
      <w:r>
        <w:t>2</w:t>
      </w:r>
      <w:r w:rsidRPr="009C16F9">
        <w:t xml:space="preserve"> autres </w:t>
      </w:r>
      <w:r>
        <w:t>modules</w:t>
      </w:r>
      <w:r w:rsidRPr="009C16F9">
        <w:t xml:space="preserve"> en </w:t>
      </w:r>
      <w:r>
        <w:t>amont</w:t>
      </w:r>
      <w:r w:rsidRPr="009C16F9">
        <w:t xml:space="preserve"> du moteur : les </w:t>
      </w:r>
      <w:r>
        <w:t>modules</w:t>
      </w:r>
      <w:r w:rsidRPr="009C16F9">
        <w:t xml:space="preserve"> ALIM</w:t>
      </w:r>
      <w:r>
        <w:t>, SCENARIO. Cette architecture</w:t>
      </w:r>
      <w:r w:rsidRPr="009C16F9">
        <w:t xml:space="preserve"> se décline de la façon suivante :</w:t>
      </w:r>
    </w:p>
    <w:p w14:paraId="76E6EAB2" w14:textId="77777777" w:rsidR="004900CB" w:rsidRPr="009C16F9" w:rsidRDefault="004900CB" w:rsidP="004900CB">
      <w:pPr>
        <w:tabs>
          <w:tab w:val="num" w:pos="6480"/>
        </w:tabs>
        <w:spacing w:after="0"/>
        <w:jc w:val="both"/>
      </w:pPr>
    </w:p>
    <w:p w14:paraId="13C6A7AD" w14:textId="77777777" w:rsidR="004900CB" w:rsidRPr="009C16F9" w:rsidRDefault="004900CB" w:rsidP="004900CB">
      <w:pPr>
        <w:jc w:val="center"/>
      </w:pPr>
      <w:r>
        <w:object w:dxaOrig="17628" w:dyaOrig="8424" w14:anchorId="69B56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55pt;height:216.45pt" o:ole="">
            <v:imagedata r:id="rId5" o:title="" cropright="15697f"/>
          </v:shape>
          <o:OLEObject Type="Embed" ProgID="PBrush" ShapeID="_x0000_i1025" DrawAspect="Content" ObjectID="_1802264814" r:id="rId6"/>
        </w:object>
      </w:r>
    </w:p>
    <w:p w14:paraId="471B58CF" w14:textId="77777777" w:rsidR="004900CB" w:rsidRPr="009C16F9" w:rsidRDefault="004900CB" w:rsidP="004900CB">
      <w:pPr>
        <w:spacing w:after="0"/>
        <w:jc w:val="both"/>
      </w:pPr>
    </w:p>
    <w:p w14:paraId="7F2AE98B" w14:textId="77777777" w:rsidR="004900CB" w:rsidRPr="00594401" w:rsidRDefault="004900CB" w:rsidP="004900CB">
      <w:pPr>
        <w:pStyle w:val="Titre2"/>
      </w:pPr>
      <w:bookmarkStart w:id="3" w:name="_Toc99978577"/>
      <w:bookmarkStart w:id="4" w:name="_Toc107267838"/>
      <w:r w:rsidRPr="00594401">
        <w:t xml:space="preserve">Architecture spécifique </w:t>
      </w:r>
      <w:proofErr w:type="gramStart"/>
      <w:r w:rsidRPr="00594401">
        <w:t>de la brique moteur</w:t>
      </w:r>
      <w:bookmarkEnd w:id="3"/>
      <w:bookmarkEnd w:id="4"/>
      <w:proofErr w:type="gramEnd"/>
    </w:p>
    <w:p w14:paraId="2C4E6C5D" w14:textId="77777777" w:rsidR="004900CB" w:rsidRPr="009C16F9" w:rsidRDefault="004900CB" w:rsidP="004900CB">
      <w:pPr>
        <w:jc w:val="both"/>
      </w:pPr>
      <w:r w:rsidRPr="009C16F9">
        <w:t>L’architecture spécifique à la brique moteur se décline selon le schéma suivant :</w:t>
      </w:r>
    </w:p>
    <w:p w14:paraId="579FF0CB" w14:textId="77777777" w:rsidR="004900CB" w:rsidRPr="009C16F9" w:rsidRDefault="004900CB" w:rsidP="004900CB">
      <w:pPr>
        <w:jc w:val="both"/>
      </w:pPr>
      <w:r w:rsidRPr="009C16F9">
        <w:rPr>
          <w:noProof/>
        </w:rPr>
        <w:drawing>
          <wp:inline distT="0" distB="0" distL="0" distR="0" wp14:anchorId="6E2BC241" wp14:editId="1FC81EA4">
            <wp:extent cx="6302159" cy="3823584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261" cy="3834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580C0" w14:textId="77777777" w:rsidR="004900CB" w:rsidRPr="009C16F9" w:rsidRDefault="004900CB" w:rsidP="004900CB">
      <w:pPr>
        <w:jc w:val="both"/>
      </w:pPr>
      <w:r w:rsidRPr="009C16F9">
        <w:lastRenderedPageBreak/>
        <w:t xml:space="preserve">Les fichiers d’entrée du moteur sont ceux générés par la brique </w:t>
      </w:r>
      <w:r>
        <w:t>SCENARIO</w:t>
      </w:r>
      <w:r w:rsidRPr="009C16F9">
        <w:t xml:space="preserve"> de PASS-ALM :</w:t>
      </w:r>
    </w:p>
    <w:p w14:paraId="588919E5" w14:textId="77777777" w:rsidR="004900CB" w:rsidRPr="009C16F9" w:rsidRDefault="004900CB" w:rsidP="004900CB">
      <w:pPr>
        <w:pStyle w:val="Paragraphedeliste"/>
        <w:numPr>
          <w:ilvl w:val="8"/>
          <w:numId w:val="1"/>
        </w:numPr>
        <w:spacing w:after="80"/>
        <w:ind w:left="924" w:hanging="357"/>
        <w:contextualSpacing w:val="0"/>
        <w:jc w:val="both"/>
      </w:pPr>
      <w:r w:rsidRPr="009C16F9">
        <w:t xml:space="preserve">Le fichier contenant le stock qui contient les données du STOCK et les mapping généraux de PASS-ALM. </w:t>
      </w:r>
    </w:p>
    <w:p w14:paraId="1EB33F5C" w14:textId="77777777" w:rsidR="004900CB" w:rsidRPr="009C16F9" w:rsidRDefault="004900CB" w:rsidP="004900CB">
      <w:pPr>
        <w:pStyle w:val="Paragraphedeliste"/>
        <w:numPr>
          <w:ilvl w:val="8"/>
          <w:numId w:val="1"/>
        </w:numPr>
        <w:spacing w:after="120"/>
        <w:ind w:left="924" w:hanging="357"/>
        <w:contextualSpacing w:val="0"/>
        <w:jc w:val="both"/>
      </w:pPr>
      <w:r w:rsidRPr="009C16F9">
        <w:t xml:space="preserve">Les fichiers contenant les scénarios à jouer </w:t>
      </w:r>
      <w:r w:rsidRPr="009C16F9">
        <w:rPr>
          <w:b/>
          <w:bCs/>
        </w:rPr>
        <w:t>définis par l’utilisateur</w:t>
      </w:r>
      <w:r w:rsidRPr="009C16F9">
        <w:t xml:space="preserve">. Contient les données PN (ECH, NMD, PEL en niveau et en bilan constant), les courbes de taux (scénario, </w:t>
      </w:r>
      <w:proofErr w:type="spellStart"/>
      <w:r w:rsidRPr="009C16F9">
        <w:t>fermat</w:t>
      </w:r>
      <w:proofErr w:type="spellEnd"/>
      <w:r w:rsidRPr="009C16F9">
        <w:t xml:space="preserve">, taux d’actualisation </w:t>
      </w:r>
      <w:proofErr w:type="spellStart"/>
      <w:r w:rsidRPr="009C16F9">
        <w:t>boostrappés</w:t>
      </w:r>
      <w:proofErr w:type="spellEnd"/>
      <w:r w:rsidRPr="009C16F9">
        <w:t xml:space="preserve">), les données </w:t>
      </w:r>
      <w:r>
        <w:t>de recalcul du stock</w:t>
      </w:r>
      <w:r w:rsidRPr="009C16F9">
        <w:t xml:space="preserve"> </w:t>
      </w:r>
      <w:r>
        <w:t>(</w:t>
      </w:r>
      <w:r w:rsidRPr="009C16F9">
        <w:t>RA</w:t>
      </w:r>
      <w:r>
        <w:t xml:space="preserve">-RN, </w:t>
      </w:r>
      <w:r w:rsidRPr="009C16F9">
        <w:t>PEL</w:t>
      </w:r>
      <w:r>
        <w:t>, DAV)</w:t>
      </w:r>
      <w:r w:rsidRPr="009C16F9">
        <w:t>, les données de HEDGING, les paramètres spécifiques aux</w:t>
      </w:r>
      <w:r>
        <w:t xml:space="preserve"> profils d’écoulement des </w:t>
      </w:r>
      <w:proofErr w:type="spellStart"/>
      <w:r>
        <w:t>PNs</w:t>
      </w:r>
      <w:proofErr w:type="spellEnd"/>
      <w:r w:rsidRPr="009C16F9">
        <w:t xml:space="preserve">, </w:t>
      </w:r>
      <w:r>
        <w:t xml:space="preserve">les paramètres de </w:t>
      </w:r>
      <w:proofErr w:type="spellStart"/>
      <w:r>
        <w:t>scnéario</w:t>
      </w:r>
      <w:proofErr w:type="spellEnd"/>
      <w:r>
        <w:t xml:space="preserve"> LCR et NSFR.</w:t>
      </w:r>
    </w:p>
    <w:p w14:paraId="5D9265BE" w14:textId="77777777" w:rsidR="004900CB" w:rsidRPr="009C16F9" w:rsidRDefault="004900CB" w:rsidP="004900CB">
      <w:pPr>
        <w:spacing w:after="40"/>
        <w:jc w:val="both"/>
      </w:pPr>
      <w:r w:rsidRPr="009C16F9">
        <w:t xml:space="preserve">Les fichiers de sortie du moteur générés (sans compter les logs) par la brique moteur ont un format unifié et se composent </w:t>
      </w:r>
      <w:proofErr w:type="gramStart"/>
      <w:r w:rsidRPr="009C16F9">
        <w:t>ainsi:</w:t>
      </w:r>
      <w:proofErr w:type="gramEnd"/>
    </w:p>
    <w:p w14:paraId="54560223" w14:textId="77777777" w:rsidR="004900CB" w:rsidRPr="009C16F9" w:rsidRDefault="004900CB" w:rsidP="004900CB">
      <w:pPr>
        <w:pStyle w:val="Paragraphedeliste"/>
        <w:numPr>
          <w:ilvl w:val="8"/>
          <w:numId w:val="1"/>
        </w:numPr>
        <w:spacing w:after="80"/>
        <w:ind w:left="924" w:hanging="357"/>
        <w:contextualSpacing w:val="0"/>
        <w:jc w:val="both"/>
      </w:pPr>
      <w:proofErr w:type="gramStart"/>
      <w:r w:rsidRPr="009C16F9">
        <w:rPr>
          <w:b/>
          <w:bCs/>
          <w:color w:val="7030A0"/>
        </w:rPr>
        <w:t>CompilSC.csv</w:t>
      </w:r>
      <w:r w:rsidRPr="009C16F9">
        <w:t>:</w:t>
      </w:r>
      <w:proofErr w:type="gramEnd"/>
      <w:r w:rsidRPr="009C16F9">
        <w:t xml:space="preserve"> contient les courbes du scénario de taux choisi par l’utilisateur</w:t>
      </w:r>
    </w:p>
    <w:p w14:paraId="029CE9F0" w14:textId="77777777" w:rsidR="004900CB" w:rsidRPr="009C16F9" w:rsidRDefault="004900CB" w:rsidP="004900CB">
      <w:pPr>
        <w:pStyle w:val="Paragraphedeliste"/>
        <w:numPr>
          <w:ilvl w:val="8"/>
          <w:numId w:val="1"/>
        </w:numPr>
        <w:spacing w:after="80"/>
        <w:ind w:left="924" w:hanging="357"/>
        <w:contextualSpacing w:val="0"/>
        <w:jc w:val="both"/>
      </w:pPr>
      <w:proofErr w:type="gramStart"/>
      <w:r w:rsidRPr="009C16F9">
        <w:rPr>
          <w:b/>
          <w:bCs/>
          <w:color w:val="7030A0"/>
        </w:rPr>
        <w:t>CompilST.csv</w:t>
      </w:r>
      <w:r w:rsidRPr="009C16F9">
        <w:t>:</w:t>
      </w:r>
      <w:proofErr w:type="gramEnd"/>
      <w:r w:rsidRPr="009C16F9">
        <w:t xml:space="preserve"> contient les indicateurs (EF, EM, MNI etc.) (y compris </w:t>
      </w:r>
      <w:r>
        <w:t xml:space="preserve">les </w:t>
      </w:r>
      <w:r w:rsidRPr="009C16F9">
        <w:t xml:space="preserve">contrats IGM) écoulés mensuellement sur n mois de projection, pour chaque </w:t>
      </w:r>
      <w:r>
        <w:t>ligne du</w:t>
      </w:r>
      <w:r w:rsidRPr="009C16F9">
        <w:t xml:space="preserve"> </w:t>
      </w:r>
      <w:proofErr w:type="spellStart"/>
      <w:r w:rsidRPr="009C16F9">
        <w:t>du</w:t>
      </w:r>
      <w:proofErr w:type="spellEnd"/>
      <w:r w:rsidRPr="009C16F9">
        <w:t xml:space="preserve"> stock </w:t>
      </w:r>
    </w:p>
    <w:p w14:paraId="58C73AE8" w14:textId="77777777" w:rsidR="004900CB" w:rsidRPr="009C16F9" w:rsidRDefault="004900CB" w:rsidP="004900CB">
      <w:pPr>
        <w:pStyle w:val="Paragraphedeliste"/>
        <w:numPr>
          <w:ilvl w:val="8"/>
          <w:numId w:val="1"/>
        </w:numPr>
        <w:spacing w:after="80"/>
        <w:ind w:left="924" w:hanging="357"/>
        <w:contextualSpacing w:val="0"/>
        <w:jc w:val="both"/>
      </w:pPr>
      <w:proofErr w:type="gramStart"/>
      <w:r w:rsidRPr="009C16F9">
        <w:rPr>
          <w:b/>
          <w:bCs/>
          <w:color w:val="7030A0"/>
        </w:rPr>
        <w:t>CompilPN.csv</w:t>
      </w:r>
      <w:r w:rsidRPr="009C16F9">
        <w:t>:</w:t>
      </w:r>
      <w:proofErr w:type="gramEnd"/>
      <w:r w:rsidRPr="009C16F9">
        <w:t xml:space="preserve"> contient les indicateurs (EF, EM, MNI etc.) (y compris </w:t>
      </w:r>
      <w:r>
        <w:t xml:space="preserve">les </w:t>
      </w:r>
      <w:r w:rsidRPr="009C16F9">
        <w:t>contrats IGM) écoulés mensuellement sur n mois de projection, pour chaque</w:t>
      </w:r>
      <w:r>
        <w:t xml:space="preserve"> ligne</w:t>
      </w:r>
      <w:r w:rsidRPr="009C16F9">
        <w:t xml:space="preserve"> </w:t>
      </w:r>
      <w:r>
        <w:t>de PN en entrée</w:t>
      </w:r>
      <w:r w:rsidRPr="009C16F9">
        <w:t xml:space="preserve"> ainsi que pour les contrats d’ajustements générés auto</w:t>
      </w:r>
      <w:r>
        <w:t>matiquement</w:t>
      </w:r>
      <w:r w:rsidRPr="009C16F9">
        <w:t xml:space="preserve"> par le moteur pour équilibrer le bilan mensuellement.</w:t>
      </w:r>
    </w:p>
    <w:p w14:paraId="74EDADE1" w14:textId="77777777" w:rsidR="0033435E" w:rsidRDefault="0033435E"/>
    <w:sectPr w:rsidR="00334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E6CA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2989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42320D"/>
    <w:multiLevelType w:val="hybridMultilevel"/>
    <w:tmpl w:val="D2827896"/>
    <w:lvl w:ilvl="0" w:tplc="C8FAB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0A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25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D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41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0E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84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C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5E"/>
    <w:rsid w:val="0033435E"/>
    <w:rsid w:val="004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D916E-5F50-45C0-AA67-09F95203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0CB"/>
    <w:rPr>
      <w:rFonts w:ascii="Cambria" w:hAnsi="Cambri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900CB"/>
    <w:pPr>
      <w:keepNext/>
      <w:keepLines/>
      <w:numPr>
        <w:numId w:val="2"/>
      </w:numPr>
      <w:spacing w:before="240" w:after="40"/>
      <w:outlineLvl w:val="0"/>
    </w:pPr>
    <w:rPr>
      <w:rFonts w:eastAsiaTheme="majorEastAsia" w:cstheme="majorBidi"/>
      <w:b/>
      <w:color w:val="5D2884"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4900CB"/>
    <w:pPr>
      <w:numPr>
        <w:ilvl w:val="1"/>
      </w:numPr>
      <w:spacing w:after="120"/>
      <w:outlineLvl w:val="1"/>
    </w:pPr>
    <w:rPr>
      <w:b w:val="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00CB"/>
    <w:pPr>
      <w:keepNext/>
      <w:keepLines/>
      <w:numPr>
        <w:ilvl w:val="2"/>
        <w:numId w:val="2"/>
      </w:numPr>
      <w:spacing w:before="240" w:after="40"/>
      <w:ind w:left="510" w:hanging="51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900CB"/>
    <w:pPr>
      <w:keepNext/>
      <w:keepLines/>
      <w:numPr>
        <w:ilvl w:val="3"/>
        <w:numId w:val="2"/>
      </w:numPr>
      <w:spacing w:before="240" w:after="80"/>
      <w:ind w:left="1713" w:hanging="862"/>
      <w:outlineLvl w:val="3"/>
    </w:pPr>
    <w:rPr>
      <w:rFonts w:eastAsiaTheme="majorEastAsia" w:cstheme="majorBidi"/>
      <w:i/>
      <w:iCs/>
      <w:color w:val="7030A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00C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00C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00C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00C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00C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00CB"/>
    <w:rPr>
      <w:rFonts w:ascii="Cambria" w:eastAsiaTheme="majorEastAsia" w:hAnsi="Cambria" w:cstheme="majorBidi"/>
      <w:b/>
      <w:color w:val="5D2884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00CB"/>
    <w:rPr>
      <w:rFonts w:ascii="Cambria" w:eastAsiaTheme="majorEastAsia" w:hAnsi="Cambria" w:cstheme="majorBidi"/>
      <w:color w:val="5D288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00CB"/>
    <w:rPr>
      <w:rFonts w:ascii="Cambria" w:eastAsiaTheme="majorEastAsia" w:hAnsi="Cambria" w:cstheme="majorBidi"/>
      <w:b/>
      <w:color w:val="7030A0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900CB"/>
    <w:rPr>
      <w:rFonts w:ascii="Cambria" w:eastAsiaTheme="majorEastAsia" w:hAnsi="Cambria" w:cstheme="majorBidi"/>
      <w:i/>
      <w:iCs/>
      <w:color w:val="7030A0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4900CB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4900CB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4900CB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490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90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49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Hossayne</dc:creator>
  <cp:keywords/>
  <dc:description/>
  <cp:lastModifiedBy>Hossayne</cp:lastModifiedBy>
  <cp:revision>2</cp:revision>
  <dcterms:created xsi:type="dcterms:W3CDTF">2025-02-28T15:20:00Z</dcterms:created>
  <dcterms:modified xsi:type="dcterms:W3CDTF">2025-02-28T15:20:00Z</dcterms:modified>
</cp:coreProperties>
</file>