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45BB" w14:textId="77777777" w:rsidR="006843A3" w:rsidRDefault="006843A3" w:rsidP="009C16F9">
      <w:pPr>
        <w:pStyle w:val="Titre"/>
        <w:jc w:val="both"/>
        <w:rPr>
          <w:rFonts w:ascii="Cambria" w:hAnsi="Cambria"/>
          <w:b/>
          <w:bCs/>
          <w:color w:val="7030A0"/>
          <w:sz w:val="52"/>
          <w:szCs w:val="52"/>
        </w:rPr>
      </w:pPr>
    </w:p>
    <w:p w14:paraId="07C5FD3C" w14:textId="77777777" w:rsidR="006843A3" w:rsidRDefault="006843A3" w:rsidP="009C16F9">
      <w:pPr>
        <w:pStyle w:val="Titre"/>
        <w:jc w:val="both"/>
        <w:rPr>
          <w:rFonts w:ascii="Cambria" w:hAnsi="Cambria"/>
          <w:b/>
          <w:bCs/>
          <w:color w:val="7030A0"/>
          <w:sz w:val="52"/>
          <w:szCs w:val="52"/>
        </w:rPr>
      </w:pPr>
    </w:p>
    <w:p w14:paraId="7725BEA2" w14:textId="77777777" w:rsidR="0051493D" w:rsidRDefault="0051493D" w:rsidP="0051493D">
      <w:pPr>
        <w:jc w:val="center"/>
        <w:rPr>
          <w:b/>
          <w:bCs/>
        </w:rPr>
      </w:pPr>
    </w:p>
    <w:p w14:paraId="7E0F512C" w14:textId="77777777" w:rsidR="0051493D" w:rsidRPr="00155F10" w:rsidRDefault="0051493D" w:rsidP="0051493D">
      <w:pPr>
        <w:spacing w:after="100" w:afterAutospacing="1"/>
        <w:ind w:right="158"/>
        <w:jc w:val="center"/>
        <w:rPr>
          <w:rFonts w:cstheme="minorHAnsi"/>
          <w:b/>
          <w:bCs/>
          <w:sz w:val="30"/>
          <w:szCs w:val="30"/>
        </w:rPr>
      </w:pPr>
      <w:r w:rsidRPr="00155F10">
        <w:rPr>
          <w:rFonts w:cstheme="minorHAnsi"/>
          <w:b/>
          <w:bCs/>
          <w:sz w:val="30"/>
          <w:szCs w:val="30"/>
        </w:rPr>
        <w:t>DOCUMENTATION PASS-ALM</w:t>
      </w:r>
    </w:p>
    <w:p w14:paraId="70B20DED" w14:textId="6887872C" w:rsidR="006843A3" w:rsidRPr="000E14A6" w:rsidRDefault="002821CE" w:rsidP="000E14A6">
      <w:pPr>
        <w:spacing w:after="100" w:afterAutospacing="1"/>
        <w:ind w:right="158"/>
        <w:jc w:val="center"/>
        <w:rPr>
          <w:rFonts w:cstheme="minorHAnsi"/>
          <w:bCs/>
          <w:i/>
          <w:color w:val="571E74"/>
          <w:sz w:val="34"/>
          <w:szCs w:val="34"/>
        </w:rPr>
      </w:pPr>
      <w:r>
        <w:rPr>
          <w:rFonts w:cstheme="minorHAnsi"/>
          <w:b/>
          <w:bCs/>
          <w:color w:val="571E74"/>
          <w:sz w:val="34"/>
          <w:szCs w:val="34"/>
        </w:rPr>
        <w:t>MODE</w:t>
      </w:r>
      <w:r w:rsidR="0051493D" w:rsidRPr="00155F10">
        <w:rPr>
          <w:rFonts w:cstheme="minorHAnsi"/>
          <w:b/>
          <w:bCs/>
          <w:color w:val="571E74"/>
          <w:sz w:val="34"/>
          <w:szCs w:val="34"/>
        </w:rPr>
        <w:t xml:space="preserve"> </w:t>
      </w:r>
      <w:r w:rsidR="0051493D">
        <w:rPr>
          <w:rFonts w:cstheme="minorHAnsi"/>
          <w:b/>
          <w:bCs/>
          <w:color w:val="571E74"/>
          <w:sz w:val="34"/>
          <w:szCs w:val="34"/>
        </w:rPr>
        <w:t>MOTEUR</w:t>
      </w:r>
    </w:p>
    <w:p w14:paraId="52A13A1D" w14:textId="50154D54" w:rsidR="006843A3" w:rsidRDefault="006843A3" w:rsidP="006843A3"/>
    <w:p w14:paraId="0CF798A1" w14:textId="77777777" w:rsidR="000E14A6" w:rsidRPr="00444C1D" w:rsidRDefault="000E14A6" w:rsidP="000E14A6">
      <w:pPr>
        <w:pStyle w:val="Titre1"/>
      </w:pPr>
      <w:bookmarkStart w:id="0" w:name="_Toc500929735"/>
      <w:bookmarkStart w:id="1" w:name="_Toc76386814"/>
      <w:bookmarkStart w:id="2" w:name="_Toc107239797"/>
      <w:bookmarkStart w:id="3" w:name="_Hlk107227662"/>
      <w:r w:rsidRPr="00444C1D">
        <w:t>Objet du document</w:t>
      </w:r>
      <w:bookmarkEnd w:id="0"/>
      <w:bookmarkEnd w:id="1"/>
      <w:bookmarkEnd w:id="2"/>
    </w:p>
    <w:bookmarkEnd w:id="3"/>
    <w:p w14:paraId="357D112B" w14:textId="3EB75670" w:rsidR="006843A3" w:rsidRPr="000E14A6" w:rsidRDefault="000E14A6" w:rsidP="000E14A6">
      <w:r w:rsidRPr="00A8537D">
        <w:t>L’objet du présent document est de guider l’utilisateur de PASS-ALM</w:t>
      </w:r>
      <w:r>
        <w:t xml:space="preserve"> dans le mode SCENARIO</w:t>
      </w:r>
      <w:r w:rsidRPr="00A8537D">
        <w:t>.</w:t>
      </w:r>
      <w:r>
        <w:t xml:space="preserve"> Il</w:t>
      </w:r>
      <w:r w:rsidRPr="00444C1D">
        <w:t xml:space="preserve"> détaillera les différentes étapes d’utilisation, les traitements et les fonctionnalités du module Scénario.</w:t>
      </w:r>
    </w:p>
    <w:p w14:paraId="6F2554E0" w14:textId="574C170B" w:rsidR="000E14A6" w:rsidRPr="00F5176D" w:rsidRDefault="000E14A6" w:rsidP="000E14A6">
      <w:pPr>
        <w:pStyle w:val="Titre1"/>
      </w:pPr>
      <w:bookmarkStart w:id="4" w:name="_Toc107227824"/>
      <w:bookmarkStart w:id="5" w:name="_Toc107227914"/>
      <w:bookmarkStart w:id="6" w:name="_Toc107239798"/>
      <w:r>
        <w:t>Description d</w:t>
      </w:r>
      <w:bookmarkEnd w:id="4"/>
      <w:bookmarkEnd w:id="5"/>
      <w:r>
        <w:t xml:space="preserve">u mode </w:t>
      </w:r>
      <w:bookmarkEnd w:id="6"/>
      <w:r>
        <w:t>MOTEUR</w:t>
      </w:r>
    </w:p>
    <w:p w14:paraId="681F0358" w14:textId="6EB7F78F" w:rsidR="00CC413F" w:rsidRPr="009C16F9" w:rsidRDefault="0072213D" w:rsidP="009C16F9">
      <w:pPr>
        <w:jc w:val="both"/>
      </w:pPr>
      <w:r w:rsidRPr="009C16F9">
        <w:t>L</w:t>
      </w:r>
      <w:r w:rsidR="000E14A6">
        <w:t xml:space="preserve">e mode </w:t>
      </w:r>
      <w:r w:rsidR="00C1403E">
        <w:t>MOTEUR</w:t>
      </w:r>
      <w:r w:rsidRPr="009C16F9">
        <w:t xml:space="preserve"> constitue </w:t>
      </w:r>
      <w:r w:rsidR="000E14A6">
        <w:t>le module</w:t>
      </w:r>
      <w:r w:rsidRPr="009C16F9">
        <w:t xml:space="preserve"> central de l’outil de simulation </w:t>
      </w:r>
      <w:r w:rsidRPr="009C16F9">
        <w:rPr>
          <w:b/>
          <w:bCs/>
          <w:i/>
          <w:iCs/>
          <w:color w:val="7030A0"/>
        </w:rPr>
        <w:t>PASS</w:t>
      </w:r>
      <w:r w:rsidR="00CC413F" w:rsidRPr="009C16F9">
        <w:rPr>
          <w:b/>
          <w:bCs/>
          <w:i/>
          <w:iCs/>
          <w:color w:val="7030A0"/>
        </w:rPr>
        <w:t>-</w:t>
      </w:r>
      <w:r w:rsidRPr="009C16F9">
        <w:rPr>
          <w:b/>
          <w:bCs/>
          <w:i/>
          <w:iCs/>
          <w:color w:val="7030A0"/>
        </w:rPr>
        <w:t>ALM</w:t>
      </w:r>
      <w:r w:rsidRPr="009C16F9">
        <w:t xml:space="preserve">. Elle permet de </w:t>
      </w:r>
      <w:r w:rsidR="00CC413F" w:rsidRPr="009C16F9">
        <w:t xml:space="preserve">projeter </w:t>
      </w:r>
      <w:r w:rsidR="00FC2FF2" w:rsidRPr="009C16F9">
        <w:t xml:space="preserve">sur </w:t>
      </w:r>
      <w:r w:rsidR="00830B05">
        <w:t>30</w:t>
      </w:r>
      <w:r w:rsidR="00FC2FF2" w:rsidRPr="009C16F9">
        <w:t xml:space="preserve"> ans, avec des pas mensuels</w:t>
      </w:r>
      <w:r w:rsidR="009E2ACC" w:rsidRPr="009C16F9">
        <w:t>,</w:t>
      </w:r>
      <w:r w:rsidR="00CC413F" w:rsidRPr="009C16F9">
        <w:t xml:space="preserve"> le </w:t>
      </w:r>
      <w:r w:rsidR="00757402" w:rsidRPr="009C16F9">
        <w:t xml:space="preserve">bilan d’un ou plusieurs </w:t>
      </w:r>
      <w:r w:rsidR="00CC413F" w:rsidRPr="009C16F9">
        <w:t>établissements</w:t>
      </w:r>
      <w:r w:rsidR="00757402" w:rsidRPr="009C16F9">
        <w:t xml:space="preserve"> </w:t>
      </w:r>
      <w:r w:rsidR="00FC2FF2" w:rsidRPr="009C16F9">
        <w:t xml:space="preserve">du groupe BPCE </w:t>
      </w:r>
      <w:r w:rsidR="00757402" w:rsidRPr="009C16F9">
        <w:t xml:space="preserve">à partir </w:t>
      </w:r>
      <w:r w:rsidRPr="009C16F9">
        <w:t>d’</w:t>
      </w:r>
      <w:r w:rsidR="00757402" w:rsidRPr="009C16F9">
        <w:t xml:space="preserve">un </w:t>
      </w:r>
      <w:r w:rsidRPr="009C16F9">
        <w:t>ou plusieurs scénarios</w:t>
      </w:r>
      <w:r w:rsidR="00757402" w:rsidRPr="009C16F9">
        <w:t xml:space="preserve"> de taux et de volume</w:t>
      </w:r>
      <w:r w:rsidR="000E14A6">
        <w:t xml:space="preserve"> et de modèles comportementaux.</w:t>
      </w:r>
    </w:p>
    <w:p w14:paraId="1DDB6E25" w14:textId="32598405" w:rsidR="004743ED" w:rsidRPr="009C16F9" w:rsidRDefault="00CC413F" w:rsidP="000E14A6">
      <w:pPr>
        <w:jc w:val="both"/>
      </w:pPr>
      <w:r w:rsidRPr="009C16F9">
        <w:t xml:space="preserve">L’outil prend en charge et peut </w:t>
      </w:r>
      <w:r w:rsidR="00DA59EE">
        <w:t>calculer</w:t>
      </w:r>
      <w:r w:rsidRPr="009C16F9">
        <w:t xml:space="preserve"> </w:t>
      </w:r>
      <w:r w:rsidR="00757402" w:rsidRPr="009C16F9">
        <w:t>un ensemble assez large d’indicateurs ALM</w:t>
      </w:r>
      <w:r w:rsidRPr="009C16F9">
        <w:t xml:space="preserve">, </w:t>
      </w:r>
      <w:r w:rsidR="00A65B8F">
        <w:t>ayant trait à la</w:t>
      </w:r>
      <w:r w:rsidR="00757402" w:rsidRPr="009C16F9">
        <w:t xml:space="preserve"> </w:t>
      </w:r>
      <w:r w:rsidRPr="009C16F9">
        <w:t>LIQUIDITÉ</w:t>
      </w:r>
      <w:r w:rsidR="00757402" w:rsidRPr="009C16F9">
        <w:t xml:space="preserve"> (</w:t>
      </w:r>
      <w:r w:rsidRPr="009C16F9">
        <w:t>e</w:t>
      </w:r>
      <w:r w:rsidR="00757402" w:rsidRPr="009C16F9">
        <w:t xml:space="preserve">ncours, </w:t>
      </w:r>
      <w:r w:rsidRPr="009C16F9">
        <w:t>gaps</w:t>
      </w:r>
      <w:r w:rsidR="00757402" w:rsidRPr="009C16F9">
        <w:t xml:space="preserve"> de</w:t>
      </w:r>
      <w:r w:rsidRPr="009C16F9">
        <w:t xml:space="preserve"> liquidés</w:t>
      </w:r>
      <w:r w:rsidR="00757402" w:rsidRPr="009C16F9">
        <w:t xml:space="preserve">, </w:t>
      </w:r>
      <w:proofErr w:type="spellStart"/>
      <w:r w:rsidRPr="009C16F9">
        <w:t>outflows</w:t>
      </w:r>
      <w:proofErr w:type="spellEnd"/>
      <w:r w:rsidRPr="009C16F9">
        <w:t xml:space="preserve"> etc.)</w:t>
      </w:r>
      <w:r w:rsidR="00757402" w:rsidRPr="009C16F9">
        <w:t xml:space="preserve"> ou</w:t>
      </w:r>
      <w:r w:rsidRPr="009C16F9">
        <w:t xml:space="preserve"> </w:t>
      </w:r>
      <w:r w:rsidR="00A65B8F">
        <w:t>au</w:t>
      </w:r>
      <w:r w:rsidRPr="009C16F9">
        <w:t xml:space="preserve"> </w:t>
      </w:r>
      <w:r w:rsidR="00757402" w:rsidRPr="009C16F9">
        <w:t xml:space="preserve">TAUX (MNI, </w:t>
      </w:r>
      <w:r w:rsidRPr="009C16F9">
        <w:t xml:space="preserve">gaps </w:t>
      </w:r>
      <w:r w:rsidR="00757402" w:rsidRPr="009C16F9">
        <w:t xml:space="preserve">de </w:t>
      </w:r>
      <w:r w:rsidRPr="009C16F9">
        <w:t>taux</w:t>
      </w:r>
      <w:r w:rsidR="00757402" w:rsidRPr="009C16F9">
        <w:t xml:space="preserve"> </w:t>
      </w:r>
      <w:r w:rsidRPr="009C16F9">
        <w:t>fixes</w:t>
      </w:r>
      <w:r w:rsidR="00757402" w:rsidRPr="009C16F9">
        <w:t xml:space="preserve">, </w:t>
      </w:r>
      <w:r w:rsidRPr="009C16F9">
        <w:t xml:space="preserve">gaps </w:t>
      </w:r>
      <w:r w:rsidR="00757402" w:rsidRPr="009C16F9">
        <w:t>d’</w:t>
      </w:r>
      <w:r w:rsidRPr="009C16F9">
        <w:t>inflation</w:t>
      </w:r>
      <w:r w:rsidR="00757402" w:rsidRPr="009C16F9">
        <w:t xml:space="preserve">, </w:t>
      </w:r>
      <w:r w:rsidRPr="009C16F9">
        <w:t>gaps réglementaires</w:t>
      </w:r>
      <w:r w:rsidR="00757402" w:rsidRPr="009C16F9">
        <w:t xml:space="preserve">, </w:t>
      </w:r>
      <w:proofErr w:type="spellStart"/>
      <w:r w:rsidRPr="009C16F9">
        <w:t>economic</w:t>
      </w:r>
      <w:proofErr w:type="spellEnd"/>
      <w:r w:rsidRPr="009C16F9">
        <w:t xml:space="preserve"> value of </w:t>
      </w:r>
      <w:proofErr w:type="spellStart"/>
      <w:r w:rsidRPr="009C16F9">
        <w:t>equity</w:t>
      </w:r>
      <w:proofErr w:type="spellEnd"/>
      <w:r w:rsidRPr="009C16F9">
        <w:t xml:space="preserve"> (</w:t>
      </w:r>
      <w:r w:rsidR="00757402" w:rsidRPr="009C16F9">
        <w:t>EVE</w:t>
      </w:r>
      <w:r w:rsidRPr="009C16F9">
        <w:t>)</w:t>
      </w:r>
      <w:r w:rsidR="00757402" w:rsidRPr="009C16F9">
        <w:t xml:space="preserve"> etc.)</w:t>
      </w:r>
      <w:r w:rsidR="0072213D" w:rsidRPr="009C16F9">
        <w:t>.</w:t>
      </w:r>
      <w:r w:rsidR="00A65B8F">
        <w:t xml:space="preserve"> </w:t>
      </w:r>
    </w:p>
    <w:p w14:paraId="14D5B79E" w14:textId="77777777" w:rsidR="000E14A6" w:rsidRPr="00F5176D" w:rsidRDefault="000E14A6" w:rsidP="000E14A6">
      <w:pPr>
        <w:pStyle w:val="Titre1"/>
      </w:pPr>
      <w:bookmarkStart w:id="7" w:name="_Toc107227825"/>
      <w:bookmarkStart w:id="8" w:name="_Toc107227915"/>
      <w:bookmarkStart w:id="9" w:name="_Toc107239800"/>
      <w:r>
        <w:t xml:space="preserve">Paramétrage </w:t>
      </w:r>
      <w:bookmarkEnd w:id="7"/>
      <w:bookmarkEnd w:id="8"/>
      <w:bookmarkEnd w:id="9"/>
      <w:r>
        <w:t>du fichier de configuration</w:t>
      </w:r>
      <w:r w:rsidRPr="00F5176D">
        <w:t xml:space="preserve"> </w:t>
      </w:r>
    </w:p>
    <w:p w14:paraId="65F1EE4E" w14:textId="77777777" w:rsidR="000E14A6" w:rsidRDefault="000E14A6" w:rsidP="000E14A6">
      <w:pPr>
        <w:pStyle w:val="Paragraphedeliste"/>
        <w:numPr>
          <w:ilvl w:val="0"/>
          <w:numId w:val="25"/>
        </w:numPr>
      </w:pPr>
      <w:r>
        <w:t>Dans l’onglet « CONFIG </w:t>
      </w:r>
      <w:proofErr w:type="gramStart"/>
      <w:r>
        <w:t>»:</w:t>
      </w:r>
      <w:proofErr w:type="gramEnd"/>
    </w:p>
    <w:p w14:paraId="0D50123C" w14:textId="04540E44" w:rsidR="000E14A6" w:rsidRPr="002E5AD7" w:rsidRDefault="000E14A6" w:rsidP="000E14A6">
      <w:pPr>
        <w:pStyle w:val="Paragraphedeliste"/>
        <w:numPr>
          <w:ilvl w:val="0"/>
          <w:numId w:val="24"/>
        </w:numPr>
        <w:ind w:left="993"/>
      </w:pPr>
      <w:r w:rsidRPr="002E5AD7">
        <w:t>Choisir le MODE « </w:t>
      </w:r>
      <w:r>
        <w:t>MOTEUR</w:t>
      </w:r>
      <w:r w:rsidRPr="002E5AD7">
        <w:t> » et compléter</w:t>
      </w:r>
      <w:r>
        <w:t> :</w:t>
      </w:r>
    </w:p>
    <w:p w14:paraId="53D850DA" w14:textId="77777777" w:rsidR="000E14A6" w:rsidRPr="002E5AD7" w:rsidRDefault="000E14A6" w:rsidP="000E14A6">
      <w:pPr>
        <w:pStyle w:val="Paragraphedeliste"/>
        <w:numPr>
          <w:ilvl w:val="1"/>
          <w:numId w:val="24"/>
        </w:numPr>
        <w:spacing w:after="0"/>
        <w:contextualSpacing w:val="0"/>
      </w:pPr>
      <w:r w:rsidRPr="002E5AD7">
        <w:t xml:space="preserve">Le paramètre LISTE ENTITES doit être renseigné avec le nom des </w:t>
      </w:r>
      <w:r w:rsidRPr="002E5AD7">
        <w:rPr>
          <w:b/>
          <w:bCs/>
          <w:color w:val="FF0000"/>
        </w:rPr>
        <w:t>ENTITÉS à alimenter SÉPARÉES PAR DES VIRGULES</w:t>
      </w:r>
      <w:r w:rsidRPr="002E5AD7">
        <w:t>.</w:t>
      </w:r>
    </w:p>
    <w:p w14:paraId="2CA298DB" w14:textId="77777777" w:rsidR="000E14A6" w:rsidRPr="002E5AD7" w:rsidRDefault="000E14A6" w:rsidP="000E14A6">
      <w:pPr>
        <w:pStyle w:val="Paragraphedeliste"/>
        <w:numPr>
          <w:ilvl w:val="1"/>
          <w:numId w:val="24"/>
        </w:numPr>
      </w:pPr>
      <w:r w:rsidRPr="002E5AD7">
        <w:t xml:space="preserve">Le paramètre REPERTOIRE SOURCES indique </w:t>
      </w:r>
      <w:r w:rsidRPr="002E5AD7">
        <w:rPr>
          <w:b/>
          <w:bCs/>
        </w:rPr>
        <w:t>dossier contenant les fichiers sources issues de l’AED</w:t>
      </w:r>
    </w:p>
    <w:p w14:paraId="74CEE558" w14:textId="77777777" w:rsidR="000E14A6" w:rsidRDefault="000E14A6" w:rsidP="000E14A6">
      <w:pPr>
        <w:pStyle w:val="Paragraphedeliste"/>
        <w:numPr>
          <w:ilvl w:val="1"/>
          <w:numId w:val="24"/>
        </w:numPr>
        <w:spacing w:after="0"/>
        <w:ind w:left="1485" w:hanging="357"/>
        <w:contextualSpacing w:val="0"/>
      </w:pPr>
      <w:r w:rsidRPr="002E5AD7">
        <w:t>Le paramètre REPERTOIR</w:t>
      </w:r>
      <w:r>
        <w:t>E</w:t>
      </w:r>
      <w:r w:rsidRPr="002E5AD7">
        <w:t xml:space="preserve"> SORTIE indique le dossier où seront stockés les fichiers de sortie</w:t>
      </w:r>
    </w:p>
    <w:p w14:paraId="40414E5D" w14:textId="00CE0EC2" w:rsidR="000E14A6" w:rsidRPr="002E5AD7" w:rsidRDefault="000E14A6" w:rsidP="000E14A6">
      <w:pPr>
        <w:pStyle w:val="Paragraphedeliste"/>
        <w:numPr>
          <w:ilvl w:val="1"/>
          <w:numId w:val="24"/>
        </w:numPr>
        <w:spacing w:after="0"/>
        <w:ind w:left="1485" w:hanging="357"/>
        <w:contextualSpacing w:val="0"/>
      </w:pPr>
      <w:r w:rsidRPr="002E5AD7">
        <w:t>Le paramètre REPERTOIR</w:t>
      </w:r>
      <w:r>
        <w:t>E</w:t>
      </w:r>
      <w:r w:rsidRPr="002E5AD7">
        <w:t xml:space="preserve"> </w:t>
      </w:r>
      <w:r>
        <w:t>SCNEARIO</w:t>
      </w:r>
      <w:r w:rsidRPr="002E5AD7">
        <w:t xml:space="preserve"> indique le dossier où </w:t>
      </w:r>
      <w:r>
        <w:t xml:space="preserve">se trouvent les résultats de sortie </w:t>
      </w:r>
      <w:r>
        <w:t>du mode SCENARIO</w:t>
      </w:r>
    </w:p>
    <w:p w14:paraId="2468271E" w14:textId="77777777" w:rsidR="000E14A6" w:rsidRDefault="000E14A6" w:rsidP="000E14A6">
      <w:pPr>
        <w:pStyle w:val="Paragraphedeliste"/>
        <w:numPr>
          <w:ilvl w:val="1"/>
          <w:numId w:val="24"/>
        </w:numPr>
        <w:spacing w:after="0"/>
        <w:ind w:left="1485" w:hanging="357"/>
        <w:contextualSpacing w:val="0"/>
      </w:pPr>
      <w:r w:rsidRPr="002E5AD7">
        <w:t>La DAR correspond à la date d’arrêté</w:t>
      </w:r>
    </w:p>
    <w:p w14:paraId="4AB181DD" w14:textId="6E5C94F4" w:rsidR="000E14A6" w:rsidRDefault="000E14A6" w:rsidP="000E14A6">
      <w:pPr>
        <w:pStyle w:val="Paragraphedeliste"/>
        <w:numPr>
          <w:ilvl w:val="1"/>
          <w:numId w:val="24"/>
        </w:numPr>
        <w:spacing w:after="0"/>
        <w:ind w:left="1485" w:hanging="357"/>
        <w:contextualSpacing w:val="0"/>
      </w:pPr>
      <w:r>
        <w:t>Le paramètre « NB MOIS DE PROJECTION » permet de choisir le nombre de mois de projection du bilan (60 pour l’exercice de SENSI REVENUS et 300 mois pour le SOT EVE).</w:t>
      </w:r>
    </w:p>
    <w:p w14:paraId="70CB3D2A" w14:textId="7A3FBACE" w:rsidR="000E14A6" w:rsidRDefault="000E14A6" w:rsidP="000E14A6">
      <w:pPr>
        <w:spacing w:after="0"/>
      </w:pPr>
    </w:p>
    <w:p w14:paraId="79EE5A7B" w14:textId="1F38A76B" w:rsidR="000E14A6" w:rsidRDefault="000E14A6" w:rsidP="000E14A6">
      <w:pPr>
        <w:spacing w:after="0"/>
      </w:pPr>
    </w:p>
    <w:p w14:paraId="5B7B6E3D" w14:textId="4710EB93" w:rsidR="000E14A6" w:rsidRDefault="000E14A6" w:rsidP="000E14A6">
      <w:pPr>
        <w:spacing w:after="0"/>
      </w:pPr>
    </w:p>
    <w:p w14:paraId="6F2A4602" w14:textId="5D41EC4B" w:rsidR="000E14A6" w:rsidRDefault="000E14A6" w:rsidP="000E14A6">
      <w:pPr>
        <w:spacing w:after="0"/>
      </w:pPr>
    </w:p>
    <w:p w14:paraId="4512E49E" w14:textId="6B57DA7A" w:rsidR="000E14A6" w:rsidRDefault="000E14A6" w:rsidP="000E14A6">
      <w:pPr>
        <w:spacing w:after="0"/>
      </w:pPr>
    </w:p>
    <w:p w14:paraId="24656582" w14:textId="609F0E2D" w:rsidR="000E14A6" w:rsidRDefault="000E14A6" w:rsidP="000E14A6">
      <w:pPr>
        <w:spacing w:after="0"/>
      </w:pPr>
    </w:p>
    <w:p w14:paraId="1A04BBB4" w14:textId="77777777" w:rsidR="000E14A6" w:rsidRDefault="000E14A6" w:rsidP="000E14A6">
      <w:pPr>
        <w:pStyle w:val="Sansinterligne"/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42A19BCB" w14:textId="77777777" w:rsidR="000E14A6" w:rsidRPr="00020B97" w:rsidRDefault="000E14A6" w:rsidP="000E14A6">
      <w:pPr>
        <w:pStyle w:val="Paragraphedeliste"/>
        <w:numPr>
          <w:ilvl w:val="0"/>
          <w:numId w:val="25"/>
        </w:numPr>
      </w:pPr>
      <w:r w:rsidRPr="00020B97">
        <w:t xml:space="preserve">Dans l’onglet « SCENARIO_MAIN </w:t>
      </w:r>
      <w:proofErr w:type="gramStart"/>
      <w:r w:rsidRPr="00020B97">
        <w:t>»:</w:t>
      </w:r>
      <w:proofErr w:type="gramEnd"/>
    </w:p>
    <w:p w14:paraId="4CE28573" w14:textId="77777777" w:rsidR="000E14A6" w:rsidRDefault="000E14A6" w:rsidP="000E14A6">
      <w:pPr>
        <w:pStyle w:val="Paragraphedeliste"/>
        <w:ind w:left="768"/>
      </w:pPr>
      <w:r w:rsidRPr="00020B97">
        <w:rPr>
          <w:b/>
          <w:bCs/>
        </w:rPr>
        <w:t>A. Paramétrage EVE</w:t>
      </w:r>
      <w:r w:rsidRPr="00020B97">
        <w:t xml:space="preserve"> </w:t>
      </w:r>
    </w:p>
    <w:p w14:paraId="50EFBD65" w14:textId="77777777" w:rsidR="000E14A6" w:rsidRPr="002E5AD7" w:rsidRDefault="000E14A6" w:rsidP="000E14A6">
      <w:pPr>
        <w:spacing w:after="0"/>
      </w:pPr>
    </w:p>
    <w:p w14:paraId="50AF022E" w14:textId="2403F014" w:rsidR="00231358" w:rsidRDefault="00231358" w:rsidP="00D55F52">
      <w:pPr>
        <w:pStyle w:val="Titre3"/>
      </w:pPr>
      <w:bookmarkStart w:id="10" w:name="_Toc99978582"/>
      <w:bookmarkStart w:id="11" w:name="_Toc107267842"/>
      <w:proofErr w:type="spellStart"/>
      <w:r w:rsidRPr="009C16F9">
        <w:t>Param_</w:t>
      </w:r>
      <w:r>
        <w:t>Sortie</w:t>
      </w:r>
      <w:bookmarkEnd w:id="10"/>
      <w:bookmarkEnd w:id="11"/>
      <w:proofErr w:type="spellEnd"/>
    </w:p>
    <w:p w14:paraId="505958BE" w14:textId="26CDD4D8" w:rsidR="00BD048D" w:rsidRDefault="00BD048D" w:rsidP="009C16F9">
      <w:pPr>
        <w:jc w:val="both"/>
      </w:pPr>
      <w:r w:rsidRPr="009C16F9">
        <w:t xml:space="preserve">L’onglet </w:t>
      </w:r>
      <w:proofErr w:type="spellStart"/>
      <w:r w:rsidRPr="009C16F9">
        <w:rPr>
          <w:b/>
          <w:bCs/>
          <w:i/>
          <w:iCs/>
        </w:rPr>
        <w:t>Param_</w:t>
      </w:r>
      <w:r w:rsidR="00730B77" w:rsidRPr="009C16F9">
        <w:rPr>
          <w:b/>
          <w:bCs/>
          <w:i/>
          <w:iCs/>
        </w:rPr>
        <w:t>Sortie</w:t>
      </w:r>
      <w:proofErr w:type="spellEnd"/>
      <w:r w:rsidR="00730B77" w:rsidRPr="009C16F9">
        <w:rPr>
          <w:b/>
          <w:bCs/>
          <w:i/>
          <w:iCs/>
        </w:rPr>
        <w:t xml:space="preserve"> </w:t>
      </w:r>
      <w:r w:rsidR="00730B77" w:rsidRPr="009C16F9">
        <w:t>permet à l’utilisateur de choisir les indicateurs et les axes qu’il souhaite inclure dans les fichiers de sorties (Compil). Il existe trois de types d’indicateurs :</w:t>
      </w:r>
    </w:p>
    <w:p w14:paraId="4474F3BE" w14:textId="66743817" w:rsidR="00D55F52" w:rsidRPr="009C16F9" w:rsidRDefault="00382710" w:rsidP="00545553">
      <w:pPr>
        <w:spacing w:after="0"/>
        <w:jc w:val="both"/>
      </w:pPr>
      <w:r>
        <w:rPr>
          <w:b/>
          <w:bCs/>
        </w:rPr>
        <w:t xml:space="preserve">a. </w:t>
      </w:r>
      <w:r w:rsidR="00D55F52" w:rsidRPr="00545553">
        <w:rPr>
          <w:b/>
          <w:bCs/>
        </w:rPr>
        <w:t>Type NORMAL</w:t>
      </w:r>
      <w:r w:rsidR="00D55F52" w:rsidRPr="009C16F9">
        <w:t> : indicateurs ni projeté ni contributif.</w:t>
      </w:r>
    </w:p>
    <w:p w14:paraId="55B78B7A" w14:textId="77777777" w:rsidR="00D55F52" w:rsidRPr="009C16F9" w:rsidRDefault="00D55F5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</w:pPr>
      <w:r w:rsidRPr="009C16F9">
        <w:rPr>
          <w:b/>
          <w:bCs/>
          <w:i/>
          <w:iCs/>
        </w:rPr>
        <w:t xml:space="preserve">EF, EM </w:t>
      </w:r>
      <w:r w:rsidRPr="009C16F9">
        <w:t>: encours fin de mois et moyen.</w:t>
      </w:r>
    </w:p>
    <w:p w14:paraId="7D6E9DC9" w14:textId="4833D1FA" w:rsidR="00D55F52" w:rsidRPr="009C16F9" w:rsidRDefault="00D55F5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</w:pPr>
      <w:r w:rsidRPr="009C16F9">
        <w:rPr>
          <w:b/>
          <w:bCs/>
          <w:i/>
          <w:iCs/>
        </w:rPr>
        <w:t>MN, MN TX, MN MG, MN LIQ</w:t>
      </w:r>
      <w:r w:rsidRPr="009C16F9">
        <w:t xml:space="preserve"> (PN) : respectivement la </w:t>
      </w:r>
      <w:r w:rsidR="001E4961">
        <w:t>MNI</w:t>
      </w:r>
      <w:r w:rsidRPr="009C16F9">
        <w:t xml:space="preserve"> totale, liée au taux </w:t>
      </w:r>
      <w:r w:rsidR="001E4961">
        <w:t>pur</w:t>
      </w:r>
      <w:r w:rsidRPr="009C16F9">
        <w:t>, à la marge commerciale, au spread de liquidité.</w:t>
      </w:r>
    </w:p>
    <w:p w14:paraId="17A81964" w14:textId="616D6289" w:rsidR="00D55F52" w:rsidRPr="009C16F9" w:rsidRDefault="00D55F5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</w:pPr>
      <w:r w:rsidRPr="009C16F9">
        <w:rPr>
          <w:b/>
          <w:bCs/>
          <w:i/>
          <w:iCs/>
        </w:rPr>
        <w:t>MN, MN INDEX, MN MARGE</w:t>
      </w:r>
      <w:r w:rsidRPr="009C16F9">
        <w:t xml:space="preserve"> (STOCK) : respectivement la </w:t>
      </w:r>
      <w:r w:rsidR="001E4961">
        <w:t>MNI</w:t>
      </w:r>
      <w:r w:rsidRPr="009C16F9">
        <w:t xml:space="preserve"> totale, liée au taux </w:t>
      </w:r>
      <w:r w:rsidR="001E4961">
        <w:t xml:space="preserve">pur </w:t>
      </w:r>
      <w:r w:rsidRPr="009C16F9">
        <w:t>et au à la marge commerciale.</w:t>
      </w:r>
    </w:p>
    <w:p w14:paraId="26E2BE10" w14:textId="77777777" w:rsidR="00D55F52" w:rsidRPr="009C16F9" w:rsidRDefault="00D55F5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</w:pPr>
      <w:r w:rsidRPr="009C16F9">
        <w:rPr>
          <w:b/>
          <w:bCs/>
          <w:i/>
          <w:iCs/>
        </w:rPr>
        <w:t xml:space="preserve">EFFET RA, RN </w:t>
      </w:r>
      <w:r w:rsidRPr="009C16F9">
        <w:t>(STOCK) : effet des remboursements anticipés et des renégociations des crédits immobiliers sur les encours.</w:t>
      </w:r>
    </w:p>
    <w:p w14:paraId="63A23025" w14:textId="77777777" w:rsidR="00D55F52" w:rsidRPr="009C16F9" w:rsidRDefault="00D55F5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</w:pPr>
      <w:r w:rsidRPr="009C16F9">
        <w:rPr>
          <w:b/>
          <w:bCs/>
          <w:i/>
          <w:iCs/>
        </w:rPr>
        <w:t xml:space="preserve">VOL PN </w:t>
      </w:r>
      <w:r w:rsidRPr="009C16F9">
        <w:t>(PN) : volume effectif de PN émis (par mois)</w:t>
      </w:r>
    </w:p>
    <w:p w14:paraId="601DEE74" w14:textId="77777777" w:rsidR="00D55F52" w:rsidRPr="009C16F9" w:rsidRDefault="00D55F5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</w:pPr>
      <w:r w:rsidRPr="009C16F9">
        <w:rPr>
          <w:b/>
          <w:bCs/>
          <w:i/>
          <w:iCs/>
        </w:rPr>
        <w:t xml:space="preserve">TX CLI </w:t>
      </w:r>
      <w:r w:rsidRPr="009C16F9">
        <w:t>(PN) : taux mensuel payé par le client</w:t>
      </w:r>
    </w:p>
    <w:p w14:paraId="416B1798" w14:textId="2D24456D" w:rsidR="00D55F52" w:rsidRDefault="00D55F5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</w:pPr>
      <w:r w:rsidRPr="009C16F9">
        <w:rPr>
          <w:b/>
          <w:bCs/>
          <w:i/>
          <w:iCs/>
        </w:rPr>
        <w:t xml:space="preserve">OUTFLOW </w:t>
      </w:r>
      <w:r w:rsidRPr="009C16F9">
        <w:t>: sortie ou tombée de liquidité ente le mois x et le mois y</w:t>
      </w:r>
    </w:p>
    <w:p w14:paraId="63882C81" w14:textId="77777777" w:rsidR="00D55F52" w:rsidRPr="009C16F9" w:rsidRDefault="00D55F52" w:rsidP="00D859AC">
      <w:pPr>
        <w:pStyle w:val="Paragraphedeliste"/>
        <w:spacing w:after="40" w:line="240" w:lineRule="auto"/>
        <w:ind w:left="1434"/>
        <w:contextualSpacing w:val="0"/>
        <w:jc w:val="both"/>
      </w:pPr>
    </w:p>
    <w:p w14:paraId="780D8810" w14:textId="4B49069C" w:rsidR="00730B77" w:rsidRPr="009C16F9" w:rsidRDefault="00382710" w:rsidP="00545553">
      <w:pPr>
        <w:spacing w:after="40" w:line="240" w:lineRule="auto"/>
        <w:jc w:val="both"/>
      </w:pPr>
      <w:r>
        <w:rPr>
          <w:b/>
          <w:bCs/>
        </w:rPr>
        <w:t xml:space="preserve">b. </w:t>
      </w:r>
      <w:r w:rsidR="00730B77" w:rsidRPr="00545553">
        <w:rPr>
          <w:b/>
          <w:bCs/>
        </w:rPr>
        <w:t>Type PROJETÉ</w:t>
      </w:r>
      <w:r w:rsidR="00730B77" w:rsidRPr="009C16F9">
        <w:t xml:space="preserve"> : indicateur pour lequel on choisit un point de </w:t>
      </w:r>
      <w:r w:rsidR="00D859AC">
        <w:t xml:space="preserve">figeage </w:t>
      </w:r>
      <w:r w:rsidR="00730B77" w:rsidRPr="009C16F9">
        <w:t xml:space="preserve">i.e. un mois à partir duquel on ne tient plus compte des </w:t>
      </w:r>
      <w:proofErr w:type="spellStart"/>
      <w:r w:rsidR="00730B77" w:rsidRPr="009C16F9">
        <w:t>PNs</w:t>
      </w:r>
      <w:proofErr w:type="spellEnd"/>
      <w:r w:rsidR="00730B77" w:rsidRPr="009C16F9">
        <w:t xml:space="preserve"> émises postérieurement</w:t>
      </w:r>
      <w:r w:rsidR="00692C2E" w:rsidRPr="009C16F9">
        <w:t xml:space="preserve"> à ce mois</w:t>
      </w:r>
      <w:r w:rsidR="00730B77" w:rsidRPr="009C16F9">
        <w:t>.</w:t>
      </w:r>
      <w:r w:rsidR="00D859AC">
        <w:t xml:space="preserve"> </w:t>
      </w:r>
    </w:p>
    <w:p w14:paraId="6449E88A" w14:textId="7E87455A" w:rsidR="00DE41E2" w:rsidRPr="009C16F9" w:rsidRDefault="00DE41E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  <w:rPr>
          <w:b/>
          <w:bCs/>
          <w:i/>
          <w:iCs/>
        </w:rPr>
      </w:pPr>
      <w:r w:rsidRPr="009C16F9">
        <w:rPr>
          <w:b/>
          <w:bCs/>
          <w:i/>
          <w:iCs/>
        </w:rPr>
        <w:t xml:space="preserve">GAP LIQ </w:t>
      </w:r>
      <w:proofErr w:type="spellStart"/>
      <w:r w:rsidRPr="009C16F9">
        <w:rPr>
          <w:b/>
          <w:bCs/>
          <w:i/>
          <w:iCs/>
        </w:rPr>
        <w:t>EF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</w:rPr>
        <w:t xml:space="preserve">, </w:t>
      </w:r>
      <w:proofErr w:type="spellStart"/>
      <w:r w:rsidRPr="009C16F9">
        <w:rPr>
          <w:b/>
          <w:bCs/>
          <w:i/>
          <w:iCs/>
        </w:rPr>
        <w:t>EM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="00873BC5" w:rsidRPr="009C16F9">
        <w:t xml:space="preserve"> : gaps de liquidité </w:t>
      </w:r>
      <w:r w:rsidR="00D859AC">
        <w:t>sur un bilan figé après le mois x</w:t>
      </w:r>
    </w:p>
    <w:p w14:paraId="55C1A65B" w14:textId="34BA9B1C" w:rsidR="00DE41E2" w:rsidRPr="009C16F9" w:rsidRDefault="00DE41E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  <w:rPr>
          <w:b/>
          <w:bCs/>
          <w:i/>
          <w:iCs/>
        </w:rPr>
      </w:pPr>
      <w:r w:rsidRPr="009C16F9">
        <w:rPr>
          <w:b/>
          <w:bCs/>
          <w:i/>
          <w:iCs/>
        </w:rPr>
        <w:t xml:space="preserve">GAP TF </w:t>
      </w:r>
      <w:proofErr w:type="spellStart"/>
      <w:r w:rsidRPr="009C16F9">
        <w:rPr>
          <w:b/>
          <w:bCs/>
          <w:i/>
          <w:iCs/>
        </w:rPr>
        <w:t>EF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</w:rPr>
        <w:t xml:space="preserve">, </w:t>
      </w:r>
      <w:proofErr w:type="spellStart"/>
      <w:r w:rsidRPr="009C16F9">
        <w:rPr>
          <w:b/>
          <w:bCs/>
          <w:i/>
          <w:iCs/>
        </w:rPr>
        <w:t>EM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="00873BC5" w:rsidRPr="009C16F9">
        <w:rPr>
          <w:color w:val="7030A0"/>
        </w:rPr>
        <w:t xml:space="preserve"> : </w:t>
      </w:r>
      <w:r w:rsidR="00873BC5" w:rsidRPr="009C16F9">
        <w:t xml:space="preserve">gaps de taux fixe </w:t>
      </w:r>
      <w:r w:rsidR="00D859AC">
        <w:t>sur un bilan figé après le mois x</w:t>
      </w:r>
    </w:p>
    <w:p w14:paraId="11856416" w14:textId="575BC483" w:rsidR="00DE41E2" w:rsidRPr="009C16F9" w:rsidRDefault="00DE41E2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  <w:rPr>
          <w:b/>
          <w:bCs/>
          <w:i/>
          <w:iCs/>
        </w:rPr>
      </w:pPr>
      <w:r w:rsidRPr="009C16F9">
        <w:rPr>
          <w:b/>
          <w:bCs/>
          <w:i/>
          <w:iCs/>
        </w:rPr>
        <w:t xml:space="preserve">GAP INF </w:t>
      </w:r>
      <w:proofErr w:type="spellStart"/>
      <w:r w:rsidRPr="009C16F9">
        <w:rPr>
          <w:b/>
          <w:bCs/>
          <w:i/>
          <w:iCs/>
        </w:rPr>
        <w:t>EF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</w:rPr>
        <w:t xml:space="preserve">, </w:t>
      </w:r>
      <w:proofErr w:type="spellStart"/>
      <w:r w:rsidRPr="009C16F9">
        <w:rPr>
          <w:b/>
          <w:bCs/>
          <w:i/>
          <w:iCs/>
        </w:rPr>
        <w:t>EM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="00873BC5" w:rsidRPr="009C16F9">
        <w:rPr>
          <w:b/>
          <w:bCs/>
          <w:i/>
          <w:iCs/>
          <w:color w:val="7030A0"/>
        </w:rPr>
        <w:t> :</w:t>
      </w:r>
      <w:r w:rsidR="00873BC5" w:rsidRPr="009C16F9">
        <w:t xml:space="preserve"> gaps inflation </w:t>
      </w:r>
      <w:r w:rsidR="00D859AC">
        <w:t>sur un bilan figé après le mois x</w:t>
      </w:r>
    </w:p>
    <w:p w14:paraId="1DDF01FE" w14:textId="42D8B03F" w:rsidR="00DE41E2" w:rsidRPr="00471C0E" w:rsidRDefault="00DE41E2" w:rsidP="00D0055B">
      <w:pPr>
        <w:pStyle w:val="Paragraphedeliste"/>
        <w:numPr>
          <w:ilvl w:val="0"/>
          <w:numId w:val="7"/>
        </w:numPr>
        <w:spacing w:after="120" w:line="240" w:lineRule="auto"/>
        <w:contextualSpacing w:val="0"/>
        <w:jc w:val="both"/>
        <w:rPr>
          <w:b/>
          <w:bCs/>
          <w:i/>
          <w:iCs/>
        </w:rPr>
      </w:pPr>
      <w:r w:rsidRPr="009C16F9">
        <w:rPr>
          <w:b/>
          <w:bCs/>
          <w:i/>
          <w:iCs/>
        </w:rPr>
        <w:t xml:space="preserve">GAP REG </w:t>
      </w:r>
      <w:proofErr w:type="spellStart"/>
      <w:r w:rsidRPr="009C16F9">
        <w:rPr>
          <w:b/>
          <w:bCs/>
          <w:i/>
          <w:iCs/>
        </w:rPr>
        <w:t>EF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</w:rPr>
        <w:t xml:space="preserve">, </w:t>
      </w:r>
      <w:proofErr w:type="spellStart"/>
      <w:r w:rsidRPr="009C16F9">
        <w:rPr>
          <w:b/>
          <w:bCs/>
          <w:i/>
          <w:iCs/>
        </w:rPr>
        <w:t>EM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="00491069" w:rsidRPr="009C16F9">
        <w:rPr>
          <w:b/>
          <w:bCs/>
          <w:i/>
          <w:iCs/>
          <w:color w:val="7030A0"/>
        </w:rPr>
        <w:t xml:space="preserve"> :</w:t>
      </w:r>
      <w:r w:rsidR="00491069" w:rsidRPr="009C16F9">
        <w:t xml:space="preserve"> </w:t>
      </w:r>
      <w:r w:rsidR="00D859AC" w:rsidRPr="009C16F9">
        <w:t xml:space="preserve">gaps </w:t>
      </w:r>
      <w:r w:rsidR="00D859AC">
        <w:t>réglementaires</w:t>
      </w:r>
      <w:r w:rsidR="00D859AC" w:rsidRPr="009C16F9">
        <w:t xml:space="preserve"> </w:t>
      </w:r>
      <w:r w:rsidR="00D859AC">
        <w:t>sur un bilan figé après le mois x</w:t>
      </w:r>
    </w:p>
    <w:p w14:paraId="7EEE7AA2" w14:textId="2472AB9E" w:rsidR="00545553" w:rsidRPr="00545553" w:rsidRDefault="00545553" w:rsidP="00545553">
      <w:pPr>
        <w:spacing w:after="240" w:line="240" w:lineRule="auto"/>
        <w:jc w:val="both"/>
      </w:pPr>
      <w:r w:rsidRPr="00545553">
        <w:t>Exemple </w:t>
      </w:r>
      <w:r>
        <w:t xml:space="preserve">avec le paramétrage suivant : </w:t>
      </w:r>
    </w:p>
    <w:p w14:paraId="710D7012" w14:textId="3BBDCAC6" w:rsidR="00545553" w:rsidRDefault="00545553" w:rsidP="00545553">
      <w:pPr>
        <w:spacing w:after="240" w:line="240" w:lineRule="auto"/>
        <w:jc w:val="both"/>
      </w:pPr>
      <w:r>
        <w:object w:dxaOrig="9720" w:dyaOrig="300" w14:anchorId="003AA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25pt;height:13.65pt" o:ole="">
            <v:imagedata r:id="rId8" o:title=""/>
          </v:shape>
          <o:OLEObject Type="Embed" ProgID="PBrush" ShapeID="_x0000_i1027" DrawAspect="Content" ObjectID="_1802265116" r:id="rId9"/>
        </w:object>
      </w:r>
    </w:p>
    <w:p w14:paraId="7B18E478" w14:textId="476B1689" w:rsidR="00545553" w:rsidRDefault="00545553" w:rsidP="00D0055B">
      <w:pPr>
        <w:pStyle w:val="Paragraphedeliste"/>
        <w:numPr>
          <w:ilvl w:val="0"/>
          <w:numId w:val="22"/>
        </w:numPr>
        <w:spacing w:after="120" w:line="240" w:lineRule="auto"/>
        <w:jc w:val="both"/>
      </w:pPr>
      <w:r>
        <w:t xml:space="preserve">Le moteur sortira les GAP de liquidité basés sur l’encours moyen pour un bilan figé au </w:t>
      </w:r>
      <w:proofErr w:type="spellStart"/>
      <w:r>
        <w:t>mois</w:t>
      </w:r>
      <w:proofErr w:type="spellEnd"/>
      <w:r>
        <w:t xml:space="preserve"> 0, 12, 24, 36,48 et 60.</w:t>
      </w:r>
    </w:p>
    <w:p w14:paraId="7DD614CC" w14:textId="77777777" w:rsidR="00545553" w:rsidRDefault="00545553" w:rsidP="00545553">
      <w:pPr>
        <w:spacing w:after="120" w:line="240" w:lineRule="auto"/>
        <w:jc w:val="both"/>
        <w:rPr>
          <w:i/>
          <w:iCs/>
        </w:rPr>
      </w:pPr>
    </w:p>
    <w:p w14:paraId="3F2D7EFC" w14:textId="7494D2B3" w:rsidR="00545553" w:rsidRPr="009C16F9" w:rsidRDefault="00382710" w:rsidP="00545553">
      <w:pPr>
        <w:spacing w:after="40" w:line="240" w:lineRule="auto"/>
        <w:jc w:val="both"/>
      </w:pPr>
      <w:r>
        <w:rPr>
          <w:b/>
          <w:bCs/>
        </w:rPr>
        <w:t xml:space="preserve">c. </w:t>
      </w:r>
      <w:r w:rsidR="00730B77" w:rsidRPr="00545553">
        <w:rPr>
          <w:b/>
          <w:bCs/>
        </w:rPr>
        <w:t>Type CONTRIB</w:t>
      </w:r>
      <w:r w:rsidR="00730B77" w:rsidRPr="009C16F9">
        <w:t xml:space="preserve"> : calcule la contribution trimestrielle ou annuelle </w:t>
      </w:r>
      <w:r w:rsidR="00545553">
        <w:t>de</w:t>
      </w:r>
      <w:r w:rsidR="00692C2E" w:rsidRPr="009C16F9">
        <w:t xml:space="preserve"> l’indicateur</w:t>
      </w:r>
      <w:r w:rsidR="00545553">
        <w:t xml:space="preserve">, i.e. en tenant compte </w:t>
      </w:r>
      <w:r w:rsidR="00730B77" w:rsidRPr="009C16F9">
        <w:t xml:space="preserve">des </w:t>
      </w:r>
      <w:proofErr w:type="spellStart"/>
      <w:r w:rsidR="00730B77" w:rsidRPr="009C16F9">
        <w:t>PN</w:t>
      </w:r>
      <w:r w:rsidR="00692C2E" w:rsidRPr="009C16F9">
        <w:t>s</w:t>
      </w:r>
      <w:proofErr w:type="spellEnd"/>
      <w:r w:rsidR="00730B77" w:rsidRPr="009C16F9">
        <w:t xml:space="preserve"> émises </w:t>
      </w:r>
      <w:r w:rsidR="00692C2E" w:rsidRPr="009C16F9">
        <w:t xml:space="preserve">lors du </w:t>
      </w:r>
      <w:r w:rsidR="00730B77" w:rsidRPr="009C16F9">
        <w:t xml:space="preserve">trimestre </w:t>
      </w:r>
      <w:r w:rsidR="00692C2E" w:rsidRPr="009C16F9">
        <w:t>ou l’</w:t>
      </w:r>
      <w:r w:rsidR="00730B77" w:rsidRPr="009C16F9">
        <w:t>année</w:t>
      </w:r>
      <w:r w:rsidR="00692C2E" w:rsidRPr="009C16F9">
        <w:t xml:space="preserve"> qui </w:t>
      </w:r>
      <w:r w:rsidR="00545553">
        <w:t>a</w:t>
      </w:r>
      <w:r w:rsidR="00692C2E" w:rsidRPr="009C16F9">
        <w:t xml:space="preserve"> précédé</w:t>
      </w:r>
      <w:r w:rsidR="00545553">
        <w:t> :</w:t>
      </w:r>
      <w:r w:rsidR="00730B77" w:rsidRPr="009C16F9">
        <w:t xml:space="preserve"> </w:t>
      </w:r>
    </w:p>
    <w:p w14:paraId="16F981C0" w14:textId="4126728B" w:rsidR="00730B77" w:rsidRPr="009C16F9" w:rsidRDefault="00730B77" w:rsidP="00D0055B">
      <w:pPr>
        <w:pStyle w:val="Paragraphedeliste"/>
        <w:numPr>
          <w:ilvl w:val="0"/>
          <w:numId w:val="7"/>
        </w:numPr>
        <w:spacing w:after="40" w:line="240" w:lineRule="auto"/>
        <w:contextualSpacing w:val="0"/>
        <w:jc w:val="both"/>
      </w:pPr>
      <w:proofErr w:type="spellStart"/>
      <w:r w:rsidRPr="009C16F9">
        <w:rPr>
          <w:b/>
          <w:bCs/>
          <w:i/>
          <w:iCs/>
        </w:rPr>
        <w:t>MN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</w:rPr>
        <w:t>,</w:t>
      </w:r>
      <w:r w:rsidR="00873BC5" w:rsidRPr="009C16F9">
        <w:rPr>
          <w:b/>
          <w:bCs/>
          <w:i/>
          <w:iCs/>
        </w:rPr>
        <w:t xml:space="preserve"> </w:t>
      </w:r>
      <w:r w:rsidRPr="009C16F9">
        <w:rPr>
          <w:b/>
          <w:bCs/>
          <w:i/>
          <w:iCs/>
        </w:rPr>
        <w:t xml:space="preserve">MN </w:t>
      </w:r>
      <w:proofErr w:type="spellStart"/>
      <w:r w:rsidRPr="009C16F9">
        <w:rPr>
          <w:b/>
          <w:bCs/>
          <w:i/>
          <w:iCs/>
        </w:rPr>
        <w:t>TX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</w:rPr>
        <w:t xml:space="preserve">, MN </w:t>
      </w:r>
      <w:proofErr w:type="spellStart"/>
      <w:r w:rsidRPr="009C16F9">
        <w:rPr>
          <w:b/>
          <w:bCs/>
          <w:i/>
          <w:iCs/>
        </w:rPr>
        <w:t>MG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</w:rPr>
        <w:t xml:space="preserve">, MN </w:t>
      </w:r>
      <w:proofErr w:type="spellStart"/>
      <w:r w:rsidRPr="009C16F9">
        <w:rPr>
          <w:b/>
          <w:bCs/>
          <w:i/>
          <w:iCs/>
        </w:rPr>
        <w:t>LIQ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="00DE41E2" w:rsidRPr="009C16F9">
        <w:t xml:space="preserve"> : </w:t>
      </w:r>
      <w:r w:rsidR="00491069" w:rsidRPr="009C16F9">
        <w:t xml:space="preserve">contribution à la </w:t>
      </w:r>
      <w:r w:rsidRPr="009C16F9">
        <w:t>marge nette d’intérêt</w:t>
      </w:r>
      <w:r w:rsidR="00DE41E2" w:rsidRPr="009C16F9">
        <w:t xml:space="preserve"> totale, liée au taux d’intérêt, à la marge commerciale, au spread de liquidité</w:t>
      </w:r>
      <w:r w:rsidR="00491069" w:rsidRPr="009C16F9">
        <w:t xml:space="preserve"> sur le trimestre ou l’année antérieure à x.</w:t>
      </w:r>
    </w:p>
    <w:p w14:paraId="2CE49C01" w14:textId="7FECD0C0" w:rsidR="00DE41E2" w:rsidRDefault="00DE41E2" w:rsidP="00D0055B">
      <w:pPr>
        <w:pStyle w:val="Paragraphedeliste"/>
        <w:numPr>
          <w:ilvl w:val="0"/>
          <w:numId w:val="7"/>
        </w:numPr>
        <w:spacing w:after="120" w:line="240" w:lineRule="auto"/>
        <w:contextualSpacing w:val="0"/>
        <w:jc w:val="both"/>
      </w:pPr>
      <w:proofErr w:type="spellStart"/>
      <w:r w:rsidRPr="009C16F9">
        <w:rPr>
          <w:b/>
          <w:bCs/>
          <w:i/>
          <w:iCs/>
        </w:rPr>
        <w:t>EF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</w:rPr>
        <w:t xml:space="preserve">, </w:t>
      </w:r>
      <w:proofErr w:type="spellStart"/>
      <w:r w:rsidRPr="009C16F9">
        <w:rPr>
          <w:b/>
          <w:bCs/>
          <w:i/>
          <w:iCs/>
        </w:rPr>
        <w:t>EM</w:t>
      </w:r>
      <w:r w:rsidR="00873BC5" w:rsidRPr="009C16F9">
        <w:rPr>
          <w:b/>
          <w:bCs/>
          <w:i/>
          <w:iCs/>
          <w:color w:val="7030A0"/>
        </w:rPr>
        <w:t>xM</w:t>
      </w:r>
      <w:proofErr w:type="spellEnd"/>
      <w:r w:rsidR="00873BC5" w:rsidRPr="009C16F9">
        <w:rPr>
          <w:b/>
          <w:bCs/>
          <w:i/>
          <w:iCs/>
        </w:rPr>
        <w:t xml:space="preserve"> </w:t>
      </w:r>
      <w:r w:rsidRPr="009C16F9">
        <w:t xml:space="preserve">: </w:t>
      </w:r>
      <w:r w:rsidR="00491069" w:rsidRPr="009C16F9">
        <w:t xml:space="preserve">contribution aux </w:t>
      </w:r>
      <w:r w:rsidRPr="009C16F9">
        <w:t>encours fin de mois et moyen</w:t>
      </w:r>
      <w:r w:rsidR="00491069" w:rsidRPr="009C16F9">
        <w:t xml:space="preserve"> sur le trimestre ou l’année antérieure à x.</w:t>
      </w:r>
    </w:p>
    <w:p w14:paraId="3B1156ED" w14:textId="5AEB9D79" w:rsidR="00545553" w:rsidRDefault="00545553" w:rsidP="00545553">
      <w:pPr>
        <w:spacing w:after="120" w:line="240" w:lineRule="auto"/>
        <w:jc w:val="both"/>
      </w:pPr>
    </w:p>
    <w:p w14:paraId="1C051DD3" w14:textId="7A621486" w:rsidR="00545553" w:rsidRPr="009C16F9" w:rsidRDefault="00545553" w:rsidP="00545553">
      <w:pPr>
        <w:spacing w:after="240" w:line="240" w:lineRule="auto"/>
        <w:jc w:val="both"/>
      </w:pPr>
      <w:r w:rsidRPr="00545553">
        <w:t>Exemple </w:t>
      </w:r>
      <w:r>
        <w:t xml:space="preserve">avec le paramétrage suivant : </w:t>
      </w:r>
    </w:p>
    <w:p w14:paraId="20116A4D" w14:textId="29600E43" w:rsidR="006E058D" w:rsidRDefault="00FF06A3" w:rsidP="006E058D">
      <w:pPr>
        <w:spacing w:after="40" w:line="240" w:lineRule="auto"/>
        <w:jc w:val="both"/>
      </w:pPr>
      <w:r>
        <w:object w:dxaOrig="9720" w:dyaOrig="300" w14:anchorId="4935BACC">
          <v:shape id="_x0000_i1028" type="#_x0000_t75" style="width:453.25pt;height:13.65pt" o:ole="">
            <v:imagedata r:id="rId10" o:title=""/>
          </v:shape>
          <o:OLEObject Type="Embed" ProgID="PBrush" ShapeID="_x0000_i1028" DrawAspect="Content" ObjectID="_1802265117" r:id="rId11"/>
        </w:object>
      </w:r>
    </w:p>
    <w:p w14:paraId="01A0405C" w14:textId="7BD1C789" w:rsidR="00545553" w:rsidRDefault="00545553" w:rsidP="006E058D">
      <w:pPr>
        <w:spacing w:after="40" w:line="240" w:lineRule="auto"/>
        <w:jc w:val="both"/>
      </w:pPr>
    </w:p>
    <w:p w14:paraId="404F6099" w14:textId="7C0C3318" w:rsidR="00D859AC" w:rsidRDefault="00545553" w:rsidP="00D0055B">
      <w:pPr>
        <w:pStyle w:val="Paragraphedeliste"/>
        <w:numPr>
          <w:ilvl w:val="0"/>
          <w:numId w:val="22"/>
        </w:numPr>
        <w:spacing w:after="120" w:line="240" w:lineRule="auto"/>
        <w:jc w:val="both"/>
      </w:pPr>
      <w:r>
        <w:t>Le moteur sortira les contributions annuelles à la MNI</w:t>
      </w:r>
      <w:r w:rsidR="00FF06A3">
        <w:t xml:space="preserve"> : MN13 (contribution des </w:t>
      </w:r>
      <w:proofErr w:type="spellStart"/>
      <w:r w:rsidR="00FF06A3">
        <w:t>PNs</w:t>
      </w:r>
      <w:proofErr w:type="spellEnd"/>
      <w:r w:rsidR="00FF06A3">
        <w:t xml:space="preserve"> émises entre le mois 1 et 13 à la MNI), MN25 (contribution des </w:t>
      </w:r>
      <w:proofErr w:type="spellStart"/>
      <w:r w:rsidR="00FF06A3">
        <w:t>PNs</w:t>
      </w:r>
      <w:proofErr w:type="spellEnd"/>
      <w:r w:rsidR="00FF06A3">
        <w:t xml:space="preserve"> émises entre le mois 14 et le mois 25 à la MNI) etc.</w:t>
      </w:r>
    </w:p>
    <w:p w14:paraId="7DA239DF" w14:textId="7BFA9B92" w:rsidR="00D859AC" w:rsidRDefault="00D859AC" w:rsidP="006E058D">
      <w:pPr>
        <w:spacing w:after="40" w:line="240" w:lineRule="auto"/>
        <w:jc w:val="both"/>
      </w:pPr>
    </w:p>
    <w:p w14:paraId="582F2D8B" w14:textId="24F310EE" w:rsidR="00382710" w:rsidRDefault="00382710" w:rsidP="006E058D">
      <w:pPr>
        <w:spacing w:after="40" w:line="240" w:lineRule="auto"/>
        <w:jc w:val="both"/>
      </w:pPr>
    </w:p>
    <w:p w14:paraId="24B56D01" w14:textId="19500F89" w:rsidR="007F7D91" w:rsidRPr="007F7D91" w:rsidRDefault="007F7D91" w:rsidP="007F7D91">
      <w:pPr>
        <w:spacing w:after="40" w:line="240" w:lineRule="auto"/>
        <w:jc w:val="both"/>
        <w:rPr>
          <w:b/>
          <w:bCs/>
        </w:rPr>
      </w:pPr>
      <w:r w:rsidRPr="007F7D91">
        <w:rPr>
          <w:b/>
          <w:bCs/>
        </w:rPr>
        <w:t>Indicateurs EVE</w:t>
      </w:r>
    </w:p>
    <w:p w14:paraId="6D7F21F6" w14:textId="472C474E" w:rsidR="007F7D91" w:rsidRPr="00471C0E" w:rsidRDefault="007F7D91" w:rsidP="007F7D91">
      <w:pPr>
        <w:spacing w:after="120" w:line="240" w:lineRule="auto"/>
        <w:jc w:val="both"/>
      </w:pPr>
      <w:r w:rsidRPr="00471C0E">
        <w:t>Cer</w:t>
      </w:r>
      <w:r>
        <w:t>tains indicateurs sont spécifiques à une simulation de type EVE</w:t>
      </w:r>
    </w:p>
    <w:p w14:paraId="4146BDDF" w14:textId="0E9D7345" w:rsidR="007F7D91" w:rsidRDefault="007F7D91" w:rsidP="00D0055B">
      <w:pPr>
        <w:pStyle w:val="Paragraphedeliste"/>
        <w:numPr>
          <w:ilvl w:val="0"/>
          <w:numId w:val="7"/>
        </w:numPr>
        <w:spacing w:after="120" w:line="240" w:lineRule="auto"/>
        <w:contextualSpacing w:val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EVE </w:t>
      </w:r>
      <w:proofErr w:type="spellStart"/>
      <w:r>
        <w:rPr>
          <w:b/>
          <w:bCs/>
          <w:i/>
          <w:iCs/>
        </w:rPr>
        <w:t>EVE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EM</w:t>
      </w:r>
      <w:r w:rsidRPr="009C16F9">
        <w:rPr>
          <w:b/>
          <w:bCs/>
          <w:i/>
          <w:iCs/>
          <w:color w:val="7030A0"/>
        </w:rPr>
        <w:t>xM</w:t>
      </w:r>
      <w:proofErr w:type="spellEnd"/>
      <w:r w:rsidRPr="009C16F9">
        <w:rPr>
          <w:b/>
          <w:bCs/>
          <w:i/>
          <w:iCs/>
          <w:color w:val="7030A0"/>
        </w:rPr>
        <w:t>:</w:t>
      </w:r>
      <w:proofErr w:type="gramEnd"/>
      <w:r w:rsidRPr="009C16F9">
        <w:t xml:space="preserve"> </w:t>
      </w:r>
      <w:r>
        <w:t>EVE sur un bilan figé après le mois x</w:t>
      </w:r>
    </w:p>
    <w:p w14:paraId="51EEF63E" w14:textId="4A52EC55" w:rsidR="007F7D91" w:rsidRDefault="007F7D91" w:rsidP="00D0055B">
      <w:pPr>
        <w:pStyle w:val="Paragraphedeliste"/>
        <w:numPr>
          <w:ilvl w:val="0"/>
          <w:numId w:val="7"/>
        </w:numPr>
        <w:spacing w:after="120" w:line="240" w:lineRule="auto"/>
        <w:contextualSpacing w:val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FLUX INT </w:t>
      </w:r>
      <w:proofErr w:type="spellStart"/>
      <w:r>
        <w:rPr>
          <w:b/>
          <w:bCs/>
          <w:i/>
          <w:iCs/>
        </w:rPr>
        <w:t>EM</w:t>
      </w:r>
      <w:r w:rsidRPr="009C16F9">
        <w:rPr>
          <w:b/>
          <w:bCs/>
          <w:i/>
          <w:iCs/>
          <w:color w:val="7030A0"/>
        </w:rPr>
        <w:t>xM</w:t>
      </w:r>
      <w:proofErr w:type="spellEnd"/>
      <w:r>
        <w:rPr>
          <w:b/>
          <w:bCs/>
          <w:i/>
          <w:iCs/>
        </w:rPr>
        <w:t xml:space="preserve"> : </w:t>
      </w:r>
      <w:r>
        <w:t>Flux d’intérêts sur un bilan figé après le mois x</w:t>
      </w:r>
    </w:p>
    <w:p w14:paraId="57698762" w14:textId="100298B9" w:rsidR="007F7D91" w:rsidRPr="00FF4653" w:rsidRDefault="007F7D91" w:rsidP="00D0055B">
      <w:pPr>
        <w:pStyle w:val="Paragraphedeliste"/>
        <w:numPr>
          <w:ilvl w:val="0"/>
          <w:numId w:val="7"/>
        </w:numPr>
        <w:spacing w:after="240" w:line="240" w:lineRule="auto"/>
        <w:ind w:left="714" w:hanging="357"/>
        <w:contextualSpacing w:val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FLUX CAP </w:t>
      </w:r>
      <w:proofErr w:type="spellStart"/>
      <w:r>
        <w:rPr>
          <w:b/>
          <w:bCs/>
          <w:i/>
          <w:iCs/>
        </w:rPr>
        <w:t>EM</w:t>
      </w:r>
      <w:r w:rsidRPr="009C16F9">
        <w:rPr>
          <w:b/>
          <w:bCs/>
          <w:i/>
          <w:iCs/>
          <w:color w:val="7030A0"/>
        </w:rPr>
        <w:t>xM</w:t>
      </w:r>
      <w:proofErr w:type="spellEnd"/>
      <w:r>
        <w:rPr>
          <w:b/>
          <w:bCs/>
          <w:i/>
          <w:iCs/>
        </w:rPr>
        <w:t> :</w:t>
      </w:r>
      <w:r w:rsidRPr="00D859AC">
        <w:t xml:space="preserve"> </w:t>
      </w:r>
      <w:r>
        <w:t>Flux de capitaux sur un bilan figé après le mois x</w:t>
      </w:r>
    </w:p>
    <w:p w14:paraId="766DD45C" w14:textId="79BB6C40" w:rsidR="00FF4653" w:rsidRPr="00FF4653" w:rsidRDefault="00FF4653" w:rsidP="00D0055B">
      <w:pPr>
        <w:pStyle w:val="Paragraphedeliste"/>
        <w:numPr>
          <w:ilvl w:val="0"/>
          <w:numId w:val="7"/>
        </w:numPr>
        <w:spacing w:after="240" w:line="240" w:lineRule="auto"/>
        <w:ind w:left="714" w:hanging="357"/>
        <w:contextualSpacing w:val="0"/>
        <w:jc w:val="both"/>
        <w:rPr>
          <w:b/>
          <w:bCs/>
          <w:i/>
          <w:iCs/>
        </w:rPr>
      </w:pPr>
      <w:r w:rsidRPr="00382710">
        <w:rPr>
          <w:b/>
          <w:bCs/>
          <w:i/>
          <w:iCs/>
        </w:rPr>
        <w:t>MN GP RG, MN GP RG</w:t>
      </w:r>
      <w:r>
        <w:rPr>
          <w:b/>
          <w:bCs/>
          <w:i/>
          <w:iCs/>
        </w:rPr>
        <w:t xml:space="preserve"> TX, </w:t>
      </w:r>
      <w:r w:rsidRPr="00382710">
        <w:rPr>
          <w:b/>
          <w:bCs/>
          <w:i/>
          <w:iCs/>
        </w:rPr>
        <w:t>MN GP RG</w:t>
      </w:r>
      <w:r>
        <w:rPr>
          <w:b/>
          <w:bCs/>
          <w:i/>
          <w:iCs/>
        </w:rPr>
        <w:t xml:space="preserve"> MG</w:t>
      </w:r>
      <w:r>
        <w:rPr>
          <w:color w:val="7030A0"/>
        </w:rPr>
        <w:t> </w:t>
      </w:r>
      <w:r w:rsidRPr="00382710">
        <w:t>:</w:t>
      </w:r>
      <w:r>
        <w:t xml:space="preserve"> </w:t>
      </w:r>
      <w:r w:rsidRPr="00382710">
        <w:t>la M</w:t>
      </w:r>
      <w:r>
        <w:t>NI taux pur et marge calculée à partir du gap réglementaire pour le stock</w:t>
      </w:r>
    </w:p>
    <w:p w14:paraId="067B92CC" w14:textId="4EA999F8" w:rsidR="007F7D91" w:rsidRPr="00221C63" w:rsidRDefault="007F7D91" w:rsidP="00D0055B">
      <w:pPr>
        <w:pStyle w:val="Paragraphedeliste"/>
        <w:numPr>
          <w:ilvl w:val="0"/>
          <w:numId w:val="7"/>
        </w:numPr>
        <w:spacing w:after="240" w:line="240" w:lineRule="auto"/>
        <w:ind w:left="714" w:hanging="357"/>
        <w:contextualSpacing w:val="0"/>
        <w:jc w:val="both"/>
        <w:rPr>
          <w:b/>
          <w:bCs/>
          <w:i/>
          <w:iCs/>
        </w:rPr>
      </w:pPr>
      <w:r w:rsidRPr="00382710">
        <w:rPr>
          <w:b/>
          <w:bCs/>
          <w:i/>
          <w:iCs/>
        </w:rPr>
        <w:t xml:space="preserve">MN GP </w:t>
      </w:r>
      <w:proofErr w:type="spellStart"/>
      <w:r w:rsidRPr="00382710">
        <w:rPr>
          <w:b/>
          <w:bCs/>
          <w:i/>
          <w:iCs/>
        </w:rPr>
        <w:t>RG</w:t>
      </w:r>
      <w:r w:rsidRPr="009C16F9">
        <w:rPr>
          <w:b/>
          <w:bCs/>
          <w:i/>
          <w:iCs/>
          <w:color w:val="7030A0"/>
        </w:rPr>
        <w:t>xM</w:t>
      </w:r>
      <w:proofErr w:type="spellEnd"/>
      <w:r w:rsidRPr="00382710">
        <w:rPr>
          <w:b/>
          <w:bCs/>
          <w:i/>
          <w:iCs/>
        </w:rPr>
        <w:t>, MN GP RG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TX</w:t>
      </w:r>
      <w:r w:rsidRPr="009C16F9">
        <w:rPr>
          <w:b/>
          <w:bCs/>
          <w:i/>
          <w:iCs/>
          <w:color w:val="7030A0"/>
        </w:rPr>
        <w:t>xM</w:t>
      </w:r>
      <w:proofErr w:type="spellEnd"/>
      <w:r>
        <w:rPr>
          <w:b/>
          <w:bCs/>
          <w:i/>
          <w:iCs/>
        </w:rPr>
        <w:t xml:space="preserve">, </w:t>
      </w:r>
      <w:r w:rsidRPr="00382710">
        <w:rPr>
          <w:b/>
          <w:bCs/>
          <w:i/>
          <w:iCs/>
        </w:rPr>
        <w:t>MN GP RG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LIQ</w:t>
      </w:r>
      <w:r w:rsidRPr="009C16F9">
        <w:rPr>
          <w:b/>
          <w:bCs/>
          <w:i/>
          <w:iCs/>
          <w:color w:val="7030A0"/>
        </w:rPr>
        <w:t>xM</w:t>
      </w:r>
      <w:proofErr w:type="spellEnd"/>
      <w:r>
        <w:rPr>
          <w:b/>
          <w:bCs/>
          <w:i/>
          <w:iCs/>
        </w:rPr>
        <w:t xml:space="preserve">, </w:t>
      </w:r>
      <w:r w:rsidRPr="00382710">
        <w:rPr>
          <w:b/>
          <w:bCs/>
          <w:i/>
          <w:iCs/>
        </w:rPr>
        <w:t>MN GP RG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MG</w:t>
      </w:r>
      <w:r w:rsidRPr="009C16F9">
        <w:rPr>
          <w:b/>
          <w:bCs/>
          <w:i/>
          <w:iCs/>
          <w:color w:val="7030A0"/>
        </w:rPr>
        <w:t>xM</w:t>
      </w:r>
      <w:proofErr w:type="spellEnd"/>
      <w:r>
        <w:rPr>
          <w:color w:val="7030A0"/>
        </w:rPr>
        <w:t> </w:t>
      </w:r>
      <w:r w:rsidRPr="00382710">
        <w:t>:</w:t>
      </w:r>
      <w:r>
        <w:t xml:space="preserve"> </w:t>
      </w:r>
      <w:r w:rsidRPr="00382710">
        <w:t>la M</w:t>
      </w:r>
      <w:r>
        <w:t>NI calculée à partir du gap réglementaire, sur un bilan figé après le mois x</w:t>
      </w:r>
      <w:r w:rsidR="00FF4653">
        <w:t xml:space="preserve"> pour la PN.</w:t>
      </w:r>
    </w:p>
    <w:p w14:paraId="5B8491BD" w14:textId="39785C8F" w:rsidR="00221C63" w:rsidRPr="00221C63" w:rsidRDefault="00221C63" w:rsidP="00D0055B">
      <w:pPr>
        <w:pStyle w:val="Paragraphedeliste"/>
        <w:numPr>
          <w:ilvl w:val="0"/>
          <w:numId w:val="7"/>
        </w:numPr>
        <w:spacing w:after="240" w:line="240" w:lineRule="auto"/>
        <w:ind w:left="714" w:hanging="357"/>
        <w:contextualSpacing w:val="0"/>
        <w:jc w:val="both"/>
        <w:rPr>
          <w:b/>
          <w:bCs/>
        </w:rPr>
      </w:pPr>
      <w:r w:rsidRPr="00221C63">
        <w:rPr>
          <w:b/>
          <w:bCs/>
        </w:rPr>
        <w:t>Les gaps spécifiques et la MNI LIQ spécifiques au contexte EVE.</w:t>
      </w:r>
    </w:p>
    <w:p w14:paraId="30DEC6D8" w14:textId="77777777" w:rsidR="007F7D91" w:rsidRDefault="007F7D91" w:rsidP="006E058D">
      <w:pPr>
        <w:spacing w:after="40" w:line="240" w:lineRule="auto"/>
        <w:jc w:val="both"/>
        <w:rPr>
          <w:b/>
          <w:bCs/>
        </w:rPr>
      </w:pPr>
    </w:p>
    <w:p w14:paraId="1BDD2F5D" w14:textId="3DBDAE91" w:rsidR="00382710" w:rsidRDefault="00382710" w:rsidP="006E058D">
      <w:pPr>
        <w:spacing w:after="40" w:line="240" w:lineRule="auto"/>
        <w:jc w:val="both"/>
        <w:rPr>
          <w:b/>
          <w:bCs/>
        </w:rPr>
      </w:pPr>
      <w:r>
        <w:rPr>
          <w:b/>
          <w:bCs/>
        </w:rPr>
        <w:t xml:space="preserve">d. </w:t>
      </w:r>
      <w:r w:rsidRPr="00382710">
        <w:rPr>
          <w:b/>
          <w:bCs/>
        </w:rPr>
        <w:t>Indicateurs LCR &amp; NSFR</w:t>
      </w:r>
    </w:p>
    <w:p w14:paraId="55B3DB9F" w14:textId="4456CABB" w:rsidR="00382710" w:rsidRPr="00382710" w:rsidRDefault="00382710" w:rsidP="006E058D">
      <w:pPr>
        <w:spacing w:after="40" w:line="240" w:lineRule="auto"/>
        <w:jc w:val="both"/>
      </w:pPr>
      <w:r w:rsidRPr="00382710">
        <w:t>Le moteur</w:t>
      </w:r>
      <w:r>
        <w:t xml:space="preserve"> permet également de calculer des indicateurs type LCR et NSFR :</w:t>
      </w:r>
    </w:p>
    <w:p w14:paraId="241CC3EA" w14:textId="7EE3AAAC" w:rsidR="00382710" w:rsidRPr="00B47880" w:rsidRDefault="00382710" w:rsidP="00D0055B">
      <w:pPr>
        <w:pStyle w:val="Paragraphedeliste"/>
        <w:numPr>
          <w:ilvl w:val="0"/>
          <w:numId w:val="7"/>
        </w:numPr>
        <w:spacing w:after="120" w:line="240" w:lineRule="auto"/>
        <w:contextualSpacing w:val="0"/>
        <w:jc w:val="both"/>
        <w:rPr>
          <w:b/>
          <w:bCs/>
          <w:i/>
          <w:iCs/>
        </w:rPr>
      </w:pPr>
      <w:r w:rsidRPr="00B47880">
        <w:rPr>
          <w:b/>
          <w:bCs/>
          <w:i/>
          <w:iCs/>
        </w:rPr>
        <w:t>OUTFLOW 0M-1M, OUTFLOW 0M-6M, OUTFLOW 6M-12M, OUTFLOW 12M-</w:t>
      </w:r>
      <w:proofErr w:type="gramStart"/>
      <w:r w:rsidRPr="00B47880">
        <w:rPr>
          <w:b/>
          <w:bCs/>
          <w:i/>
          <w:iCs/>
        </w:rPr>
        <w:t>inf</w:t>
      </w:r>
      <w:r w:rsidRPr="00B47880">
        <w:rPr>
          <w:b/>
          <w:bCs/>
          <w:i/>
          <w:iCs/>
          <w:color w:val="7030A0"/>
        </w:rPr>
        <w:t>:</w:t>
      </w:r>
      <w:proofErr w:type="gramEnd"/>
      <w:r w:rsidRPr="00B47880">
        <w:t xml:space="preserve"> </w:t>
      </w:r>
      <w:r w:rsidR="00B47880" w:rsidRPr="00B47880">
        <w:t>calcul</w:t>
      </w:r>
      <w:r w:rsidRPr="00B47880">
        <w:t xml:space="preserve"> les sorties (</w:t>
      </w:r>
      <w:proofErr w:type="spellStart"/>
      <w:r w:rsidRPr="00B47880">
        <w:t>outflow</w:t>
      </w:r>
      <w:proofErr w:type="spellEnd"/>
      <w:r w:rsidRPr="00B47880">
        <w:t xml:space="preserve">) de cash </w:t>
      </w:r>
      <w:r w:rsidR="00B47880" w:rsidRPr="00B47880">
        <w:t>sur les périodes indi</w:t>
      </w:r>
      <w:r w:rsidR="00B47880">
        <w:t>quées</w:t>
      </w:r>
    </w:p>
    <w:p w14:paraId="7E94A9CB" w14:textId="5B01BF82" w:rsidR="00382710" w:rsidRPr="00B47880" w:rsidRDefault="00B47880" w:rsidP="00D0055B">
      <w:pPr>
        <w:pStyle w:val="Paragraphedeliste"/>
        <w:numPr>
          <w:ilvl w:val="0"/>
          <w:numId w:val="7"/>
        </w:numPr>
        <w:spacing w:after="120" w:line="240" w:lineRule="auto"/>
        <w:contextualSpacing w:val="0"/>
        <w:jc w:val="both"/>
        <w:rPr>
          <w:b/>
          <w:bCs/>
          <w:i/>
          <w:iCs/>
        </w:rPr>
      </w:pPr>
      <w:r w:rsidRPr="00B47880">
        <w:rPr>
          <w:b/>
          <w:bCs/>
          <w:i/>
          <w:iCs/>
        </w:rPr>
        <w:t>DELTA EM</w:t>
      </w:r>
      <w:r w:rsidR="00382710" w:rsidRPr="00B47880">
        <w:rPr>
          <w:b/>
          <w:bCs/>
          <w:i/>
          <w:iCs/>
        </w:rPr>
        <w:t xml:space="preserve"> : </w:t>
      </w:r>
      <w:r w:rsidRPr="00B47880">
        <w:t>DELTA EM entre le mois x et le moi</w:t>
      </w:r>
      <w:r>
        <w:t>s x-1</w:t>
      </w:r>
    </w:p>
    <w:p w14:paraId="2842BD05" w14:textId="357FB1BE" w:rsidR="00382710" w:rsidRPr="00B47880" w:rsidRDefault="00B47880" w:rsidP="00D0055B">
      <w:pPr>
        <w:pStyle w:val="Paragraphedeliste"/>
        <w:numPr>
          <w:ilvl w:val="0"/>
          <w:numId w:val="7"/>
        </w:numPr>
        <w:spacing w:after="240" w:line="240" w:lineRule="auto"/>
        <w:ind w:left="714" w:hanging="357"/>
        <w:contextualSpacing w:val="0"/>
        <w:jc w:val="both"/>
        <w:rPr>
          <w:b/>
          <w:bCs/>
          <w:i/>
          <w:iCs/>
        </w:rPr>
      </w:pPr>
      <w:r w:rsidRPr="00B47880">
        <w:rPr>
          <w:b/>
          <w:bCs/>
          <w:i/>
          <w:iCs/>
        </w:rPr>
        <w:t>DELTA ASF et DELTA RSF</w:t>
      </w:r>
      <w:r>
        <w:rPr>
          <w:b/>
          <w:bCs/>
          <w:i/>
          <w:iCs/>
        </w:rPr>
        <w:t>, ASF, RSF</w:t>
      </w:r>
      <w:r w:rsidRPr="00B47880">
        <w:rPr>
          <w:b/>
          <w:bCs/>
          <w:i/>
          <w:iCs/>
        </w:rPr>
        <w:t xml:space="preserve"> : </w:t>
      </w:r>
      <w:r w:rsidRPr="00B47880">
        <w:t xml:space="preserve">Delta </w:t>
      </w:r>
      <w:proofErr w:type="spellStart"/>
      <w:r>
        <w:t>enre</w:t>
      </w:r>
      <w:proofErr w:type="spellEnd"/>
      <w:r>
        <w:t xml:space="preserve"> mois x et x-1 du « </w:t>
      </w:r>
      <w:proofErr w:type="spellStart"/>
      <w:r w:rsidRPr="00B47880">
        <w:t>ava</w:t>
      </w:r>
      <w:r>
        <w:t>i</w:t>
      </w:r>
      <w:r w:rsidRPr="00B47880">
        <w:t>lable</w:t>
      </w:r>
      <w:proofErr w:type="spellEnd"/>
      <w:r w:rsidRPr="00B47880">
        <w:t xml:space="preserve"> stable </w:t>
      </w:r>
      <w:proofErr w:type="spellStart"/>
      <w:r w:rsidRPr="00B47880">
        <w:t>funding</w:t>
      </w:r>
      <w:proofErr w:type="spellEnd"/>
      <w:r>
        <w:t> »</w:t>
      </w:r>
      <w:r w:rsidRPr="00B47880">
        <w:t xml:space="preserve"> (ASF =&gt; pas</w:t>
      </w:r>
      <w:r>
        <w:t>sif) et du « </w:t>
      </w:r>
      <w:proofErr w:type="spellStart"/>
      <w:r>
        <w:t>required</w:t>
      </w:r>
      <w:proofErr w:type="spellEnd"/>
      <w:r w:rsidRPr="00B47880">
        <w:t xml:space="preserve"> stable </w:t>
      </w:r>
      <w:proofErr w:type="spellStart"/>
      <w:r w:rsidRPr="00B47880">
        <w:t>funding</w:t>
      </w:r>
      <w:proofErr w:type="spellEnd"/>
      <w:r>
        <w:t> »</w:t>
      </w:r>
      <w:r w:rsidRPr="00B47880">
        <w:t xml:space="preserve"> (</w:t>
      </w:r>
      <w:r>
        <w:t>R</w:t>
      </w:r>
      <w:r w:rsidRPr="00B47880">
        <w:t xml:space="preserve">SF =&gt; </w:t>
      </w:r>
      <w:r>
        <w:t>actif). Valeurs en x de ces indicateurs.</w:t>
      </w:r>
    </w:p>
    <w:p w14:paraId="1134FBAE" w14:textId="43DDDA0D" w:rsidR="00B47880" w:rsidRPr="00B47880" w:rsidRDefault="00B47880" w:rsidP="00D0055B">
      <w:pPr>
        <w:pStyle w:val="Paragraphedeliste"/>
        <w:numPr>
          <w:ilvl w:val="0"/>
          <w:numId w:val="7"/>
        </w:numPr>
        <w:spacing w:after="240" w:line="240" w:lineRule="auto"/>
        <w:ind w:left="714" w:hanging="357"/>
        <w:contextualSpacing w:val="0"/>
        <w:jc w:val="both"/>
        <w:rPr>
          <w:b/>
          <w:bCs/>
          <w:i/>
          <w:iCs/>
        </w:rPr>
      </w:pPr>
      <w:r w:rsidRPr="00B47880">
        <w:rPr>
          <w:b/>
          <w:bCs/>
          <w:i/>
          <w:iCs/>
        </w:rPr>
        <w:t xml:space="preserve">DELTA </w:t>
      </w:r>
      <w:r>
        <w:rPr>
          <w:b/>
          <w:bCs/>
          <w:i/>
          <w:iCs/>
        </w:rPr>
        <w:t>RL</w:t>
      </w:r>
      <w:r w:rsidRPr="00B47880">
        <w:rPr>
          <w:b/>
          <w:bCs/>
          <w:i/>
          <w:iCs/>
        </w:rPr>
        <w:t xml:space="preserve"> et DELTA </w:t>
      </w:r>
      <w:proofErr w:type="gramStart"/>
      <w:r>
        <w:rPr>
          <w:b/>
          <w:bCs/>
          <w:i/>
          <w:iCs/>
        </w:rPr>
        <w:t>NCO ,</w:t>
      </w:r>
      <w:proofErr w:type="gramEnd"/>
      <w:r>
        <w:rPr>
          <w:b/>
          <w:bCs/>
          <w:i/>
          <w:iCs/>
        </w:rPr>
        <w:t xml:space="preserve"> RL et NCO</w:t>
      </w:r>
      <w:r w:rsidRPr="00B47880">
        <w:rPr>
          <w:b/>
          <w:bCs/>
          <w:i/>
          <w:iCs/>
        </w:rPr>
        <w:t xml:space="preserve"> : </w:t>
      </w:r>
      <w:r w:rsidRPr="00B47880">
        <w:t xml:space="preserve">Delta </w:t>
      </w:r>
      <w:r>
        <w:t xml:space="preserve">entre mois x et x-1 de la réserve en liquidités et </w:t>
      </w:r>
      <w:r w:rsidR="006838A1">
        <w:t xml:space="preserve">du Net Cash </w:t>
      </w:r>
      <w:proofErr w:type="spellStart"/>
      <w:r w:rsidR="006838A1">
        <w:t>Outflow</w:t>
      </w:r>
      <w:proofErr w:type="spellEnd"/>
      <w:r w:rsidR="00DB7A47">
        <w:t>.</w:t>
      </w:r>
      <w:r>
        <w:t xml:space="preserve"> Valeurs en x de ces indicateurs.</w:t>
      </w:r>
    </w:p>
    <w:p w14:paraId="26B1AA3C" w14:textId="77777777" w:rsidR="00382710" w:rsidRPr="00B47880" w:rsidRDefault="00382710" w:rsidP="006E058D">
      <w:pPr>
        <w:spacing w:after="40" w:line="240" w:lineRule="auto"/>
        <w:jc w:val="both"/>
      </w:pPr>
    </w:p>
    <w:p w14:paraId="57A0FD76" w14:textId="77777777" w:rsidR="00382710" w:rsidRPr="00382710" w:rsidRDefault="00382710" w:rsidP="00313A2C">
      <w:pPr>
        <w:spacing w:after="40" w:line="240" w:lineRule="auto"/>
        <w:jc w:val="both"/>
        <w:rPr>
          <w:b/>
          <w:bCs/>
        </w:rPr>
      </w:pPr>
      <w:r w:rsidRPr="00382710">
        <w:rPr>
          <w:b/>
          <w:bCs/>
        </w:rPr>
        <w:t>e. Axes de sortie</w:t>
      </w:r>
    </w:p>
    <w:p w14:paraId="3A70583B" w14:textId="31FFE23C" w:rsidR="00491069" w:rsidRDefault="006E058D" w:rsidP="00313A2C">
      <w:pPr>
        <w:spacing w:after="40" w:line="240" w:lineRule="auto"/>
        <w:jc w:val="both"/>
      </w:pPr>
      <w:r>
        <w:t xml:space="preserve">Cet onglet offre également le choix à l’utilisateur de </w:t>
      </w:r>
      <w:r w:rsidR="00313A2C">
        <w:t xml:space="preserve">choisir els axes de sorties qu’il souhaite inclure dans </w:t>
      </w:r>
      <w:r w:rsidR="000B1365">
        <w:t>les fichiers</w:t>
      </w:r>
      <w:r w:rsidR="00313A2C">
        <w:t xml:space="preserve"> de Compil en sortie</w:t>
      </w:r>
      <w:r w:rsidR="00D859AC">
        <w:t> :</w:t>
      </w:r>
    </w:p>
    <w:p w14:paraId="7F2B5CB9" w14:textId="43F8A15E" w:rsidR="00D859AC" w:rsidRPr="009C16F9" w:rsidRDefault="00D859AC" w:rsidP="00D859AC">
      <w:pPr>
        <w:spacing w:after="40" w:line="240" w:lineRule="auto"/>
        <w:jc w:val="center"/>
      </w:pPr>
      <w:r>
        <w:object w:dxaOrig="3084" w:dyaOrig="7596" w14:anchorId="5F3B1079">
          <v:shape id="_x0000_i1029" type="#_x0000_t75" style="width:82.35pt;height:201.8pt" o:ole="">
            <v:imagedata r:id="rId12" o:title=""/>
          </v:shape>
          <o:OLEObject Type="Embed" ProgID="PBrush" ShapeID="_x0000_i1029" DrawAspect="Content" ObjectID="_1802265118" r:id="rId13"/>
        </w:object>
      </w:r>
    </w:p>
    <w:p w14:paraId="701F8450" w14:textId="5B548C42" w:rsidR="00887AA3" w:rsidRPr="00FF06A3" w:rsidRDefault="00887AA3" w:rsidP="00FF06A3">
      <w:pPr>
        <w:pStyle w:val="Titre3"/>
      </w:pPr>
      <w:bookmarkStart w:id="12" w:name="_Toc99978583"/>
      <w:bookmarkStart w:id="13" w:name="_Toc107267843"/>
      <w:r w:rsidRPr="00FF06A3">
        <w:t>Param</w:t>
      </w:r>
      <w:bookmarkEnd w:id="12"/>
      <w:bookmarkEnd w:id="13"/>
      <w:r w:rsidR="000E14A6">
        <w:t xml:space="preserve"> expert</w:t>
      </w:r>
    </w:p>
    <w:p w14:paraId="4BECC834" w14:textId="39865126" w:rsidR="00491069" w:rsidRDefault="00491069" w:rsidP="009C16F9">
      <w:pPr>
        <w:spacing w:after="120"/>
        <w:jc w:val="both"/>
      </w:pPr>
      <w:r w:rsidRPr="009C16F9">
        <w:t xml:space="preserve">L’onglet </w:t>
      </w:r>
      <w:proofErr w:type="spellStart"/>
      <w:r w:rsidRPr="009C16F9">
        <w:rPr>
          <w:b/>
          <w:bCs/>
          <w:i/>
          <w:iCs/>
        </w:rPr>
        <w:t>Param_</w:t>
      </w:r>
      <w:r w:rsidR="00FF06A3">
        <w:rPr>
          <w:b/>
          <w:bCs/>
          <w:i/>
          <w:iCs/>
        </w:rPr>
        <w:t>Autres</w:t>
      </w:r>
      <w:proofErr w:type="spellEnd"/>
      <w:r w:rsidRPr="009C16F9">
        <w:rPr>
          <w:b/>
          <w:bCs/>
          <w:i/>
          <w:iCs/>
        </w:rPr>
        <w:t xml:space="preserve"> </w:t>
      </w:r>
      <w:proofErr w:type="gramStart"/>
      <w:r w:rsidR="00FF06A3">
        <w:t>permet</w:t>
      </w:r>
      <w:proofErr w:type="gramEnd"/>
      <w:r w:rsidR="00FF06A3">
        <w:t xml:space="preserve"> de paramétrer un certain nombre de</w:t>
      </w:r>
      <w:r w:rsidR="00FF4874">
        <w:t xml:space="preserve"> paramètres supplémentaires :</w:t>
      </w:r>
    </w:p>
    <w:p w14:paraId="3BFC5716" w14:textId="77777777" w:rsidR="00D859AC" w:rsidRPr="009C16F9" w:rsidRDefault="00D859AC" w:rsidP="009C16F9">
      <w:pPr>
        <w:spacing w:after="120"/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17"/>
        <w:gridCol w:w="2745"/>
      </w:tblGrid>
      <w:tr w:rsidR="00592C0D" w:rsidRPr="009C16F9" w14:paraId="1E6F835D" w14:textId="77777777" w:rsidTr="00AD4074">
        <w:tc>
          <w:tcPr>
            <w:tcW w:w="6317" w:type="dxa"/>
          </w:tcPr>
          <w:p w14:paraId="1CC48712" w14:textId="0FEE9E90" w:rsidR="00592C0D" w:rsidRPr="009C16F9" w:rsidRDefault="00592C0D" w:rsidP="009C16F9">
            <w:pPr>
              <w:spacing w:after="120"/>
              <w:jc w:val="both"/>
            </w:pPr>
            <w:r w:rsidRPr="009C16F9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6705F31" wp14:editId="2B9681A1">
                  <wp:simplePos x="0" y="0"/>
                  <wp:positionH relativeFrom="column">
                    <wp:posOffset>727710</wp:posOffset>
                  </wp:positionH>
                  <wp:positionV relativeFrom="paragraph">
                    <wp:posOffset>3810</wp:posOffset>
                  </wp:positionV>
                  <wp:extent cx="1511935" cy="1363980"/>
                  <wp:effectExtent l="0" t="0" r="0" b="7620"/>
                  <wp:wrapTight wrapText="bothSides">
                    <wp:wrapPolygon edited="0">
                      <wp:start x="0" y="0"/>
                      <wp:lineTo x="0" y="21419"/>
                      <wp:lineTo x="21228" y="21419"/>
                      <wp:lineTo x="21228" y="0"/>
                      <wp:lineTo x="0" y="0"/>
                    </wp:wrapPolygon>
                  </wp:wrapTight>
                  <wp:docPr id="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90" b="27563"/>
                          <a:stretch/>
                        </pic:blipFill>
                        <pic:spPr bwMode="auto">
                          <a:xfrm>
                            <a:off x="0" y="0"/>
                            <a:ext cx="1511935" cy="1363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A574502" w14:textId="77777777" w:rsidR="00592C0D" w:rsidRPr="009C16F9" w:rsidRDefault="00592C0D" w:rsidP="009C16F9">
            <w:pPr>
              <w:spacing w:after="120"/>
              <w:jc w:val="both"/>
            </w:pPr>
          </w:p>
          <w:p w14:paraId="7682AFB2" w14:textId="77777777" w:rsidR="00592C0D" w:rsidRPr="009C16F9" w:rsidRDefault="00592C0D" w:rsidP="009C16F9">
            <w:pPr>
              <w:spacing w:after="120"/>
              <w:jc w:val="both"/>
            </w:pPr>
          </w:p>
          <w:p w14:paraId="7213DA3E" w14:textId="77777777" w:rsidR="00592C0D" w:rsidRPr="009C16F9" w:rsidRDefault="00592C0D" w:rsidP="009C16F9">
            <w:pPr>
              <w:spacing w:after="120"/>
              <w:jc w:val="both"/>
            </w:pPr>
          </w:p>
          <w:p w14:paraId="1DA3C154" w14:textId="77777777" w:rsidR="00592C0D" w:rsidRPr="009C16F9" w:rsidRDefault="00592C0D" w:rsidP="009C16F9">
            <w:pPr>
              <w:spacing w:after="120"/>
              <w:jc w:val="both"/>
            </w:pPr>
          </w:p>
          <w:p w14:paraId="5E0E7288" w14:textId="77777777" w:rsidR="00592C0D" w:rsidRPr="009C16F9" w:rsidRDefault="00592C0D" w:rsidP="009C16F9">
            <w:pPr>
              <w:spacing w:after="120"/>
              <w:jc w:val="both"/>
            </w:pPr>
          </w:p>
          <w:p w14:paraId="77356A81" w14:textId="77777777" w:rsidR="00592C0D" w:rsidRPr="009C16F9" w:rsidRDefault="00592C0D" w:rsidP="009C16F9">
            <w:pPr>
              <w:spacing w:after="120"/>
              <w:jc w:val="both"/>
            </w:pPr>
          </w:p>
          <w:p w14:paraId="4C2C6152" w14:textId="5EC03B09" w:rsidR="00592C0D" w:rsidRPr="009C16F9" w:rsidRDefault="00AD4074" w:rsidP="009C16F9">
            <w:pPr>
              <w:spacing w:after="120"/>
              <w:jc w:val="both"/>
            </w:pPr>
            <w:r>
              <w:object w:dxaOrig="4284" w:dyaOrig="288" w14:anchorId="0BDE005A">
                <v:shape id="_x0000_i1031" type="#_x0000_t75" style="width:214.35pt;height:14.2pt" o:ole="">
                  <v:imagedata r:id="rId15" o:title=""/>
                </v:shape>
                <o:OLEObject Type="Embed" ProgID="PBrush" ShapeID="_x0000_i1031" DrawAspect="Content" ObjectID="_1802265119" r:id="rId16"/>
              </w:object>
            </w:r>
          </w:p>
        </w:tc>
        <w:tc>
          <w:tcPr>
            <w:tcW w:w="2745" w:type="dxa"/>
          </w:tcPr>
          <w:p w14:paraId="772D9F2A" w14:textId="77777777" w:rsidR="00592C0D" w:rsidRPr="009C16F9" w:rsidRDefault="00592C0D" w:rsidP="009C16F9">
            <w:pPr>
              <w:spacing w:after="120"/>
              <w:jc w:val="both"/>
              <w:rPr>
                <w:szCs w:val="20"/>
              </w:rPr>
            </w:pPr>
          </w:p>
          <w:p w14:paraId="312FC7CF" w14:textId="56C7D28E" w:rsidR="00592C0D" w:rsidRDefault="00592C0D" w:rsidP="009C16F9">
            <w:pPr>
              <w:spacing w:after="120"/>
              <w:jc w:val="both"/>
              <w:rPr>
                <w:szCs w:val="20"/>
              </w:rPr>
            </w:pPr>
            <w:r w:rsidRPr="009C16F9">
              <w:rPr>
                <w:szCs w:val="20"/>
              </w:rPr>
              <w:t xml:space="preserve">• </w:t>
            </w:r>
            <w:r w:rsidRPr="009C16F9">
              <w:rPr>
                <w:b/>
                <w:bCs/>
                <w:szCs w:val="20"/>
              </w:rPr>
              <w:t>SPREAD DE LIQUIDITE DES AJUSTEMENTS</w:t>
            </w:r>
            <w:r w:rsidRPr="009C16F9">
              <w:rPr>
                <w:szCs w:val="20"/>
              </w:rPr>
              <w:t xml:space="preserve"> (en bps)</w:t>
            </w:r>
          </w:p>
          <w:p w14:paraId="4AE56954" w14:textId="5E0689E4" w:rsidR="00AD4074" w:rsidRDefault="00AD4074" w:rsidP="009C16F9">
            <w:pPr>
              <w:spacing w:after="120"/>
              <w:jc w:val="both"/>
              <w:rPr>
                <w:szCs w:val="20"/>
              </w:rPr>
            </w:pPr>
          </w:p>
          <w:p w14:paraId="3BE4C985" w14:textId="4B2C4711" w:rsidR="00AD4074" w:rsidRPr="00AD4074" w:rsidRDefault="00AD4074" w:rsidP="00D0055B">
            <w:pPr>
              <w:pStyle w:val="Paragraphedeliste"/>
              <w:numPr>
                <w:ilvl w:val="0"/>
                <w:numId w:val="22"/>
              </w:numPr>
              <w:spacing w:after="120"/>
              <w:jc w:val="both"/>
              <w:rPr>
                <w:szCs w:val="20"/>
              </w:rPr>
            </w:pPr>
            <w:r w:rsidRPr="00AD4074">
              <w:rPr>
                <w:b/>
                <w:bCs/>
                <w:szCs w:val="20"/>
              </w:rPr>
              <w:t>SORTIR SLT LES AJUSTEMENTS</w:t>
            </w:r>
            <w:r>
              <w:rPr>
                <w:szCs w:val="20"/>
              </w:rPr>
              <w:t> : permet de sortir seulement les cales mensuelles générées par le moteur pour équilibrer les bilans projetés. Défaut : NON</w:t>
            </w:r>
          </w:p>
          <w:p w14:paraId="7B4388F4" w14:textId="68E9FC70" w:rsidR="00AD4074" w:rsidRDefault="00AD4074" w:rsidP="009C16F9">
            <w:pPr>
              <w:spacing w:after="120"/>
              <w:jc w:val="both"/>
              <w:rPr>
                <w:szCs w:val="20"/>
              </w:rPr>
            </w:pPr>
          </w:p>
          <w:p w14:paraId="73864201" w14:textId="009F2118" w:rsidR="00AD4074" w:rsidRDefault="00AD4074" w:rsidP="009C16F9">
            <w:pPr>
              <w:spacing w:after="120"/>
              <w:jc w:val="both"/>
              <w:rPr>
                <w:szCs w:val="20"/>
              </w:rPr>
            </w:pPr>
          </w:p>
          <w:p w14:paraId="73C54B97" w14:textId="72F1D0B2" w:rsidR="00AD4074" w:rsidRDefault="00AD4074" w:rsidP="009C16F9">
            <w:pPr>
              <w:spacing w:after="120"/>
              <w:jc w:val="both"/>
              <w:rPr>
                <w:szCs w:val="20"/>
              </w:rPr>
            </w:pPr>
          </w:p>
          <w:p w14:paraId="41E0372C" w14:textId="77777777" w:rsidR="00AD4074" w:rsidRPr="00AD4074" w:rsidRDefault="00AD4074" w:rsidP="00AD4074">
            <w:pPr>
              <w:spacing w:after="120"/>
              <w:jc w:val="both"/>
              <w:rPr>
                <w:szCs w:val="20"/>
              </w:rPr>
            </w:pPr>
          </w:p>
          <w:p w14:paraId="5775D69C" w14:textId="77777777" w:rsidR="00592C0D" w:rsidRPr="009C16F9" w:rsidRDefault="00592C0D" w:rsidP="009C16F9">
            <w:pPr>
              <w:spacing w:after="120"/>
              <w:jc w:val="both"/>
              <w:rPr>
                <w:szCs w:val="20"/>
              </w:rPr>
            </w:pPr>
          </w:p>
          <w:p w14:paraId="5D9E56A9" w14:textId="5FB9C5C8" w:rsidR="00592C0D" w:rsidRPr="009C16F9" w:rsidRDefault="00592C0D" w:rsidP="009C16F9">
            <w:pPr>
              <w:spacing w:after="120"/>
              <w:jc w:val="both"/>
              <w:rPr>
                <w:szCs w:val="20"/>
              </w:rPr>
            </w:pPr>
          </w:p>
        </w:tc>
      </w:tr>
      <w:tr w:rsidR="00592C0D" w:rsidRPr="009C16F9" w14:paraId="7E8721E6" w14:textId="77777777" w:rsidTr="00AD4074">
        <w:tc>
          <w:tcPr>
            <w:tcW w:w="6317" w:type="dxa"/>
            <w:vAlign w:val="center"/>
          </w:tcPr>
          <w:p w14:paraId="6055CE6E" w14:textId="22E400BF" w:rsidR="00592C0D" w:rsidRPr="009C16F9" w:rsidRDefault="00AD4074" w:rsidP="00AD4074">
            <w:pPr>
              <w:spacing w:after="120"/>
              <w:jc w:val="center"/>
            </w:pPr>
            <w:r>
              <w:object w:dxaOrig="5952" w:dyaOrig="840" w14:anchorId="16ADC179">
                <v:shape id="_x0000_i1032" type="#_x0000_t75" style="width:297.8pt;height:42pt" o:ole="">
                  <v:imagedata r:id="rId17" o:title=""/>
                </v:shape>
                <o:OLEObject Type="Embed" ProgID="PBrush" ShapeID="_x0000_i1032" DrawAspect="Content" ObjectID="_1802265120" r:id="rId18"/>
              </w:object>
            </w:r>
          </w:p>
        </w:tc>
        <w:tc>
          <w:tcPr>
            <w:tcW w:w="2745" w:type="dxa"/>
          </w:tcPr>
          <w:p w14:paraId="26C3407F" w14:textId="77777777" w:rsidR="00592C0D" w:rsidRPr="009C16F9" w:rsidRDefault="00592C0D" w:rsidP="009C16F9">
            <w:pPr>
              <w:spacing w:after="120"/>
              <w:jc w:val="both"/>
              <w:rPr>
                <w:szCs w:val="20"/>
              </w:rPr>
            </w:pPr>
          </w:p>
          <w:p w14:paraId="56DD2FFF" w14:textId="79F4BE02" w:rsidR="00592C0D" w:rsidRPr="009C16F9" w:rsidRDefault="00592C0D" w:rsidP="009C16F9">
            <w:pPr>
              <w:spacing w:after="120"/>
              <w:jc w:val="both"/>
              <w:rPr>
                <w:szCs w:val="20"/>
              </w:rPr>
            </w:pPr>
            <w:r w:rsidRPr="009C16F9">
              <w:rPr>
                <w:szCs w:val="20"/>
              </w:rPr>
              <w:t xml:space="preserve">• </w:t>
            </w:r>
            <w:r w:rsidRPr="009C16F9">
              <w:rPr>
                <w:b/>
                <w:bCs/>
                <w:szCs w:val="20"/>
              </w:rPr>
              <w:t>Choix de la Méthode de calcul de la MNI pour l</w:t>
            </w:r>
            <w:r w:rsidR="00313A2C">
              <w:rPr>
                <w:b/>
                <w:bCs/>
                <w:szCs w:val="20"/>
              </w:rPr>
              <w:t>es RA/RN et PEL</w:t>
            </w:r>
            <w:r w:rsidRPr="009C16F9">
              <w:rPr>
                <w:szCs w:val="20"/>
              </w:rPr>
              <w:t xml:space="preserve"> : TAUX client ou TCI</w:t>
            </w:r>
          </w:p>
        </w:tc>
      </w:tr>
      <w:tr w:rsidR="00592C0D" w:rsidRPr="009C16F9" w14:paraId="0E174793" w14:textId="77777777" w:rsidTr="00AD4074">
        <w:tc>
          <w:tcPr>
            <w:tcW w:w="6317" w:type="dxa"/>
          </w:tcPr>
          <w:p w14:paraId="5A0258EA" w14:textId="0B6EA8C8" w:rsidR="00592C0D" w:rsidRPr="009C16F9" w:rsidRDefault="00592C0D" w:rsidP="009C16F9">
            <w:pPr>
              <w:spacing w:after="120"/>
              <w:jc w:val="both"/>
              <w:rPr>
                <w:b/>
                <w:bCs/>
                <w:szCs w:val="20"/>
              </w:rPr>
            </w:pPr>
            <w:r w:rsidRPr="009C16F9">
              <w:rPr>
                <w:noProof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25C52AAC" wp14:editId="6924A27F">
                  <wp:simplePos x="0" y="0"/>
                  <wp:positionH relativeFrom="column">
                    <wp:posOffset>733121</wp:posOffset>
                  </wp:positionH>
                  <wp:positionV relativeFrom="paragraph">
                    <wp:posOffset>249</wp:posOffset>
                  </wp:positionV>
                  <wp:extent cx="1736565" cy="1436946"/>
                  <wp:effectExtent l="0" t="0" r="0" b="0"/>
                  <wp:wrapTight wrapText="bothSides">
                    <wp:wrapPolygon edited="0">
                      <wp:start x="0" y="0"/>
                      <wp:lineTo x="0" y="21199"/>
                      <wp:lineTo x="21331" y="21199"/>
                      <wp:lineTo x="21331" y="0"/>
                      <wp:lineTo x="0" y="0"/>
                    </wp:wrapPolygon>
                  </wp:wrapTight>
                  <wp:docPr id="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565" cy="143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14C583" w14:textId="1B29DD5B" w:rsidR="00592C0D" w:rsidRPr="009C16F9" w:rsidRDefault="00592C0D" w:rsidP="009C16F9">
            <w:pPr>
              <w:spacing w:after="120"/>
              <w:jc w:val="both"/>
              <w:rPr>
                <w:b/>
                <w:bCs/>
                <w:szCs w:val="20"/>
              </w:rPr>
            </w:pPr>
          </w:p>
          <w:p w14:paraId="2ADD4B1C" w14:textId="77777777" w:rsidR="00592C0D" w:rsidRPr="009C16F9" w:rsidRDefault="00592C0D" w:rsidP="009C16F9">
            <w:pPr>
              <w:spacing w:after="120"/>
              <w:jc w:val="both"/>
              <w:rPr>
                <w:b/>
                <w:bCs/>
                <w:szCs w:val="20"/>
              </w:rPr>
            </w:pPr>
          </w:p>
          <w:p w14:paraId="73007C76" w14:textId="77777777" w:rsidR="00305734" w:rsidRPr="009C16F9" w:rsidRDefault="00305734" w:rsidP="009C16F9">
            <w:pPr>
              <w:spacing w:after="120"/>
              <w:jc w:val="both"/>
              <w:rPr>
                <w:b/>
                <w:bCs/>
                <w:szCs w:val="20"/>
              </w:rPr>
            </w:pPr>
          </w:p>
          <w:p w14:paraId="2B453415" w14:textId="77777777" w:rsidR="00305734" w:rsidRPr="009C16F9" w:rsidRDefault="00305734" w:rsidP="009C16F9">
            <w:pPr>
              <w:spacing w:after="120"/>
              <w:jc w:val="both"/>
              <w:rPr>
                <w:b/>
                <w:bCs/>
                <w:szCs w:val="20"/>
              </w:rPr>
            </w:pPr>
          </w:p>
          <w:p w14:paraId="29D0634E" w14:textId="77777777" w:rsidR="00305734" w:rsidRPr="009C16F9" w:rsidRDefault="00305734" w:rsidP="009C16F9">
            <w:pPr>
              <w:spacing w:after="120"/>
              <w:jc w:val="both"/>
              <w:rPr>
                <w:b/>
                <w:bCs/>
                <w:szCs w:val="20"/>
              </w:rPr>
            </w:pPr>
          </w:p>
          <w:p w14:paraId="60B91B57" w14:textId="18EBD17D" w:rsidR="00305734" w:rsidRPr="009C16F9" w:rsidRDefault="00305734" w:rsidP="009C16F9">
            <w:pPr>
              <w:spacing w:after="120"/>
              <w:jc w:val="both"/>
              <w:rPr>
                <w:b/>
                <w:bCs/>
                <w:szCs w:val="20"/>
              </w:rPr>
            </w:pPr>
          </w:p>
        </w:tc>
        <w:tc>
          <w:tcPr>
            <w:tcW w:w="2745" w:type="dxa"/>
          </w:tcPr>
          <w:p w14:paraId="71B48E82" w14:textId="77777777" w:rsidR="00592C0D" w:rsidRPr="009C16F9" w:rsidRDefault="00592C0D" w:rsidP="009C16F9">
            <w:pPr>
              <w:spacing w:after="120"/>
              <w:jc w:val="both"/>
              <w:rPr>
                <w:szCs w:val="20"/>
              </w:rPr>
            </w:pPr>
          </w:p>
          <w:p w14:paraId="4D63BF1B" w14:textId="77777777" w:rsidR="00592C0D" w:rsidRPr="009C16F9" w:rsidRDefault="00592C0D" w:rsidP="009C16F9">
            <w:pPr>
              <w:spacing w:after="120"/>
              <w:jc w:val="both"/>
              <w:rPr>
                <w:szCs w:val="20"/>
              </w:rPr>
            </w:pPr>
          </w:p>
          <w:p w14:paraId="385ACA7F" w14:textId="06A741D5" w:rsidR="00592C0D" w:rsidRPr="009C16F9" w:rsidRDefault="00592C0D" w:rsidP="009C16F9">
            <w:pPr>
              <w:spacing w:after="120"/>
              <w:jc w:val="both"/>
              <w:rPr>
                <w:szCs w:val="20"/>
              </w:rPr>
            </w:pPr>
            <w:r w:rsidRPr="009C16F9">
              <w:rPr>
                <w:szCs w:val="20"/>
              </w:rPr>
              <w:t xml:space="preserve">• </w:t>
            </w:r>
            <w:r w:rsidRPr="009C16F9">
              <w:rPr>
                <w:b/>
                <w:bCs/>
                <w:szCs w:val="20"/>
              </w:rPr>
              <w:t xml:space="preserve">Nombre de mois de production de PN par type de PN </w:t>
            </w:r>
            <w:r w:rsidRPr="009C16F9">
              <w:rPr>
                <w:szCs w:val="20"/>
              </w:rPr>
              <w:t xml:space="preserve">: permet de limiter le nombre de mois ou des </w:t>
            </w:r>
            <w:proofErr w:type="spellStart"/>
            <w:r w:rsidRPr="009C16F9">
              <w:rPr>
                <w:szCs w:val="20"/>
              </w:rPr>
              <w:t>PNs</w:t>
            </w:r>
            <w:proofErr w:type="spellEnd"/>
            <w:r w:rsidRPr="009C16F9">
              <w:rPr>
                <w:szCs w:val="20"/>
              </w:rPr>
              <w:t xml:space="preserve"> sont produites</w:t>
            </w:r>
          </w:p>
        </w:tc>
      </w:tr>
      <w:tr w:rsidR="00AD4074" w:rsidRPr="009C16F9" w14:paraId="29B44085" w14:textId="77777777" w:rsidTr="000C0132">
        <w:tc>
          <w:tcPr>
            <w:tcW w:w="6317" w:type="dxa"/>
          </w:tcPr>
          <w:p w14:paraId="3C999E57" w14:textId="367DAE6C" w:rsidR="00AD4074" w:rsidRPr="009C16F9" w:rsidRDefault="00AD4074" w:rsidP="009C16F9">
            <w:pPr>
              <w:spacing w:after="120"/>
              <w:jc w:val="both"/>
              <w:rPr>
                <w:noProof/>
              </w:rPr>
            </w:pPr>
            <w:r>
              <w:object w:dxaOrig="4668" w:dyaOrig="1968" w14:anchorId="00757E5F">
                <v:shape id="_x0000_i1033" type="#_x0000_t75" style="width:233.45pt;height:98.2pt" o:ole="">
                  <v:imagedata r:id="rId20" o:title=""/>
                </v:shape>
                <o:OLEObject Type="Embed" ProgID="PBrush" ShapeID="_x0000_i1033" DrawAspect="Content" ObjectID="_1802265121" r:id="rId21"/>
              </w:object>
            </w:r>
          </w:p>
        </w:tc>
        <w:tc>
          <w:tcPr>
            <w:tcW w:w="2745" w:type="dxa"/>
          </w:tcPr>
          <w:p w14:paraId="6C5C3D9A" w14:textId="28B4AF56" w:rsidR="00AD4074" w:rsidRPr="00AD4074" w:rsidRDefault="00AD4074" w:rsidP="00AD4074">
            <w:pPr>
              <w:spacing w:after="120"/>
              <w:jc w:val="both"/>
              <w:rPr>
                <w:b/>
                <w:bCs/>
                <w:szCs w:val="20"/>
              </w:rPr>
            </w:pPr>
            <w:r w:rsidRPr="009C16F9">
              <w:rPr>
                <w:szCs w:val="20"/>
              </w:rPr>
              <w:t xml:space="preserve">• </w:t>
            </w:r>
            <w:r>
              <w:rPr>
                <w:b/>
                <w:bCs/>
                <w:szCs w:val="20"/>
              </w:rPr>
              <w:t xml:space="preserve">La date et fréquence de </w:t>
            </w:r>
            <w:proofErr w:type="spellStart"/>
            <w:r>
              <w:rPr>
                <w:b/>
                <w:bCs/>
                <w:szCs w:val="20"/>
              </w:rPr>
              <w:t>refixing</w:t>
            </w:r>
            <w:proofErr w:type="spellEnd"/>
            <w:r>
              <w:rPr>
                <w:b/>
                <w:bCs/>
                <w:szCs w:val="20"/>
              </w:rPr>
              <w:t xml:space="preserve"> des taux dépendants du TLA pour le calcul du gap de taux. DEFAUT : NON</w:t>
            </w:r>
          </w:p>
        </w:tc>
      </w:tr>
      <w:tr w:rsidR="00AD4074" w:rsidRPr="009C16F9" w14:paraId="64A46EF9" w14:textId="77777777" w:rsidTr="000C0132">
        <w:tc>
          <w:tcPr>
            <w:tcW w:w="6317" w:type="dxa"/>
          </w:tcPr>
          <w:p w14:paraId="5255767B" w14:textId="47F277BF" w:rsidR="00AD4074" w:rsidRDefault="00AD4074" w:rsidP="00B67200">
            <w:pPr>
              <w:spacing w:after="120"/>
              <w:jc w:val="both"/>
            </w:pPr>
          </w:p>
        </w:tc>
        <w:tc>
          <w:tcPr>
            <w:tcW w:w="2745" w:type="dxa"/>
          </w:tcPr>
          <w:p w14:paraId="6ED208FD" w14:textId="77777777" w:rsidR="00AD4074" w:rsidRDefault="00AD4074" w:rsidP="009C16F9">
            <w:pPr>
              <w:spacing w:after="120"/>
              <w:jc w:val="both"/>
              <w:rPr>
                <w:b/>
                <w:bCs/>
                <w:szCs w:val="20"/>
              </w:rPr>
            </w:pPr>
            <w:r w:rsidRPr="009C16F9">
              <w:rPr>
                <w:szCs w:val="20"/>
              </w:rPr>
              <w:t xml:space="preserve">• </w:t>
            </w:r>
            <w:r>
              <w:rPr>
                <w:b/>
                <w:bCs/>
                <w:szCs w:val="20"/>
              </w:rPr>
              <w:t>Application des conventions d’écoulements définis au niveau groupe.</w:t>
            </w:r>
          </w:p>
          <w:p w14:paraId="33AF3C2E" w14:textId="72511F2C" w:rsidR="00AD4074" w:rsidRPr="009C16F9" w:rsidRDefault="00AD4074" w:rsidP="009C16F9">
            <w:pPr>
              <w:spacing w:after="120"/>
              <w:jc w:val="both"/>
              <w:rPr>
                <w:szCs w:val="20"/>
              </w:rPr>
            </w:pPr>
            <w:r>
              <w:rPr>
                <w:szCs w:val="20"/>
              </w:rPr>
              <w:t>DEFAUT : OUI</w:t>
            </w:r>
          </w:p>
        </w:tc>
      </w:tr>
    </w:tbl>
    <w:p w14:paraId="66A8D1C8" w14:textId="7BA0CDA2" w:rsidR="000332D3" w:rsidRPr="009C16F9" w:rsidRDefault="000332D3" w:rsidP="009C16F9">
      <w:pPr>
        <w:jc w:val="both"/>
        <w:rPr>
          <w:b/>
          <w:bCs/>
        </w:rPr>
      </w:pPr>
    </w:p>
    <w:sectPr w:rsidR="000332D3" w:rsidRPr="009C16F9">
      <w:head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51C29" w14:textId="77777777" w:rsidR="006D18F9" w:rsidRDefault="006D18F9" w:rsidP="004D1FD3">
      <w:pPr>
        <w:spacing w:after="0" w:line="240" w:lineRule="auto"/>
      </w:pPr>
      <w:r>
        <w:separator/>
      </w:r>
    </w:p>
  </w:endnote>
  <w:endnote w:type="continuationSeparator" w:id="0">
    <w:p w14:paraId="1ACBC9B0" w14:textId="77777777" w:rsidR="006D18F9" w:rsidRDefault="006D18F9" w:rsidP="004D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AB09" w14:textId="77777777" w:rsidR="006D18F9" w:rsidRDefault="006D18F9" w:rsidP="004D1FD3">
      <w:pPr>
        <w:spacing w:after="0" w:line="240" w:lineRule="auto"/>
      </w:pPr>
      <w:r>
        <w:separator/>
      </w:r>
    </w:p>
  </w:footnote>
  <w:footnote w:type="continuationSeparator" w:id="0">
    <w:p w14:paraId="0CD2B2D6" w14:textId="77777777" w:rsidR="006D18F9" w:rsidRDefault="006D18F9" w:rsidP="004D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26"/>
      <w:gridCol w:w="4551"/>
      <w:gridCol w:w="2925"/>
    </w:tblGrid>
    <w:tr w:rsidR="0051493D" w14:paraId="42415BFA" w14:textId="77777777" w:rsidTr="007E3240">
      <w:trPr>
        <w:cantSplit/>
        <w:trHeight w:val="699"/>
        <w:jc w:val="center"/>
      </w:trPr>
      <w:tc>
        <w:tcPr>
          <w:tcW w:w="29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F2319F" w14:textId="0300F7BA" w:rsidR="0051493D" w:rsidRPr="00667A02" w:rsidRDefault="0051493D" w:rsidP="0051493D">
          <w:pPr>
            <w:jc w:val="center"/>
            <w:rPr>
              <w:rFonts w:cstheme="minorHAnsi"/>
              <w:szCs w:val="20"/>
            </w:rPr>
          </w:pPr>
          <w:r w:rsidRPr="00667A02">
            <w:rPr>
              <w:rFonts w:cstheme="minorHAnsi"/>
              <w:noProof/>
              <w:szCs w:val="20"/>
              <w:lang w:eastAsia="fr-FR"/>
            </w:rPr>
            <w:drawing>
              <wp:inline distT="0" distB="0" distL="0" distR="0" wp14:anchorId="530CF2BD" wp14:editId="32C9299B">
                <wp:extent cx="1530350" cy="463550"/>
                <wp:effectExtent l="0" t="0" r="0" b="0"/>
                <wp:docPr id="1" name="Image 1" descr="RVB_BPCE_10c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VB_BPCE_10c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729" t="13882" r="3032" b="155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pct10" w:color="auto" w:fill="auto"/>
          <w:vAlign w:val="center"/>
        </w:tcPr>
        <w:p w14:paraId="0C669714" w14:textId="77777777" w:rsidR="0051493D" w:rsidRDefault="0051493D" w:rsidP="0051493D">
          <w:pPr>
            <w:jc w:val="center"/>
            <w:rPr>
              <w:rFonts w:cstheme="minorHAnsi"/>
              <w:b/>
              <w:szCs w:val="20"/>
            </w:rPr>
          </w:pPr>
          <w:r>
            <w:rPr>
              <w:rFonts w:cstheme="minorHAnsi"/>
              <w:b/>
              <w:szCs w:val="20"/>
            </w:rPr>
            <w:t>DOCUMENTATION PASS-ALM</w:t>
          </w:r>
        </w:p>
        <w:p w14:paraId="56BE8679" w14:textId="2462012B" w:rsidR="0051493D" w:rsidRPr="000A25FB" w:rsidRDefault="0051493D" w:rsidP="0051493D">
          <w:pPr>
            <w:jc w:val="center"/>
            <w:rPr>
              <w:rFonts w:cstheme="minorHAnsi"/>
              <w:b/>
              <w:szCs w:val="20"/>
            </w:rPr>
          </w:pPr>
          <w:r>
            <w:rPr>
              <w:rFonts w:cstheme="minorHAnsi"/>
              <w:b/>
              <w:szCs w:val="20"/>
            </w:rPr>
            <w:t>BRIQUE MOTEUR</w:t>
          </w:r>
        </w:p>
      </w:tc>
      <w:tc>
        <w:tcPr>
          <w:tcW w:w="292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6639B03D" w14:textId="77777777" w:rsidR="0051493D" w:rsidRPr="000A25FB" w:rsidRDefault="0051493D" w:rsidP="0051493D">
          <w:pPr>
            <w:rPr>
              <w:rFonts w:cstheme="minorHAnsi"/>
              <w:szCs w:val="20"/>
            </w:rPr>
          </w:pPr>
        </w:p>
        <w:p w14:paraId="4E2AFDA9" w14:textId="77777777" w:rsidR="0051493D" w:rsidRPr="00FF66ED" w:rsidRDefault="0051493D" w:rsidP="0051493D">
          <w:pPr>
            <w:jc w:val="center"/>
            <w:rPr>
              <w:rFonts w:cstheme="minorHAnsi"/>
              <w:b/>
              <w:szCs w:val="20"/>
            </w:rPr>
          </w:pPr>
          <w:r w:rsidRPr="00FF66ED">
            <w:rPr>
              <w:rFonts w:cstheme="minorHAnsi"/>
              <w:b/>
              <w:szCs w:val="20"/>
            </w:rPr>
            <w:t>Service :</w:t>
          </w:r>
        </w:p>
        <w:p w14:paraId="62520CA4" w14:textId="77777777" w:rsidR="0051493D" w:rsidRDefault="0051493D" w:rsidP="0051493D">
          <w:pPr>
            <w:jc w:val="center"/>
            <w:rPr>
              <w:rFonts w:cstheme="minorHAnsi"/>
              <w:sz w:val="16"/>
              <w:szCs w:val="16"/>
            </w:rPr>
          </w:pPr>
          <w:r>
            <w:rPr>
              <w:rFonts w:cstheme="minorHAnsi"/>
              <w:sz w:val="16"/>
              <w:szCs w:val="16"/>
            </w:rPr>
            <w:t>FINANCE ALM</w:t>
          </w:r>
        </w:p>
        <w:p w14:paraId="00BBDE07" w14:textId="77777777" w:rsidR="0051493D" w:rsidRPr="00FF66ED" w:rsidRDefault="0051493D" w:rsidP="0051493D">
          <w:pPr>
            <w:jc w:val="center"/>
            <w:rPr>
              <w:rFonts w:cstheme="minorHAnsi"/>
              <w:szCs w:val="18"/>
            </w:rPr>
          </w:pPr>
        </w:p>
      </w:tc>
    </w:tr>
  </w:tbl>
  <w:p w14:paraId="607270D1" w14:textId="289329DB" w:rsidR="0051493D" w:rsidRPr="007F0D66" w:rsidRDefault="00343A6F" w:rsidP="0051493D">
    <w:pPr>
      <w:pStyle w:val="En-tte"/>
      <w:rPr>
        <w:sz w:val="16"/>
        <w:szCs w:val="16"/>
      </w:rPr>
    </w:pPr>
    <w:r>
      <w:rPr>
        <w:sz w:val="16"/>
        <w:szCs w:val="16"/>
      </w:rPr>
      <w:t>PASS-ALM v</w:t>
    </w:r>
    <w:r w:rsidR="002821CE">
      <w:rPr>
        <w:sz w:val="16"/>
        <w:szCs w:val="16"/>
      </w:rPr>
      <w:t>7</w:t>
    </w:r>
    <w:r>
      <w:rPr>
        <w:sz w:val="16"/>
        <w:szCs w:val="16"/>
      </w:rPr>
      <w:t>.</w:t>
    </w:r>
    <w:r w:rsidR="00C93BC5">
      <w:rPr>
        <w:sz w:val="16"/>
        <w:szCs w:val="16"/>
      </w:rPr>
      <w:t>2</w:t>
    </w:r>
    <w:r w:rsidR="0051493D">
      <w:rPr>
        <w:sz w:val="16"/>
        <w:szCs w:val="16"/>
      </w:rPr>
      <w:t xml:space="preserve"> – </w:t>
    </w:r>
    <w:r w:rsidR="002821CE">
      <w:rPr>
        <w:sz w:val="16"/>
        <w:szCs w:val="16"/>
      </w:rPr>
      <w:t>FEVRIER 2025</w:t>
    </w:r>
    <w:r w:rsidR="0051493D" w:rsidRPr="00C2579B">
      <w:rPr>
        <w:sz w:val="16"/>
        <w:szCs w:val="16"/>
      </w:rPr>
      <w:tab/>
    </w:r>
    <w:r w:rsidR="0051493D" w:rsidRPr="00C2579B">
      <w:rPr>
        <w:sz w:val="16"/>
        <w:szCs w:val="16"/>
      </w:rPr>
      <w:tab/>
    </w:r>
  </w:p>
  <w:p w14:paraId="215EF5EB" w14:textId="77777777" w:rsidR="0051493D" w:rsidRDefault="0051493D" w:rsidP="0051493D">
    <w:pPr>
      <w:pStyle w:val="En-tte"/>
    </w:pPr>
  </w:p>
  <w:p w14:paraId="7D634B74" w14:textId="644B9EE3" w:rsidR="00C43398" w:rsidRDefault="00C43398">
    <w:pPr>
      <w:pStyle w:val="En-tte"/>
    </w:pPr>
  </w:p>
  <w:p w14:paraId="3AFDD152" w14:textId="77777777" w:rsidR="00C43398" w:rsidRDefault="00C433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793"/>
    <w:multiLevelType w:val="hybridMultilevel"/>
    <w:tmpl w:val="F04E8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A6623"/>
    <w:multiLevelType w:val="hybridMultilevel"/>
    <w:tmpl w:val="F7F285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829A6"/>
    <w:multiLevelType w:val="hybridMultilevel"/>
    <w:tmpl w:val="D2A4707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F863161"/>
    <w:multiLevelType w:val="hybridMultilevel"/>
    <w:tmpl w:val="9DEA9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8276A"/>
    <w:multiLevelType w:val="hybridMultilevel"/>
    <w:tmpl w:val="424A9E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6CA1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2989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8440AB"/>
    <w:multiLevelType w:val="hybridMultilevel"/>
    <w:tmpl w:val="185834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97007"/>
    <w:multiLevelType w:val="hybridMultilevel"/>
    <w:tmpl w:val="FEFA4D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7399B"/>
    <w:multiLevelType w:val="hybridMultilevel"/>
    <w:tmpl w:val="7C2892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E46B3"/>
    <w:multiLevelType w:val="hybridMultilevel"/>
    <w:tmpl w:val="FE30F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539A7"/>
    <w:multiLevelType w:val="hybridMultilevel"/>
    <w:tmpl w:val="63D09AF8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9ACE3D30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4A2C2F41"/>
    <w:multiLevelType w:val="hybridMultilevel"/>
    <w:tmpl w:val="724C36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5B509E"/>
    <w:multiLevelType w:val="hybridMultilevel"/>
    <w:tmpl w:val="22DEEE1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BC170C"/>
    <w:multiLevelType w:val="hybridMultilevel"/>
    <w:tmpl w:val="5DB09D10"/>
    <w:lvl w:ilvl="0" w:tplc="191CC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2320D"/>
    <w:multiLevelType w:val="hybridMultilevel"/>
    <w:tmpl w:val="D2827896"/>
    <w:lvl w:ilvl="0" w:tplc="C8FAB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E0A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25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0D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416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0E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84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C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EB20DFF"/>
    <w:multiLevelType w:val="hybridMultilevel"/>
    <w:tmpl w:val="910CF0E0"/>
    <w:lvl w:ilvl="0" w:tplc="040C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6" w15:restartNumberingAfterBreak="0">
    <w:nsid w:val="627B4CC2"/>
    <w:multiLevelType w:val="hybridMultilevel"/>
    <w:tmpl w:val="03B6D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96C95"/>
    <w:multiLevelType w:val="hybridMultilevel"/>
    <w:tmpl w:val="C1766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C684D"/>
    <w:multiLevelType w:val="hybridMultilevel"/>
    <w:tmpl w:val="4E86D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310B2"/>
    <w:multiLevelType w:val="hybridMultilevel"/>
    <w:tmpl w:val="85AA38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77BD8"/>
    <w:multiLevelType w:val="hybridMultilevel"/>
    <w:tmpl w:val="78A4BE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1665C"/>
    <w:multiLevelType w:val="hybridMultilevel"/>
    <w:tmpl w:val="A28E9A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F4679"/>
    <w:multiLevelType w:val="hybridMultilevel"/>
    <w:tmpl w:val="A0846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7010C"/>
    <w:multiLevelType w:val="hybridMultilevel"/>
    <w:tmpl w:val="FCBEC2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546D3"/>
    <w:multiLevelType w:val="hybridMultilevel"/>
    <w:tmpl w:val="AFC245A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7A65E9F"/>
    <w:multiLevelType w:val="hybridMultilevel"/>
    <w:tmpl w:val="108C1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9"/>
  </w:num>
  <w:num w:numId="4">
    <w:abstractNumId w:val="13"/>
  </w:num>
  <w:num w:numId="5">
    <w:abstractNumId w:val="17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 w:numId="11">
    <w:abstractNumId w:val="24"/>
  </w:num>
  <w:num w:numId="12">
    <w:abstractNumId w:val="21"/>
  </w:num>
  <w:num w:numId="13">
    <w:abstractNumId w:val="8"/>
  </w:num>
  <w:num w:numId="14">
    <w:abstractNumId w:val="9"/>
  </w:num>
  <w:num w:numId="15">
    <w:abstractNumId w:val="18"/>
  </w:num>
  <w:num w:numId="16">
    <w:abstractNumId w:val="23"/>
  </w:num>
  <w:num w:numId="17">
    <w:abstractNumId w:val="11"/>
  </w:num>
  <w:num w:numId="18">
    <w:abstractNumId w:val="2"/>
  </w:num>
  <w:num w:numId="19">
    <w:abstractNumId w:val="16"/>
  </w:num>
  <w:num w:numId="20">
    <w:abstractNumId w:val="25"/>
  </w:num>
  <w:num w:numId="21">
    <w:abstractNumId w:val="5"/>
  </w:num>
  <w:num w:numId="22">
    <w:abstractNumId w:val="15"/>
  </w:num>
  <w:num w:numId="23">
    <w:abstractNumId w:val="12"/>
  </w:num>
  <w:num w:numId="24">
    <w:abstractNumId w:val="10"/>
  </w:num>
  <w:num w:numId="25">
    <w:abstractNumId w:val="4"/>
  </w:num>
  <w:num w:numId="26">
    <w:abstractNumId w:val="2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D3"/>
    <w:rsid w:val="00010EE4"/>
    <w:rsid w:val="00023D45"/>
    <w:rsid w:val="000332D3"/>
    <w:rsid w:val="00036F51"/>
    <w:rsid w:val="00054341"/>
    <w:rsid w:val="00055682"/>
    <w:rsid w:val="000562A6"/>
    <w:rsid w:val="0007309E"/>
    <w:rsid w:val="000A68CB"/>
    <w:rsid w:val="000B070A"/>
    <w:rsid w:val="000B1365"/>
    <w:rsid w:val="000B6B6E"/>
    <w:rsid w:val="000C5CAB"/>
    <w:rsid w:val="000E14A6"/>
    <w:rsid w:val="000F41CF"/>
    <w:rsid w:val="00102CB7"/>
    <w:rsid w:val="001132ED"/>
    <w:rsid w:val="001206CC"/>
    <w:rsid w:val="00147640"/>
    <w:rsid w:val="0015184F"/>
    <w:rsid w:val="00153245"/>
    <w:rsid w:val="00154A48"/>
    <w:rsid w:val="00155E51"/>
    <w:rsid w:val="001825D0"/>
    <w:rsid w:val="00192B05"/>
    <w:rsid w:val="001E3FCA"/>
    <w:rsid w:val="001E4961"/>
    <w:rsid w:val="001F33DD"/>
    <w:rsid w:val="001F65BE"/>
    <w:rsid w:val="00221C63"/>
    <w:rsid w:val="00231358"/>
    <w:rsid w:val="00232A6C"/>
    <w:rsid w:val="002821CE"/>
    <w:rsid w:val="002821FA"/>
    <w:rsid w:val="002B4C4C"/>
    <w:rsid w:val="002B76CB"/>
    <w:rsid w:val="002C217C"/>
    <w:rsid w:val="002C43A3"/>
    <w:rsid w:val="002C6924"/>
    <w:rsid w:val="00305734"/>
    <w:rsid w:val="003062E6"/>
    <w:rsid w:val="0031081B"/>
    <w:rsid w:val="00313A2C"/>
    <w:rsid w:val="00323961"/>
    <w:rsid w:val="00336A0C"/>
    <w:rsid w:val="00340BB5"/>
    <w:rsid w:val="00343A6F"/>
    <w:rsid w:val="00351DF8"/>
    <w:rsid w:val="00372A05"/>
    <w:rsid w:val="0037304C"/>
    <w:rsid w:val="00382710"/>
    <w:rsid w:val="00391315"/>
    <w:rsid w:val="0039215D"/>
    <w:rsid w:val="003966F1"/>
    <w:rsid w:val="003F48B5"/>
    <w:rsid w:val="003F4A9B"/>
    <w:rsid w:val="00414E40"/>
    <w:rsid w:val="0044299F"/>
    <w:rsid w:val="00450DA2"/>
    <w:rsid w:val="00455A24"/>
    <w:rsid w:val="00465805"/>
    <w:rsid w:val="004665ED"/>
    <w:rsid w:val="00471C0E"/>
    <w:rsid w:val="004743ED"/>
    <w:rsid w:val="00477533"/>
    <w:rsid w:val="004778F8"/>
    <w:rsid w:val="00491069"/>
    <w:rsid w:val="004A0422"/>
    <w:rsid w:val="004A16FF"/>
    <w:rsid w:val="004A231A"/>
    <w:rsid w:val="004A55ED"/>
    <w:rsid w:val="004D1FD3"/>
    <w:rsid w:val="004D652B"/>
    <w:rsid w:val="004D7696"/>
    <w:rsid w:val="004F119C"/>
    <w:rsid w:val="00507F6B"/>
    <w:rsid w:val="0051493D"/>
    <w:rsid w:val="00515BCA"/>
    <w:rsid w:val="0051719C"/>
    <w:rsid w:val="00545553"/>
    <w:rsid w:val="00545EA8"/>
    <w:rsid w:val="00573F80"/>
    <w:rsid w:val="00585ABD"/>
    <w:rsid w:val="00592C0D"/>
    <w:rsid w:val="00593937"/>
    <w:rsid w:val="00594401"/>
    <w:rsid w:val="005B5ED8"/>
    <w:rsid w:val="005B7C16"/>
    <w:rsid w:val="005C4BC9"/>
    <w:rsid w:val="005E4D53"/>
    <w:rsid w:val="005F59C2"/>
    <w:rsid w:val="006056B3"/>
    <w:rsid w:val="00612793"/>
    <w:rsid w:val="006166B5"/>
    <w:rsid w:val="006259CE"/>
    <w:rsid w:val="006324A0"/>
    <w:rsid w:val="006404B4"/>
    <w:rsid w:val="00651A2F"/>
    <w:rsid w:val="00672CB7"/>
    <w:rsid w:val="006838A1"/>
    <w:rsid w:val="006843A3"/>
    <w:rsid w:val="00692C2E"/>
    <w:rsid w:val="00695186"/>
    <w:rsid w:val="006C6517"/>
    <w:rsid w:val="006D18F9"/>
    <w:rsid w:val="006D37F8"/>
    <w:rsid w:val="006D7BC5"/>
    <w:rsid w:val="006E058D"/>
    <w:rsid w:val="006F4E9D"/>
    <w:rsid w:val="00702AF8"/>
    <w:rsid w:val="00707A4E"/>
    <w:rsid w:val="00711124"/>
    <w:rsid w:val="0072213D"/>
    <w:rsid w:val="00727C0E"/>
    <w:rsid w:val="00730B77"/>
    <w:rsid w:val="00732644"/>
    <w:rsid w:val="00736972"/>
    <w:rsid w:val="007536C4"/>
    <w:rsid w:val="00757402"/>
    <w:rsid w:val="00762123"/>
    <w:rsid w:val="00763755"/>
    <w:rsid w:val="00772BDB"/>
    <w:rsid w:val="00772CFF"/>
    <w:rsid w:val="00785BB7"/>
    <w:rsid w:val="007958CE"/>
    <w:rsid w:val="007A35F5"/>
    <w:rsid w:val="007B34DA"/>
    <w:rsid w:val="007D1D25"/>
    <w:rsid w:val="007D56D8"/>
    <w:rsid w:val="007F7D91"/>
    <w:rsid w:val="0080340B"/>
    <w:rsid w:val="00812657"/>
    <w:rsid w:val="0083010C"/>
    <w:rsid w:val="00830B05"/>
    <w:rsid w:val="00854B04"/>
    <w:rsid w:val="00856804"/>
    <w:rsid w:val="008600E3"/>
    <w:rsid w:val="00873BC5"/>
    <w:rsid w:val="0087655F"/>
    <w:rsid w:val="00881A5D"/>
    <w:rsid w:val="00887AA3"/>
    <w:rsid w:val="00892F11"/>
    <w:rsid w:val="008B5D9B"/>
    <w:rsid w:val="008C0E6B"/>
    <w:rsid w:val="008C2B15"/>
    <w:rsid w:val="008D57EB"/>
    <w:rsid w:val="008E20AE"/>
    <w:rsid w:val="008F4B9A"/>
    <w:rsid w:val="008F5A28"/>
    <w:rsid w:val="009136D4"/>
    <w:rsid w:val="00916686"/>
    <w:rsid w:val="00922DCA"/>
    <w:rsid w:val="009344CE"/>
    <w:rsid w:val="00937E14"/>
    <w:rsid w:val="00945CD4"/>
    <w:rsid w:val="0094723B"/>
    <w:rsid w:val="00956329"/>
    <w:rsid w:val="0095764D"/>
    <w:rsid w:val="00966A7E"/>
    <w:rsid w:val="009673C9"/>
    <w:rsid w:val="00974D4A"/>
    <w:rsid w:val="00974F6F"/>
    <w:rsid w:val="0098434B"/>
    <w:rsid w:val="00990897"/>
    <w:rsid w:val="0099598A"/>
    <w:rsid w:val="009A4D77"/>
    <w:rsid w:val="009C16F9"/>
    <w:rsid w:val="009C1CA4"/>
    <w:rsid w:val="009C6112"/>
    <w:rsid w:val="009E2ACC"/>
    <w:rsid w:val="009E66FB"/>
    <w:rsid w:val="00A01424"/>
    <w:rsid w:val="00A12BF6"/>
    <w:rsid w:val="00A14CFF"/>
    <w:rsid w:val="00A21A9A"/>
    <w:rsid w:val="00A36190"/>
    <w:rsid w:val="00A53CEF"/>
    <w:rsid w:val="00A53F9B"/>
    <w:rsid w:val="00A64E28"/>
    <w:rsid w:val="00A65B8F"/>
    <w:rsid w:val="00A7086F"/>
    <w:rsid w:val="00A76FFC"/>
    <w:rsid w:val="00A876F9"/>
    <w:rsid w:val="00AA2A9B"/>
    <w:rsid w:val="00AA6E3C"/>
    <w:rsid w:val="00AA72CB"/>
    <w:rsid w:val="00AB5C69"/>
    <w:rsid w:val="00AD29FA"/>
    <w:rsid w:val="00AD3125"/>
    <w:rsid w:val="00AD4074"/>
    <w:rsid w:val="00AE7CCB"/>
    <w:rsid w:val="00AF4BDA"/>
    <w:rsid w:val="00B0671A"/>
    <w:rsid w:val="00B21D31"/>
    <w:rsid w:val="00B254C0"/>
    <w:rsid w:val="00B33993"/>
    <w:rsid w:val="00B47880"/>
    <w:rsid w:val="00B57834"/>
    <w:rsid w:val="00B64647"/>
    <w:rsid w:val="00B67200"/>
    <w:rsid w:val="00B71450"/>
    <w:rsid w:val="00B758F3"/>
    <w:rsid w:val="00B80F1C"/>
    <w:rsid w:val="00B845F8"/>
    <w:rsid w:val="00BD048D"/>
    <w:rsid w:val="00BD6837"/>
    <w:rsid w:val="00C01E60"/>
    <w:rsid w:val="00C1403E"/>
    <w:rsid w:val="00C1642C"/>
    <w:rsid w:val="00C3149D"/>
    <w:rsid w:val="00C3210B"/>
    <w:rsid w:val="00C40FB1"/>
    <w:rsid w:val="00C42CE5"/>
    <w:rsid w:val="00C43398"/>
    <w:rsid w:val="00C50091"/>
    <w:rsid w:val="00C5150D"/>
    <w:rsid w:val="00C55515"/>
    <w:rsid w:val="00C5569A"/>
    <w:rsid w:val="00C61666"/>
    <w:rsid w:val="00C71C20"/>
    <w:rsid w:val="00C742AE"/>
    <w:rsid w:val="00C76AF3"/>
    <w:rsid w:val="00C80F04"/>
    <w:rsid w:val="00C83A5E"/>
    <w:rsid w:val="00C93BC5"/>
    <w:rsid w:val="00CA14D4"/>
    <w:rsid w:val="00CB4C43"/>
    <w:rsid w:val="00CC413F"/>
    <w:rsid w:val="00CD2A62"/>
    <w:rsid w:val="00CD7153"/>
    <w:rsid w:val="00CE39E5"/>
    <w:rsid w:val="00CE5673"/>
    <w:rsid w:val="00D0055B"/>
    <w:rsid w:val="00D012B4"/>
    <w:rsid w:val="00D04842"/>
    <w:rsid w:val="00D04DE6"/>
    <w:rsid w:val="00D33BEC"/>
    <w:rsid w:val="00D54BF3"/>
    <w:rsid w:val="00D55F52"/>
    <w:rsid w:val="00D61C84"/>
    <w:rsid w:val="00D64E72"/>
    <w:rsid w:val="00D70F7C"/>
    <w:rsid w:val="00D859AC"/>
    <w:rsid w:val="00D85DB8"/>
    <w:rsid w:val="00DA59EE"/>
    <w:rsid w:val="00DB0C9C"/>
    <w:rsid w:val="00DB7A47"/>
    <w:rsid w:val="00DD6963"/>
    <w:rsid w:val="00DE0762"/>
    <w:rsid w:val="00DE41E2"/>
    <w:rsid w:val="00DF6F94"/>
    <w:rsid w:val="00E00A0F"/>
    <w:rsid w:val="00E13FCD"/>
    <w:rsid w:val="00E65770"/>
    <w:rsid w:val="00E86936"/>
    <w:rsid w:val="00EA64FF"/>
    <w:rsid w:val="00EC3A53"/>
    <w:rsid w:val="00EC4DD0"/>
    <w:rsid w:val="00EC5B0D"/>
    <w:rsid w:val="00EC6E71"/>
    <w:rsid w:val="00ED69D0"/>
    <w:rsid w:val="00EF7C5C"/>
    <w:rsid w:val="00F01341"/>
    <w:rsid w:val="00F0264B"/>
    <w:rsid w:val="00F1402F"/>
    <w:rsid w:val="00F32F58"/>
    <w:rsid w:val="00F62297"/>
    <w:rsid w:val="00F77AA6"/>
    <w:rsid w:val="00F9531B"/>
    <w:rsid w:val="00FA392E"/>
    <w:rsid w:val="00FA564B"/>
    <w:rsid w:val="00FA786C"/>
    <w:rsid w:val="00FB256D"/>
    <w:rsid w:val="00FC2FF2"/>
    <w:rsid w:val="00FC7EA9"/>
    <w:rsid w:val="00FF06A3"/>
    <w:rsid w:val="00FF4653"/>
    <w:rsid w:val="00FF4874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2FD95"/>
  <w15:chartTrackingRefBased/>
  <w15:docId w15:val="{E0E14A7D-4C0D-41D9-81A4-C834B2BB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E28"/>
    <w:rPr>
      <w:rFonts w:ascii="Cambria" w:hAnsi="Cambria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FC7EA9"/>
    <w:pPr>
      <w:keepNext/>
      <w:keepLines/>
      <w:numPr>
        <w:numId w:val="21"/>
      </w:numPr>
      <w:spacing w:before="240" w:after="40"/>
      <w:outlineLvl w:val="0"/>
    </w:pPr>
    <w:rPr>
      <w:rFonts w:eastAsiaTheme="majorEastAsia" w:cstheme="majorBidi"/>
      <w:b/>
      <w:color w:val="5D2884"/>
      <w:sz w:val="28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C7EA9"/>
    <w:pPr>
      <w:numPr>
        <w:ilvl w:val="1"/>
      </w:numPr>
      <w:spacing w:after="120"/>
      <w:outlineLvl w:val="1"/>
    </w:pPr>
    <w:rPr>
      <w:b w:val="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403E"/>
    <w:pPr>
      <w:keepNext/>
      <w:keepLines/>
      <w:numPr>
        <w:ilvl w:val="2"/>
        <w:numId w:val="21"/>
      </w:numPr>
      <w:spacing w:before="240" w:after="40"/>
      <w:ind w:left="510" w:hanging="51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3E"/>
    <w:pPr>
      <w:keepNext/>
      <w:keepLines/>
      <w:numPr>
        <w:ilvl w:val="3"/>
        <w:numId w:val="21"/>
      </w:numPr>
      <w:spacing w:before="240" w:after="80"/>
      <w:ind w:left="1713" w:hanging="862"/>
      <w:outlineLvl w:val="3"/>
    </w:pPr>
    <w:rPr>
      <w:rFonts w:eastAsiaTheme="majorEastAsia" w:cstheme="majorBidi"/>
      <w:i/>
      <w:iCs/>
      <w:color w:val="7030A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4401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4401"/>
    <w:pPr>
      <w:keepNext/>
      <w:keepLines/>
      <w:numPr>
        <w:ilvl w:val="5"/>
        <w:numId w:val="2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4401"/>
    <w:pPr>
      <w:keepNext/>
      <w:keepLines/>
      <w:numPr>
        <w:ilvl w:val="6"/>
        <w:numId w:val="2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4401"/>
    <w:pPr>
      <w:keepNext/>
      <w:keepLines/>
      <w:numPr>
        <w:ilvl w:val="7"/>
        <w:numId w:val="2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4401"/>
    <w:pPr>
      <w:keepNext/>
      <w:keepLines/>
      <w:numPr>
        <w:ilvl w:val="8"/>
        <w:numId w:val="2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7EA9"/>
    <w:rPr>
      <w:rFonts w:ascii="Cambria" w:eastAsiaTheme="majorEastAsia" w:hAnsi="Cambria" w:cstheme="majorBidi"/>
      <w:b/>
      <w:color w:val="5D2884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7EA9"/>
    <w:rPr>
      <w:rFonts w:ascii="Cambria" w:eastAsiaTheme="majorEastAsia" w:hAnsi="Cambria" w:cstheme="majorBidi"/>
      <w:color w:val="5D288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403E"/>
    <w:rPr>
      <w:rFonts w:ascii="Cambria" w:eastAsiaTheme="majorEastAsia" w:hAnsi="Cambria" w:cstheme="majorBidi"/>
      <w:b/>
      <w:color w:val="7030A0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403E"/>
    <w:rPr>
      <w:rFonts w:ascii="Cambria" w:eastAsiaTheme="majorEastAsia" w:hAnsi="Cambria" w:cstheme="majorBidi"/>
      <w:i/>
      <w:iCs/>
      <w:color w:val="7030A0"/>
      <w:sz w:val="20"/>
    </w:rPr>
  </w:style>
  <w:style w:type="paragraph" w:styleId="Textebrut">
    <w:name w:val="Plain Text"/>
    <w:basedOn w:val="Normal"/>
    <w:link w:val="TextebrutCar"/>
    <w:uiPriority w:val="99"/>
    <w:unhideWhenUsed/>
    <w:rsid w:val="00FB25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B256D"/>
    <w:rPr>
      <w:rFonts w:ascii="Consolas" w:hAnsi="Consolas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966F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4D1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D1FD3"/>
  </w:style>
  <w:style w:type="paragraph" w:styleId="Pieddepage">
    <w:name w:val="footer"/>
    <w:basedOn w:val="Normal"/>
    <w:link w:val="PieddepageCar"/>
    <w:uiPriority w:val="99"/>
    <w:unhideWhenUsed/>
    <w:rsid w:val="004D1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1FD3"/>
  </w:style>
  <w:style w:type="paragraph" w:styleId="Titre">
    <w:name w:val="Title"/>
    <w:basedOn w:val="Normal"/>
    <w:next w:val="Normal"/>
    <w:link w:val="TitreCar"/>
    <w:uiPriority w:val="10"/>
    <w:qFormat/>
    <w:rsid w:val="004D1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59C2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59C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F59C2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695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95186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592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72CB7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C3210B"/>
    <w:rPr>
      <w:color w:val="808080"/>
    </w:rPr>
  </w:style>
  <w:style w:type="character" w:customStyle="1" w:styleId="fontstyle01">
    <w:name w:val="fontstyle01"/>
    <w:basedOn w:val="Policepardfaut"/>
    <w:rsid w:val="009C16F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43A3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843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43A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843A3"/>
    <w:pPr>
      <w:spacing w:after="100"/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340BB5"/>
    <w:pPr>
      <w:spacing w:after="100"/>
      <w:ind w:left="600"/>
    </w:pPr>
  </w:style>
  <w:style w:type="paragraph" w:styleId="TM5">
    <w:name w:val="toc 5"/>
    <w:basedOn w:val="Normal"/>
    <w:next w:val="Normal"/>
    <w:autoRedefine/>
    <w:uiPriority w:val="39"/>
    <w:unhideWhenUsed/>
    <w:rsid w:val="008C2B15"/>
    <w:pPr>
      <w:spacing w:after="100"/>
      <w:ind w:left="880"/>
    </w:pPr>
    <w:rPr>
      <w:rFonts w:asciiTheme="minorHAnsi" w:eastAsiaTheme="minorEastAsia" w:hAnsiTheme="minorHAnsi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8C2B15"/>
    <w:pPr>
      <w:spacing w:after="100"/>
      <w:ind w:left="1100"/>
    </w:pPr>
    <w:rPr>
      <w:rFonts w:asciiTheme="minorHAnsi" w:eastAsiaTheme="minorEastAsia" w:hAnsiTheme="minorHAnsi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C2B15"/>
    <w:pPr>
      <w:spacing w:after="100"/>
      <w:ind w:left="1320"/>
    </w:pPr>
    <w:rPr>
      <w:rFonts w:asciiTheme="minorHAnsi" w:eastAsiaTheme="minorEastAsia" w:hAnsiTheme="minorHAnsi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C2B15"/>
    <w:pPr>
      <w:spacing w:after="100"/>
      <w:ind w:left="1540"/>
    </w:pPr>
    <w:rPr>
      <w:rFonts w:asciiTheme="minorHAnsi" w:eastAsiaTheme="minorEastAsia" w:hAnsiTheme="minorHAnsi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C2B15"/>
    <w:pPr>
      <w:spacing w:after="100"/>
      <w:ind w:left="1760"/>
    </w:pPr>
    <w:rPr>
      <w:rFonts w:asciiTheme="minorHAnsi" w:eastAsiaTheme="minorEastAsia" w:hAnsiTheme="minorHAnsi"/>
      <w:sz w:val="22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8C2B15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707A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7A4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7A4E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7A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7A4E"/>
    <w:rPr>
      <w:rFonts w:ascii="Cambria" w:hAnsi="Cambria"/>
      <w:b/>
      <w:bCs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594401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59440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59440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944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944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0E14A6"/>
    <w:pPr>
      <w:spacing w:after="0" w:line="240" w:lineRule="auto"/>
      <w:ind w:left="502" w:firstLine="206"/>
      <w:jc w:val="both"/>
    </w:pPr>
    <w:rPr>
      <w:rFonts w:ascii="Calibri" w:eastAsia="Calibri" w:hAnsi="Calibri" w:cs="Times New Roman"/>
      <w:noProof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72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1990">
          <w:marLeft w:val="85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77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6699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70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05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6132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539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194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672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79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133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496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825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013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65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0873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251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0767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591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683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68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9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3678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15">
          <w:marLeft w:val="1138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813">
          <w:marLeft w:val="1138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656">
          <w:marLeft w:val="1138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131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788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82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499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896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88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1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62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6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545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413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330">
          <w:marLeft w:val="85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7962E-BE6A-48EF-BC1B-A325CA2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5</Pages>
  <Words>921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 gy</dc:creator>
  <cp:keywords/>
  <dc:description/>
  <cp:lastModifiedBy>Hossayne</cp:lastModifiedBy>
  <cp:revision>98</cp:revision>
  <dcterms:created xsi:type="dcterms:W3CDTF">2020-11-13T15:53:00Z</dcterms:created>
  <dcterms:modified xsi:type="dcterms:W3CDTF">2025-02-28T15:25:00Z</dcterms:modified>
</cp:coreProperties>
</file>