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39B0" w14:textId="0651145D" w:rsidR="000E14EB" w:rsidRDefault="000E14EB" w:rsidP="000E14EB">
      <w:bookmarkStart w:id="0" w:name="_Toc500929735"/>
      <w:bookmarkStart w:id="1" w:name="_Toc76386814"/>
    </w:p>
    <w:p w14:paraId="6F86FA84" w14:textId="78547BE3" w:rsidR="000E14EB" w:rsidRDefault="000E14EB" w:rsidP="000E14EB"/>
    <w:p w14:paraId="5C21B11E" w14:textId="0F4818F1" w:rsidR="000E14EB" w:rsidRDefault="000E14EB" w:rsidP="000E14EB"/>
    <w:p w14:paraId="5BF17FF5" w14:textId="0AA57835" w:rsidR="000E14EB" w:rsidRDefault="000E14EB" w:rsidP="000E14EB"/>
    <w:p w14:paraId="090132C5" w14:textId="1620D84A" w:rsidR="000E14EB" w:rsidRDefault="000E14EB" w:rsidP="000E14EB"/>
    <w:p w14:paraId="05163C5E" w14:textId="4D6F572D" w:rsidR="000E14EB" w:rsidRDefault="000E14EB" w:rsidP="000E14EB"/>
    <w:p w14:paraId="4370324A" w14:textId="1857F91B" w:rsidR="000E14EB" w:rsidRDefault="000E14EB" w:rsidP="000E14EB"/>
    <w:p w14:paraId="01FC5076" w14:textId="45342C45" w:rsidR="000E14EB" w:rsidRDefault="000E14EB" w:rsidP="000E14EB"/>
    <w:p w14:paraId="7366F2CB" w14:textId="77777777" w:rsidR="000E14EB" w:rsidRDefault="000E14EB" w:rsidP="000E14EB">
      <w:pPr>
        <w:jc w:val="center"/>
        <w:rPr>
          <w:b/>
          <w:bCs/>
          <w:sz w:val="30"/>
          <w:szCs w:val="30"/>
        </w:rPr>
      </w:pPr>
      <w:r w:rsidRPr="000E14EB">
        <w:rPr>
          <w:b/>
          <w:bCs/>
          <w:sz w:val="30"/>
          <w:szCs w:val="30"/>
        </w:rPr>
        <w:t>DOCUMENTATION PASS-ALM </w:t>
      </w:r>
    </w:p>
    <w:p w14:paraId="7D932868" w14:textId="7DF07D0F" w:rsidR="000E14EB" w:rsidRPr="005026B6" w:rsidRDefault="00A22CEB" w:rsidP="000E14EB">
      <w:pPr>
        <w:jc w:val="center"/>
        <w:rPr>
          <w:b/>
          <w:bCs/>
          <w:color w:val="7030A0"/>
          <w:sz w:val="34"/>
          <w:szCs w:val="34"/>
        </w:rPr>
      </w:pPr>
      <w:r>
        <w:rPr>
          <w:b/>
          <w:bCs/>
          <w:color w:val="7030A0"/>
          <w:sz w:val="34"/>
          <w:szCs w:val="34"/>
        </w:rPr>
        <w:t>MODE</w:t>
      </w:r>
      <w:r w:rsidR="000E14EB" w:rsidRPr="005026B6">
        <w:rPr>
          <w:b/>
          <w:bCs/>
          <w:color w:val="7030A0"/>
          <w:sz w:val="34"/>
          <w:szCs w:val="34"/>
        </w:rPr>
        <w:t xml:space="preserve"> ALIM</w:t>
      </w:r>
    </w:p>
    <w:p w14:paraId="7C67A9BE" w14:textId="26FE72DE" w:rsidR="000E14EB" w:rsidRDefault="000E14EB" w:rsidP="000E14EB"/>
    <w:p w14:paraId="0A8966EC" w14:textId="12F93335" w:rsidR="000E14EB" w:rsidRDefault="000E14EB" w:rsidP="000E14EB"/>
    <w:p w14:paraId="7D2E226F" w14:textId="106E14EE" w:rsidR="000E14EB" w:rsidRDefault="000E14EB" w:rsidP="000E14EB"/>
    <w:p w14:paraId="6A25A143" w14:textId="6A8E1376" w:rsidR="000E14EB" w:rsidRDefault="000E14EB" w:rsidP="000E14EB"/>
    <w:p w14:paraId="678D8150" w14:textId="707271C8" w:rsidR="000E14EB" w:rsidRDefault="000E14EB" w:rsidP="000E14EB"/>
    <w:p w14:paraId="7184082E" w14:textId="1976A2EA" w:rsidR="000E14EB" w:rsidRDefault="000E14EB" w:rsidP="000E14EB"/>
    <w:p w14:paraId="775499FC" w14:textId="70FC2798" w:rsidR="000E14EB" w:rsidRDefault="000E14EB" w:rsidP="000E14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7667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8888E" w14:textId="4C4AFF08" w:rsidR="000E14EB" w:rsidRPr="005026B6" w:rsidRDefault="000E14EB">
          <w:pPr>
            <w:pStyle w:val="En-ttedetabledesmatires"/>
            <w:rPr>
              <w:b/>
              <w:bCs/>
              <w:color w:val="7030A0"/>
            </w:rPr>
          </w:pPr>
          <w:r w:rsidRPr="005026B6">
            <w:rPr>
              <w:b/>
              <w:bCs/>
              <w:color w:val="7030A0"/>
            </w:rPr>
            <w:t>Table des matières</w:t>
          </w:r>
        </w:p>
        <w:p w14:paraId="7BDD0127" w14:textId="046AF774" w:rsidR="000E14EB" w:rsidRDefault="000E14EB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27913" w:history="1">
            <w:r w:rsidRPr="0028213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82132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33B8" w14:textId="6A471D53" w:rsidR="000E14EB" w:rsidRDefault="00ED19CA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07227914" w:history="1">
            <w:r w:rsidR="000E14EB" w:rsidRPr="00282132">
              <w:rPr>
                <w:rStyle w:val="Lienhypertexte"/>
                <w:noProof/>
              </w:rPr>
              <w:t>2.</w:t>
            </w:r>
            <w:r w:rsidR="000E14EB">
              <w:rPr>
                <w:rFonts w:eastAsiaTheme="minorEastAsia"/>
                <w:noProof/>
                <w:lang w:eastAsia="fr-FR"/>
              </w:rPr>
              <w:tab/>
            </w:r>
            <w:r w:rsidR="000E14EB" w:rsidRPr="00282132">
              <w:rPr>
                <w:rStyle w:val="Lienhypertexte"/>
                <w:noProof/>
              </w:rPr>
              <w:t>Description de la brique ALIM</w:t>
            </w:r>
            <w:r w:rsidR="000E14EB">
              <w:rPr>
                <w:noProof/>
                <w:webHidden/>
              </w:rPr>
              <w:tab/>
            </w:r>
            <w:r w:rsidR="000E14EB">
              <w:rPr>
                <w:noProof/>
                <w:webHidden/>
              </w:rPr>
              <w:fldChar w:fldCharType="begin"/>
            </w:r>
            <w:r w:rsidR="000E14EB">
              <w:rPr>
                <w:noProof/>
                <w:webHidden/>
              </w:rPr>
              <w:instrText xml:space="preserve"> PAGEREF _Toc107227914 \h </w:instrText>
            </w:r>
            <w:r w:rsidR="000E14EB">
              <w:rPr>
                <w:noProof/>
                <w:webHidden/>
              </w:rPr>
            </w:r>
            <w:r w:rsidR="000E14EB">
              <w:rPr>
                <w:noProof/>
                <w:webHidden/>
              </w:rPr>
              <w:fldChar w:fldCharType="separate"/>
            </w:r>
            <w:r w:rsidR="000E14EB">
              <w:rPr>
                <w:noProof/>
                <w:webHidden/>
              </w:rPr>
              <w:t>2</w:t>
            </w:r>
            <w:r w:rsidR="000E14EB">
              <w:rPr>
                <w:noProof/>
                <w:webHidden/>
              </w:rPr>
              <w:fldChar w:fldCharType="end"/>
            </w:r>
          </w:hyperlink>
        </w:p>
        <w:p w14:paraId="6607121A" w14:textId="0C0B81FF" w:rsidR="000E14EB" w:rsidRDefault="00ED19CA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07227915" w:history="1">
            <w:r w:rsidR="000E14EB" w:rsidRPr="00282132">
              <w:rPr>
                <w:rStyle w:val="Lienhypertexte"/>
                <w:noProof/>
              </w:rPr>
              <w:t>3.</w:t>
            </w:r>
            <w:r w:rsidR="000E14EB">
              <w:rPr>
                <w:rFonts w:eastAsiaTheme="minorEastAsia"/>
                <w:noProof/>
                <w:lang w:eastAsia="fr-FR"/>
              </w:rPr>
              <w:tab/>
            </w:r>
            <w:r w:rsidR="000E14EB" w:rsidRPr="00282132">
              <w:rPr>
                <w:rStyle w:val="Lienhypertexte"/>
                <w:noProof/>
              </w:rPr>
              <w:t>Paramétrage de l’interface Excel</w:t>
            </w:r>
            <w:r w:rsidR="000E14EB">
              <w:rPr>
                <w:noProof/>
                <w:webHidden/>
              </w:rPr>
              <w:tab/>
            </w:r>
            <w:r w:rsidR="000E14EB">
              <w:rPr>
                <w:noProof/>
                <w:webHidden/>
              </w:rPr>
              <w:fldChar w:fldCharType="begin"/>
            </w:r>
            <w:r w:rsidR="000E14EB">
              <w:rPr>
                <w:noProof/>
                <w:webHidden/>
              </w:rPr>
              <w:instrText xml:space="preserve"> PAGEREF _Toc107227915 \h </w:instrText>
            </w:r>
            <w:r w:rsidR="000E14EB">
              <w:rPr>
                <w:noProof/>
                <w:webHidden/>
              </w:rPr>
            </w:r>
            <w:r w:rsidR="000E14EB">
              <w:rPr>
                <w:noProof/>
                <w:webHidden/>
              </w:rPr>
              <w:fldChar w:fldCharType="separate"/>
            </w:r>
            <w:r w:rsidR="000E14EB">
              <w:rPr>
                <w:noProof/>
                <w:webHidden/>
              </w:rPr>
              <w:t>3</w:t>
            </w:r>
            <w:r w:rsidR="000E14EB">
              <w:rPr>
                <w:noProof/>
                <w:webHidden/>
              </w:rPr>
              <w:fldChar w:fldCharType="end"/>
            </w:r>
          </w:hyperlink>
        </w:p>
        <w:p w14:paraId="384E5DBE" w14:textId="396DA946" w:rsidR="000E14EB" w:rsidRDefault="00ED19CA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07227916" w:history="1">
            <w:r w:rsidR="000E14EB" w:rsidRPr="00282132">
              <w:rPr>
                <w:rStyle w:val="Lienhypertexte"/>
                <w:noProof/>
              </w:rPr>
              <w:t>4.</w:t>
            </w:r>
            <w:r w:rsidR="000E14EB">
              <w:rPr>
                <w:rFonts w:eastAsiaTheme="minorEastAsia"/>
                <w:noProof/>
                <w:lang w:eastAsia="fr-FR"/>
              </w:rPr>
              <w:tab/>
            </w:r>
            <w:r w:rsidR="000E14EB" w:rsidRPr="00282132">
              <w:rPr>
                <w:rStyle w:val="Lienhypertexte"/>
                <w:noProof/>
              </w:rPr>
              <w:t>Sorties</w:t>
            </w:r>
            <w:r w:rsidR="000E14EB">
              <w:rPr>
                <w:noProof/>
                <w:webHidden/>
              </w:rPr>
              <w:tab/>
            </w:r>
            <w:r w:rsidR="000E14EB">
              <w:rPr>
                <w:noProof/>
                <w:webHidden/>
              </w:rPr>
              <w:fldChar w:fldCharType="begin"/>
            </w:r>
            <w:r w:rsidR="000E14EB">
              <w:rPr>
                <w:noProof/>
                <w:webHidden/>
              </w:rPr>
              <w:instrText xml:space="preserve"> PAGEREF _Toc107227916 \h </w:instrText>
            </w:r>
            <w:r w:rsidR="000E14EB">
              <w:rPr>
                <w:noProof/>
                <w:webHidden/>
              </w:rPr>
            </w:r>
            <w:r w:rsidR="000E14EB">
              <w:rPr>
                <w:noProof/>
                <w:webHidden/>
              </w:rPr>
              <w:fldChar w:fldCharType="separate"/>
            </w:r>
            <w:r w:rsidR="000E14EB">
              <w:rPr>
                <w:noProof/>
                <w:webHidden/>
              </w:rPr>
              <w:t>6</w:t>
            </w:r>
            <w:r w:rsidR="000E14EB">
              <w:rPr>
                <w:noProof/>
                <w:webHidden/>
              </w:rPr>
              <w:fldChar w:fldCharType="end"/>
            </w:r>
          </w:hyperlink>
        </w:p>
        <w:p w14:paraId="316F03E3" w14:textId="4101A574" w:rsidR="000E14EB" w:rsidRDefault="00ED19CA">
          <w:pPr>
            <w:pStyle w:val="TM1"/>
            <w:tabs>
              <w:tab w:val="left" w:pos="44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07227917" w:history="1">
            <w:r w:rsidR="000E14EB" w:rsidRPr="00282132">
              <w:rPr>
                <w:rStyle w:val="Lienhypertexte"/>
                <w:noProof/>
              </w:rPr>
              <w:t>5.</w:t>
            </w:r>
            <w:r w:rsidR="000E14EB">
              <w:rPr>
                <w:rFonts w:eastAsiaTheme="minorEastAsia"/>
                <w:noProof/>
                <w:lang w:eastAsia="fr-FR"/>
              </w:rPr>
              <w:tab/>
            </w:r>
            <w:r w:rsidR="000E14EB" w:rsidRPr="00282132">
              <w:rPr>
                <w:rStyle w:val="Lienhypertexte"/>
                <w:noProof/>
              </w:rPr>
              <w:t>Arborescence du dossier source</w:t>
            </w:r>
            <w:r w:rsidR="000E14EB">
              <w:rPr>
                <w:noProof/>
                <w:webHidden/>
              </w:rPr>
              <w:tab/>
            </w:r>
            <w:r w:rsidR="000E14EB">
              <w:rPr>
                <w:noProof/>
                <w:webHidden/>
              </w:rPr>
              <w:fldChar w:fldCharType="begin"/>
            </w:r>
            <w:r w:rsidR="000E14EB">
              <w:rPr>
                <w:noProof/>
                <w:webHidden/>
              </w:rPr>
              <w:instrText xml:space="preserve"> PAGEREF _Toc107227917 \h </w:instrText>
            </w:r>
            <w:r w:rsidR="000E14EB">
              <w:rPr>
                <w:noProof/>
                <w:webHidden/>
              </w:rPr>
            </w:r>
            <w:r w:rsidR="000E14EB">
              <w:rPr>
                <w:noProof/>
                <w:webHidden/>
              </w:rPr>
              <w:fldChar w:fldCharType="separate"/>
            </w:r>
            <w:r w:rsidR="000E14EB">
              <w:rPr>
                <w:noProof/>
                <w:webHidden/>
              </w:rPr>
              <w:t>7</w:t>
            </w:r>
            <w:r w:rsidR="000E14EB">
              <w:rPr>
                <w:noProof/>
                <w:webHidden/>
              </w:rPr>
              <w:fldChar w:fldCharType="end"/>
            </w:r>
          </w:hyperlink>
        </w:p>
        <w:p w14:paraId="24EC03AE" w14:textId="7C86881D" w:rsidR="000E14EB" w:rsidRDefault="000E14EB" w:rsidP="000E14EB">
          <w:r>
            <w:rPr>
              <w:b/>
              <w:bCs/>
            </w:rPr>
            <w:fldChar w:fldCharType="end"/>
          </w:r>
        </w:p>
      </w:sdtContent>
    </w:sdt>
    <w:p w14:paraId="3285AF13" w14:textId="3D4960A6" w:rsidR="00E22CEB" w:rsidRPr="001B3542" w:rsidRDefault="00E22CEB" w:rsidP="001B3542">
      <w:pPr>
        <w:pStyle w:val="Titre1"/>
      </w:pPr>
      <w:bookmarkStart w:id="2" w:name="_Toc107227823"/>
      <w:bookmarkStart w:id="3" w:name="_Toc107227913"/>
      <w:r w:rsidRPr="001B3542">
        <w:t>Objet du document</w:t>
      </w:r>
      <w:bookmarkEnd w:id="0"/>
      <w:bookmarkEnd w:id="1"/>
      <w:bookmarkEnd w:id="2"/>
      <w:bookmarkEnd w:id="3"/>
    </w:p>
    <w:p w14:paraId="18B69232" w14:textId="7E114B62" w:rsidR="00257EFF" w:rsidRPr="00E22CEB" w:rsidRDefault="00E22CEB" w:rsidP="00E22CEB">
      <w:r w:rsidRPr="00014E39">
        <w:t xml:space="preserve">L’objet du présent document est de </w:t>
      </w:r>
      <w:r>
        <w:t>guider l’utilisateur dans l’utilisation de la brique ALIM de PASS-ALM.</w:t>
      </w:r>
    </w:p>
    <w:p w14:paraId="2728632A" w14:textId="1DBEEA1D" w:rsidR="005F76FF" w:rsidRPr="001B3542" w:rsidRDefault="005F76FF" w:rsidP="001B3542">
      <w:pPr>
        <w:pStyle w:val="Titre1"/>
      </w:pPr>
      <w:bookmarkStart w:id="4" w:name="_Toc107227824"/>
      <w:bookmarkStart w:id="5" w:name="_Toc107227914"/>
      <w:r w:rsidRPr="001B3542">
        <w:t>Description d</w:t>
      </w:r>
      <w:r w:rsidR="00DE45C6">
        <w:t xml:space="preserve">u mode </w:t>
      </w:r>
      <w:r w:rsidRPr="001B3542">
        <w:t>ALIM</w:t>
      </w:r>
      <w:bookmarkEnd w:id="4"/>
      <w:bookmarkEnd w:id="5"/>
    </w:p>
    <w:p w14:paraId="16687817" w14:textId="77777777" w:rsidR="00DE45C6" w:rsidRDefault="00DE45C6" w:rsidP="00565DA7">
      <w:pPr>
        <w:jc w:val="both"/>
      </w:pPr>
      <w:bookmarkStart w:id="6" w:name="_Hlk107228543"/>
      <w:r>
        <w:t>Le mode</w:t>
      </w:r>
      <w:r w:rsidR="005F76FF" w:rsidRPr="005F76FF">
        <w:t xml:space="preserve"> </w:t>
      </w:r>
      <w:r>
        <w:t>« </w:t>
      </w:r>
      <w:r w:rsidR="005F76FF" w:rsidRPr="005F76FF">
        <w:t>ALIM</w:t>
      </w:r>
      <w:r>
        <w:t> »</w:t>
      </w:r>
      <w:r w:rsidR="005F76FF" w:rsidRPr="005F76FF">
        <w:t xml:space="preserve"> de PASS</w:t>
      </w:r>
      <w:r w:rsidR="001B3542">
        <w:t>-</w:t>
      </w:r>
      <w:r w:rsidR="005F76FF" w:rsidRPr="005F76FF">
        <w:t xml:space="preserve">ALM </w:t>
      </w:r>
      <w:r w:rsidR="001B3542">
        <w:t xml:space="preserve">est la première étape d’utilisation de l’outil de simulation ALM PASS-ALM.  Elle </w:t>
      </w:r>
      <w:r w:rsidR="005F76FF" w:rsidRPr="005F76FF">
        <w:t>permet</w:t>
      </w:r>
      <w:r>
        <w:t> :</w:t>
      </w:r>
    </w:p>
    <w:p w14:paraId="728283B1" w14:textId="0A14D92D" w:rsidR="00DE45C6" w:rsidRDefault="00DE45C6" w:rsidP="00DE45C6">
      <w:pPr>
        <w:pStyle w:val="Paragraphedeliste"/>
        <w:numPr>
          <w:ilvl w:val="0"/>
          <w:numId w:val="14"/>
        </w:numPr>
        <w:jc w:val="both"/>
      </w:pPr>
      <w:r>
        <w:t>De générer le scénario principal ‘@FORWARD’ à partir des fichiers sources, scénario qui servira de base aux scénarios alternatifs.</w:t>
      </w:r>
    </w:p>
    <w:p w14:paraId="511B7A1C" w14:textId="27D5B4CD" w:rsidR="00435BE3" w:rsidRDefault="005F76FF" w:rsidP="00DE45C6">
      <w:pPr>
        <w:pStyle w:val="Paragraphedeliste"/>
        <w:numPr>
          <w:ilvl w:val="0"/>
          <w:numId w:val="14"/>
        </w:numPr>
        <w:jc w:val="both"/>
      </w:pPr>
      <w:r w:rsidRPr="005F76FF">
        <w:t xml:space="preserve"> </w:t>
      </w:r>
      <w:r w:rsidR="00DE45C6">
        <w:t>D</w:t>
      </w:r>
      <w:r w:rsidRPr="005F76FF">
        <w:t>’agréger</w:t>
      </w:r>
      <w:r w:rsidR="00C70ECC">
        <w:t xml:space="preserve"> </w:t>
      </w:r>
      <w:r w:rsidRPr="005F76FF">
        <w:t xml:space="preserve">et </w:t>
      </w:r>
      <w:r w:rsidR="00565DA7">
        <w:t>de mapper</w:t>
      </w:r>
      <w:r w:rsidRPr="005F76FF">
        <w:t xml:space="preserve"> les données </w:t>
      </w:r>
      <w:r w:rsidR="00435BE3">
        <w:t xml:space="preserve">d’entrée </w:t>
      </w:r>
      <w:r w:rsidRPr="005F76FF">
        <w:t>du STOCK et de</w:t>
      </w:r>
      <w:r w:rsidR="00435BE3">
        <w:t xml:space="preserve"> la </w:t>
      </w:r>
      <w:r w:rsidRPr="005F76FF">
        <w:t xml:space="preserve">PN </w:t>
      </w:r>
      <w:r w:rsidR="00565DA7">
        <w:t xml:space="preserve">pour une ou plusieurs entités du groupe BPCE. Cette phase permet de préparer les données </w:t>
      </w:r>
      <w:r w:rsidR="00C70ECC">
        <w:t>en leur donnant un format unique commun à l’ensemble des bassins, étape préalable à toute simulation ou projection de bilan.</w:t>
      </w:r>
      <w:bookmarkEnd w:id="6"/>
    </w:p>
    <w:p w14:paraId="288DE221" w14:textId="4770C1F4" w:rsidR="00AF191B" w:rsidRPr="00F5176D" w:rsidRDefault="00F5176D" w:rsidP="00E22CEB">
      <w:pPr>
        <w:pStyle w:val="Titre1"/>
      </w:pPr>
      <w:bookmarkStart w:id="7" w:name="_Toc107227825"/>
      <w:bookmarkStart w:id="8" w:name="_Toc107227915"/>
      <w:r>
        <w:lastRenderedPageBreak/>
        <w:t xml:space="preserve">Paramétrage </w:t>
      </w:r>
      <w:bookmarkEnd w:id="7"/>
      <w:bookmarkEnd w:id="8"/>
      <w:r w:rsidR="00A22CEB">
        <w:t>du fichier de configuration</w:t>
      </w:r>
      <w:r w:rsidR="009F6BA2" w:rsidRPr="00F5176D">
        <w:t xml:space="preserve"> </w:t>
      </w:r>
    </w:p>
    <w:p w14:paraId="0A21B2D4" w14:textId="736C20F4" w:rsidR="00A22CEB" w:rsidRPr="003C4398" w:rsidRDefault="00A22CEB" w:rsidP="00567D5A">
      <w:pPr>
        <w:pStyle w:val="Paragraphedeliste"/>
        <w:numPr>
          <w:ilvl w:val="0"/>
          <w:numId w:val="16"/>
        </w:numPr>
        <w:rPr>
          <w:u w:val="single"/>
        </w:rPr>
      </w:pPr>
      <w:r w:rsidRPr="003C4398">
        <w:rPr>
          <w:u w:val="single"/>
        </w:rPr>
        <w:t>Dans l’onglet « CONFIG » :</w:t>
      </w:r>
    </w:p>
    <w:p w14:paraId="6424E06A" w14:textId="6A19908F" w:rsidR="00A22CEB" w:rsidRPr="003C4398" w:rsidRDefault="00A22CEB" w:rsidP="00567D5A">
      <w:pPr>
        <w:pStyle w:val="Paragraphedeliste"/>
        <w:numPr>
          <w:ilvl w:val="0"/>
          <w:numId w:val="15"/>
        </w:numPr>
        <w:ind w:left="993"/>
        <w:rPr>
          <w:u w:val="single"/>
        </w:rPr>
      </w:pPr>
      <w:r w:rsidRPr="003C4398">
        <w:rPr>
          <w:u w:val="single"/>
        </w:rPr>
        <w:t>Choisir le MODE « ALIM » et compléter</w:t>
      </w:r>
    </w:p>
    <w:p w14:paraId="56008E9D" w14:textId="504AFEF9" w:rsidR="00A22CEB" w:rsidRPr="003C4398" w:rsidRDefault="00A22CEB" w:rsidP="00567D5A">
      <w:pPr>
        <w:pStyle w:val="Paragraphedeliste"/>
        <w:numPr>
          <w:ilvl w:val="0"/>
          <w:numId w:val="15"/>
        </w:numPr>
        <w:spacing w:after="0"/>
        <w:ind w:left="993" w:hanging="357"/>
        <w:contextualSpacing w:val="0"/>
        <w:rPr>
          <w:u w:val="single"/>
        </w:rPr>
      </w:pPr>
      <w:r w:rsidRPr="003C4398">
        <w:rPr>
          <w:u w:val="single"/>
        </w:rPr>
        <w:t xml:space="preserve">Le paramètre LISTE ENTITES doit être renseigné avec le nom des </w:t>
      </w:r>
      <w:r w:rsidRPr="003C4398">
        <w:rPr>
          <w:b/>
          <w:bCs/>
          <w:color w:val="FF0000"/>
          <w:u w:val="single"/>
        </w:rPr>
        <w:t>ENTITÉS à alimenter SÉPARÉES PAR DES VIRGULES</w:t>
      </w:r>
      <w:r w:rsidRPr="003C4398">
        <w:rPr>
          <w:u w:val="single"/>
        </w:rPr>
        <w:t>.</w:t>
      </w:r>
    </w:p>
    <w:p w14:paraId="2B437587" w14:textId="411E9970" w:rsidR="00A22CEB" w:rsidRPr="003C4398" w:rsidRDefault="00A22CEB" w:rsidP="00567D5A">
      <w:pPr>
        <w:pStyle w:val="Paragraphedeliste"/>
        <w:numPr>
          <w:ilvl w:val="0"/>
          <w:numId w:val="15"/>
        </w:numPr>
        <w:ind w:left="993"/>
        <w:rPr>
          <w:u w:val="single"/>
        </w:rPr>
      </w:pPr>
      <w:r w:rsidRPr="003C4398">
        <w:rPr>
          <w:u w:val="single"/>
        </w:rPr>
        <w:t xml:space="preserve">Le paramètre REPERTOIRE SOURCES indique </w:t>
      </w:r>
      <w:r w:rsidRPr="003C4398">
        <w:rPr>
          <w:b/>
          <w:bCs/>
          <w:u w:val="single"/>
        </w:rPr>
        <w:t>dossier contenant les fichiers sources issues de l’AED</w:t>
      </w:r>
    </w:p>
    <w:p w14:paraId="4DF14756" w14:textId="6DC4A19F" w:rsidR="00A22CEB" w:rsidRPr="003C4398" w:rsidRDefault="00A22CEB" w:rsidP="00567D5A">
      <w:pPr>
        <w:pStyle w:val="Paragraphedeliste"/>
        <w:numPr>
          <w:ilvl w:val="0"/>
          <w:numId w:val="15"/>
        </w:numPr>
        <w:spacing w:after="0"/>
        <w:ind w:left="993" w:hanging="357"/>
        <w:contextualSpacing w:val="0"/>
        <w:rPr>
          <w:u w:val="single"/>
        </w:rPr>
      </w:pPr>
      <w:r w:rsidRPr="003C4398">
        <w:rPr>
          <w:u w:val="single"/>
        </w:rPr>
        <w:t>Le paramètre REPERTOIR SORTIE indique le dossier où seront stockés les fichiers de sortie</w:t>
      </w:r>
    </w:p>
    <w:p w14:paraId="2B7946A0" w14:textId="65CCBBF9" w:rsidR="0060497A" w:rsidRPr="003C4398" w:rsidRDefault="0060497A" w:rsidP="00567D5A">
      <w:pPr>
        <w:pStyle w:val="Paragraphedeliste"/>
        <w:numPr>
          <w:ilvl w:val="0"/>
          <w:numId w:val="15"/>
        </w:numPr>
        <w:ind w:left="993"/>
        <w:contextualSpacing w:val="0"/>
        <w:rPr>
          <w:u w:val="single"/>
        </w:rPr>
      </w:pPr>
      <w:r w:rsidRPr="003C4398">
        <w:rPr>
          <w:u w:val="single"/>
        </w:rPr>
        <w:t>La DAR correspond à la date d’arrêté</w:t>
      </w:r>
    </w:p>
    <w:p w14:paraId="786ABDD5" w14:textId="44F5AAD3" w:rsidR="00A22CEB" w:rsidRDefault="00A22CEB" w:rsidP="00A22CEB">
      <w:pPr>
        <w:jc w:val="center"/>
      </w:pPr>
      <w:r w:rsidRPr="00A22CEB">
        <w:rPr>
          <w:noProof/>
        </w:rPr>
        <w:drawing>
          <wp:inline distT="0" distB="0" distL="0" distR="0" wp14:anchorId="1FA741D6" wp14:editId="18436D4B">
            <wp:extent cx="7528560" cy="277402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493"/>
                    <a:stretch/>
                  </pic:blipFill>
                  <pic:spPr bwMode="auto">
                    <a:xfrm>
                      <a:off x="0" y="0"/>
                      <a:ext cx="7539577" cy="277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F9B9" w14:textId="0D5977B5" w:rsidR="0060497A" w:rsidRDefault="0060497A" w:rsidP="00567D5A">
      <w:pPr>
        <w:pStyle w:val="Paragraphedeliste"/>
        <w:numPr>
          <w:ilvl w:val="0"/>
          <w:numId w:val="16"/>
        </w:numPr>
      </w:pPr>
      <w:bookmarkStart w:id="9" w:name="_Hlk191650280"/>
      <w:r>
        <w:lastRenderedPageBreak/>
        <w:t>Dans l’onglet « ALIM », remplir les paramètres nécessaires pour générer le scénario @FORWARD et le scénario de calage des NMDS :</w:t>
      </w:r>
    </w:p>
    <w:bookmarkEnd w:id="9"/>
    <w:p w14:paraId="05E42AC0" w14:textId="04A75E63" w:rsidR="002F6236" w:rsidRDefault="0060497A" w:rsidP="00567D5A">
      <w:pPr>
        <w:jc w:val="center"/>
      </w:pPr>
      <w:r w:rsidRPr="0060497A">
        <w:rPr>
          <w:noProof/>
        </w:rPr>
        <w:drawing>
          <wp:inline distT="0" distB="0" distL="0" distR="0" wp14:anchorId="23DCBFDA" wp14:editId="736FEED3">
            <wp:extent cx="4876800" cy="24612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591"/>
                    <a:stretch/>
                  </pic:blipFill>
                  <pic:spPr bwMode="auto">
                    <a:xfrm>
                      <a:off x="0" y="0"/>
                      <a:ext cx="4878218" cy="246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0ABB3" w14:textId="281AB9CB" w:rsidR="0060497A" w:rsidRDefault="0060497A" w:rsidP="00567D5A">
      <w:pPr>
        <w:pStyle w:val="Paragraphedeliste"/>
        <w:numPr>
          <w:ilvl w:val="0"/>
          <w:numId w:val="2"/>
        </w:numPr>
        <w:ind w:left="851" w:hanging="357"/>
        <w:contextualSpacing w:val="0"/>
      </w:pPr>
      <w:r>
        <w:t>Les paramètres RATE_INPUT, LIQ_INPUT, TCI_INPUT doit contenir le nom du fichier de taux utilisé pour la DAR choisie. Voir &amp;</w:t>
      </w:r>
      <w:r>
        <w:rPr>
          <w:b/>
          <w:bCs/>
        </w:rPr>
        <w:t>6</w:t>
      </w:r>
      <w:r>
        <w:t xml:space="preserve"> pour plus de détail sur les sources et la nomenclature à adopter</w:t>
      </w:r>
    </w:p>
    <w:p w14:paraId="046140AE" w14:textId="67781B02" w:rsidR="0060497A" w:rsidRDefault="0060497A" w:rsidP="00567D5A">
      <w:pPr>
        <w:pStyle w:val="Paragraphedeliste"/>
        <w:numPr>
          <w:ilvl w:val="0"/>
          <w:numId w:val="2"/>
        </w:numPr>
        <w:ind w:left="851" w:hanging="357"/>
        <w:contextualSpacing w:val="0"/>
      </w:pPr>
      <w:r>
        <w:t xml:space="preserve">Les paramètres MODELE NMD et MODELE ECH doit contenir les noms des fichiers modèles des non échéancés et des échéancés utilisés pour la DAR choisie. </w:t>
      </w:r>
    </w:p>
    <w:p w14:paraId="36815C82" w14:textId="4BBB2B6F" w:rsidR="0060497A" w:rsidRDefault="0060497A" w:rsidP="00567D5A">
      <w:pPr>
        <w:pStyle w:val="Paragraphedeliste"/>
        <w:numPr>
          <w:ilvl w:val="0"/>
          <w:numId w:val="2"/>
        </w:numPr>
        <w:ind w:left="851" w:hanging="357"/>
        <w:contextualSpacing w:val="0"/>
      </w:pPr>
      <w:r w:rsidRPr="002F6236">
        <w:t>Le paramètre SCENARIO REFERENCE NMD permet à</w:t>
      </w:r>
      <w:r>
        <w:t xml:space="preserve"> l’utilisateur de choisir le scénario de taux avec lequel seront générés les flux de calage de la NMD.</w:t>
      </w:r>
    </w:p>
    <w:p w14:paraId="1BC6AA71" w14:textId="30BCC9D8" w:rsidR="0060497A" w:rsidRDefault="0060497A" w:rsidP="0060497A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2F6236">
        <w:lastRenderedPageBreak/>
        <w:t xml:space="preserve">Le paramètre </w:t>
      </w:r>
      <w:r>
        <w:t>GENERER LE SCENARIO FROWARD</w:t>
      </w:r>
      <w:r w:rsidRPr="002F6236">
        <w:t xml:space="preserve"> permet à</w:t>
      </w:r>
      <w:r>
        <w:t xml:space="preserve"> l’utilisateur de choisir s’il veut générer le scénario @FORWARD à partir des fichiers sources.  Les fichiers du scénario @FORWARD seront stockés dans le dossier </w:t>
      </w:r>
      <w:r w:rsidRPr="0060497A">
        <w:rPr>
          <w:b/>
          <w:bCs/>
        </w:rPr>
        <w:t xml:space="preserve">[REPERTOIRE </w:t>
      </w:r>
      <w:proofErr w:type="gramStart"/>
      <w:r w:rsidRPr="0060497A">
        <w:rPr>
          <w:b/>
          <w:bCs/>
        </w:rPr>
        <w:t>SORTIE]\</w:t>
      </w:r>
      <w:proofErr w:type="gramEnd"/>
      <w:r w:rsidRPr="0060497A">
        <w:rPr>
          <w:b/>
          <w:bCs/>
        </w:rPr>
        <w:t>FORWARD</w:t>
      </w:r>
      <w:r>
        <w:t xml:space="preserve"> Si cette option est décochée, cela veut dire que ce scénario a déjà été généré dans une précédente simulation. Dans ce cas les fichiers du @FORWARD doivent être placée dans </w:t>
      </w:r>
      <w:r w:rsidRPr="0060497A">
        <w:rPr>
          <w:b/>
          <w:bCs/>
        </w:rPr>
        <w:t xml:space="preserve">[REPERTOIRE </w:t>
      </w:r>
      <w:proofErr w:type="gramStart"/>
      <w:r w:rsidRPr="0060497A">
        <w:rPr>
          <w:b/>
          <w:bCs/>
        </w:rPr>
        <w:t>SOURCES]\DATA\</w:t>
      </w:r>
      <w:proofErr w:type="gramEnd"/>
      <w:r w:rsidRPr="0060497A">
        <w:rPr>
          <w:b/>
          <w:bCs/>
        </w:rPr>
        <w:t>[ENTITE]\ALIM_STOCK</w:t>
      </w:r>
      <w:r>
        <w:t xml:space="preserve"> </w:t>
      </w:r>
    </w:p>
    <w:p w14:paraId="1E1FD2C8" w14:textId="048A4C65" w:rsidR="00AA15C4" w:rsidRPr="002F6236" w:rsidRDefault="0060497A" w:rsidP="004C2917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2F6236">
        <w:t xml:space="preserve">Le paramètre SCENARIO </w:t>
      </w:r>
      <w:r>
        <w:t>FORWARD</w:t>
      </w:r>
      <w:r w:rsidRPr="002F6236">
        <w:t xml:space="preserve"> permet à</w:t>
      </w:r>
      <w:r>
        <w:t xml:space="preserve"> l’utilisateur de choisir le scénario de taux </w:t>
      </w:r>
      <w:r w:rsidR="00567D5A">
        <w:t>qui correspond au scénario FORWARD</w:t>
      </w:r>
    </w:p>
    <w:p w14:paraId="6886AF4A" w14:textId="00244028" w:rsidR="00567D5A" w:rsidRDefault="00850F1F" w:rsidP="00567D5A">
      <w:pPr>
        <w:pStyle w:val="Paragraphedeliste"/>
        <w:numPr>
          <w:ilvl w:val="0"/>
          <w:numId w:val="6"/>
        </w:numPr>
      </w:pPr>
      <w:r>
        <w:t>Autres options :</w:t>
      </w:r>
      <w:r w:rsidR="00567D5A">
        <w:t xml:space="preserve"> l</w:t>
      </w:r>
      <w:r w:rsidR="00435BE3">
        <w:t xml:space="preserve">’option MAPPER RAY permet d’activer le mapping ray pour les entités où le mapping est possible (RZO, BPCE, CFF). Ce mapping permet d’ajouter le LCR_TIERS et est nécessaire lorsque l’utilisateur souhaite calculer des indicateurs tels que le LCR ou le NSFR. </w:t>
      </w:r>
      <w:r w:rsidR="00567D5A">
        <w:t>Le paramètre « DETAIL INTENTIONS DE GESTION » permet à l’utilisateur d’avoir en sortie le détail du champ « GESTION ».</w:t>
      </w:r>
    </w:p>
    <w:p w14:paraId="0E6ADA7A" w14:textId="48A1832D" w:rsidR="00567D5A" w:rsidRDefault="00567D5A" w:rsidP="004C2917">
      <w:pPr>
        <w:jc w:val="center"/>
      </w:pPr>
      <w:r w:rsidRPr="00567D5A">
        <w:rPr>
          <w:noProof/>
        </w:rPr>
        <w:drawing>
          <wp:inline distT="0" distB="0" distL="0" distR="0" wp14:anchorId="46128CDA" wp14:editId="50B256C5">
            <wp:extent cx="4229100" cy="117763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316" cy="11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48BC" w14:textId="77777777" w:rsidR="00567D5A" w:rsidRDefault="00567D5A" w:rsidP="00567D5A"/>
    <w:p w14:paraId="7B1B6823" w14:textId="77777777" w:rsidR="00567D5A" w:rsidRDefault="00567D5A" w:rsidP="00567D5A">
      <w:pPr>
        <w:pStyle w:val="Paragraphedeliste"/>
        <w:numPr>
          <w:ilvl w:val="0"/>
          <w:numId w:val="6"/>
        </w:numPr>
      </w:pPr>
      <w:r>
        <w:t>Pour les bassins Natixis, SEF et NPS, des options supplémentaires de paramétrage sont disponibles :</w:t>
      </w:r>
    </w:p>
    <w:p w14:paraId="6576FA7A" w14:textId="7C16AD5C" w:rsidR="00567D5A" w:rsidRDefault="00567D5A" w:rsidP="00567D5A">
      <w:pPr>
        <w:jc w:val="center"/>
      </w:pPr>
      <w:r>
        <w:object w:dxaOrig="17136" w:dyaOrig="1812" w14:anchorId="331D03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85pt;height:44.55pt" o:ole="">
            <v:imagedata r:id="rId11" o:title="" croptop="6927f" cropbottom="19181f"/>
          </v:shape>
          <o:OLEObject Type="Embed" ProgID="PBrush" ShapeID="_x0000_i1025" DrawAspect="Content" ObjectID="_1802265127" r:id="rId12"/>
        </w:object>
      </w:r>
    </w:p>
    <w:p w14:paraId="20740C97" w14:textId="77777777" w:rsidR="00567D5A" w:rsidRDefault="00567D5A" w:rsidP="00567D5A">
      <w:pPr>
        <w:pStyle w:val="Paragraphedeliste"/>
        <w:numPr>
          <w:ilvl w:val="1"/>
          <w:numId w:val="2"/>
        </w:numPr>
        <w:contextualSpacing w:val="0"/>
      </w:pPr>
      <w:r>
        <w:lastRenderedPageBreak/>
        <w:t>L’option PERIM NATIXIS permet de choisir le périmètre souhaité pour la MNI : IRRBB, STEBA etc. La nature du périmètre est à configurer dans le mapping « </w:t>
      </w:r>
      <w:r w:rsidRPr="00F5176D">
        <w:t>MAPPING MNI NTX</w:t>
      </w:r>
      <w:r>
        <w:t> » dans l’onglet MAP_GEN du fichier « MAPPING_PASS_ALM.xlsx »</w:t>
      </w:r>
    </w:p>
    <w:p w14:paraId="1F13B069" w14:textId="77777777" w:rsidR="00567D5A" w:rsidRDefault="00567D5A" w:rsidP="00567D5A">
      <w:pPr>
        <w:pStyle w:val="Paragraphedeliste"/>
        <w:numPr>
          <w:ilvl w:val="1"/>
          <w:numId w:val="2"/>
        </w:numPr>
        <w:contextualSpacing w:val="0"/>
        <w:rPr>
          <w:noProof/>
        </w:rPr>
      </w:pPr>
      <w:r>
        <w:t>Les autres options sont explicites.</w:t>
      </w:r>
    </w:p>
    <w:p w14:paraId="1CB93528" w14:textId="0D05991D" w:rsidR="00850F1F" w:rsidRPr="00567D5A" w:rsidRDefault="00435BE3" w:rsidP="00567D5A">
      <w:pPr>
        <w:rPr>
          <w:b/>
          <w:bCs/>
          <w:color w:val="FF0000"/>
        </w:rPr>
      </w:pPr>
      <w:r w:rsidRPr="004A385B">
        <w:rPr>
          <w:b/>
          <w:bCs/>
          <w:color w:val="FF0000"/>
        </w:rPr>
        <w:t>Une fois l’interface configurée</w:t>
      </w:r>
      <w:r>
        <w:rPr>
          <w:b/>
          <w:bCs/>
          <w:color w:val="FF0000"/>
        </w:rPr>
        <w:t xml:space="preserve"> (voir paragraphe </w:t>
      </w:r>
      <w:r w:rsidRPr="001B3542">
        <w:rPr>
          <w:b/>
          <w:bCs/>
        </w:rPr>
        <w:t xml:space="preserve">&amp;6 </w:t>
      </w:r>
      <w:r>
        <w:rPr>
          <w:b/>
          <w:bCs/>
          <w:color w:val="FF0000"/>
        </w:rPr>
        <w:t>pour le config des sources)</w:t>
      </w:r>
      <w:r w:rsidRPr="004A385B">
        <w:rPr>
          <w:b/>
          <w:bCs/>
          <w:color w:val="FF0000"/>
        </w:rPr>
        <w:t>, pour lancer une simulation il suffit d’appuyer sur le bouton en forme de fusée</w:t>
      </w:r>
      <w:r w:rsidR="00567D5A">
        <w:rPr>
          <w:b/>
          <w:bCs/>
          <w:color w:val="FF0000"/>
        </w:rPr>
        <w:t xml:space="preserve"> dans l’onglet CONFIG.</w:t>
      </w:r>
    </w:p>
    <w:p w14:paraId="2B8E3CC9" w14:textId="1C513CDC" w:rsidR="00973A93" w:rsidRPr="00973A93" w:rsidRDefault="00973A93" w:rsidP="00E22CEB">
      <w:pPr>
        <w:pStyle w:val="Titre1"/>
      </w:pPr>
      <w:bookmarkStart w:id="10" w:name="_Toc107227826"/>
      <w:bookmarkStart w:id="11" w:name="_Toc107227916"/>
      <w:r w:rsidRPr="00973A93">
        <w:t>Sorties</w:t>
      </w:r>
      <w:bookmarkEnd w:id="10"/>
      <w:bookmarkEnd w:id="11"/>
    </w:p>
    <w:p w14:paraId="4C512F5B" w14:textId="77777777" w:rsidR="00973A93" w:rsidRPr="00973A93" w:rsidRDefault="00973A93" w:rsidP="00973A93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973A93">
        <w:t>Les fichiers de sortie se trouvent dans le répertoire de sortie choisi dans les paramètres.</w:t>
      </w:r>
    </w:p>
    <w:p w14:paraId="6192888E" w14:textId="174CB87A" w:rsidR="00973A93" w:rsidRPr="00973A93" w:rsidRDefault="00973A93" w:rsidP="00973A93">
      <w:pPr>
        <w:pStyle w:val="Paragraphedeliste"/>
        <w:numPr>
          <w:ilvl w:val="0"/>
          <w:numId w:val="2"/>
        </w:numPr>
        <w:ind w:left="714" w:hanging="357"/>
        <w:contextualSpacing w:val="0"/>
      </w:pPr>
      <w:r w:rsidRPr="00973A93">
        <w:t xml:space="preserve">Ils se décomposent de la façon </w:t>
      </w:r>
      <w:r w:rsidR="004A385B" w:rsidRPr="00973A93">
        <w:t>suivante :</w:t>
      </w:r>
    </w:p>
    <w:p w14:paraId="4D8D88E6" w14:textId="54354947" w:rsidR="00973A93" w:rsidRPr="00973A93" w:rsidRDefault="00973A93" w:rsidP="00973A93">
      <w:pPr>
        <w:pStyle w:val="Paragraphedeliste"/>
        <w:numPr>
          <w:ilvl w:val="1"/>
          <w:numId w:val="2"/>
        </w:numPr>
        <w:contextualSpacing w:val="0"/>
      </w:pPr>
      <w:r w:rsidRPr="00973A93">
        <w:t>Un sous-dossier par établissement simulé</w:t>
      </w:r>
      <w:r w:rsidR="004A385B">
        <w:t xml:space="preserve"> qui contient : </w:t>
      </w:r>
    </w:p>
    <w:p w14:paraId="2BF73FDC" w14:textId="53DDB65F" w:rsidR="00567D5A" w:rsidRDefault="00567D5A" w:rsidP="00435BE3">
      <w:pPr>
        <w:pStyle w:val="Paragraphedeliste"/>
        <w:numPr>
          <w:ilvl w:val="2"/>
          <w:numId w:val="2"/>
        </w:numPr>
        <w:contextualSpacing w:val="0"/>
      </w:pPr>
      <w:r>
        <w:t>Un sous-dossier FORWARD contenant le stock du scénario FORWARD si l’option de génération de ce scénario a été activée.</w:t>
      </w:r>
    </w:p>
    <w:p w14:paraId="49C9CD2D" w14:textId="1E8D40AF" w:rsidR="00973A93" w:rsidRDefault="004A385B" w:rsidP="00435BE3">
      <w:pPr>
        <w:pStyle w:val="Paragraphedeliste"/>
        <w:numPr>
          <w:ilvl w:val="2"/>
          <w:numId w:val="2"/>
        </w:numPr>
        <w:contextualSpacing w:val="0"/>
      </w:pPr>
      <w:r>
        <w:t>U</w:t>
      </w:r>
      <w:r w:rsidR="002A558A">
        <w:t>n f</w:t>
      </w:r>
      <w:r w:rsidR="00973A93" w:rsidRPr="00973A93">
        <w:t>ichier contenant le stock : STOCK_</w:t>
      </w:r>
      <w:r w:rsidR="00435BE3">
        <w:t>AG_</w:t>
      </w:r>
      <w:r w:rsidR="00973A93" w:rsidRPr="00973A93">
        <w:t>[ETAB]_[DAR]_[NON_RUN].</w:t>
      </w:r>
      <w:r w:rsidR="002A558A">
        <w:t>xlsx</w:t>
      </w:r>
      <w:r w:rsidR="00973A93" w:rsidRPr="00973A93">
        <w:t xml:space="preserve">. </w:t>
      </w:r>
      <w:r w:rsidR="00435BE3">
        <w:t>Il</w:t>
      </w:r>
      <w:r w:rsidR="00973A93">
        <w:t xml:space="preserve"> c</w:t>
      </w:r>
      <w:r w:rsidR="00973A93" w:rsidRPr="00973A93">
        <w:t>ontient les données du STOCK</w:t>
      </w:r>
      <w:r w:rsidR="00435BE3">
        <w:t>.</w:t>
      </w:r>
      <w:r w:rsidR="00973A93" w:rsidRPr="00973A93">
        <w:t xml:space="preserve"> </w:t>
      </w:r>
    </w:p>
    <w:p w14:paraId="1B7DA0FC" w14:textId="20220DA4" w:rsidR="00435BE3" w:rsidRDefault="00435BE3" w:rsidP="00973A93">
      <w:pPr>
        <w:pStyle w:val="Paragraphedeliste"/>
        <w:numPr>
          <w:ilvl w:val="2"/>
          <w:numId w:val="2"/>
        </w:numPr>
        <w:contextualSpacing w:val="0"/>
      </w:pPr>
      <w:r>
        <w:t>Un fichier NMD_TEMPLATE_</w:t>
      </w:r>
      <w:r w:rsidRPr="00973A93">
        <w:t>[ETAB]_[DAR]_[NON_RUN].</w:t>
      </w:r>
      <w:r>
        <w:t xml:space="preserve">xlsx qui contient les </w:t>
      </w:r>
      <w:proofErr w:type="spellStart"/>
      <w:r>
        <w:t>templates</w:t>
      </w:r>
      <w:proofErr w:type="spellEnd"/>
      <w:r>
        <w:t xml:space="preserve"> qui seront projetés pour la PN NMD générées à partir du stock NMD.</w:t>
      </w:r>
    </w:p>
    <w:p w14:paraId="061E05DF" w14:textId="1C5E4130" w:rsidR="00973A93" w:rsidRPr="00973A93" w:rsidRDefault="00FB1566" w:rsidP="00567D5A">
      <w:pPr>
        <w:pStyle w:val="Paragraphedeliste"/>
        <w:numPr>
          <w:ilvl w:val="2"/>
          <w:numId w:val="2"/>
        </w:numPr>
        <w:contextualSpacing w:val="0"/>
      </w:pPr>
      <w:r>
        <w:t xml:space="preserve">Un fichier sur les MAPPINGS MANQUANTS contenant deux onglets : </w:t>
      </w:r>
      <w:r w:rsidRPr="00FB1566">
        <w:rPr>
          <w:b/>
          <w:bCs/>
          <w:color w:val="FF0000"/>
        </w:rPr>
        <w:t>un onglet MAPPINGS MANQUANTS</w:t>
      </w:r>
      <w:r w:rsidR="00973A93" w:rsidRPr="00FB1566">
        <w:rPr>
          <w:b/>
          <w:bCs/>
          <w:color w:val="FF0000"/>
        </w:rPr>
        <w:t xml:space="preserve"> qui permet de détecter les </w:t>
      </w:r>
      <w:proofErr w:type="spellStart"/>
      <w:r w:rsidR="00973A93" w:rsidRPr="00FB1566">
        <w:rPr>
          <w:b/>
          <w:bCs/>
          <w:color w:val="FF0000"/>
        </w:rPr>
        <w:t>mappings</w:t>
      </w:r>
      <w:proofErr w:type="spellEnd"/>
      <w:r w:rsidR="00973A93" w:rsidRPr="00FB1566">
        <w:rPr>
          <w:b/>
          <w:bCs/>
          <w:color w:val="FF0000"/>
        </w:rPr>
        <w:t xml:space="preserve"> manquants</w:t>
      </w:r>
      <w:r w:rsidRPr="00FB1566">
        <w:rPr>
          <w:b/>
          <w:bCs/>
          <w:color w:val="FF0000"/>
        </w:rPr>
        <w:t xml:space="preserve"> nécessaires à la poursuite de la simulation</w:t>
      </w:r>
      <w:r w:rsidR="00973A93">
        <w:t xml:space="preserve">. En cas de mapping manquant, s’adresser à l’équipe PASS-ALM. L’ALIM devra être rejouée. </w:t>
      </w:r>
      <w:r>
        <w:t>Un onglet MAPPINGS FACULTATIFS MANQUANTS, contenant les</w:t>
      </w:r>
      <w:r w:rsidR="002A558A">
        <w:t xml:space="preserve"> </w:t>
      </w:r>
      <w:proofErr w:type="spellStart"/>
      <w:r w:rsidR="002A558A">
        <w:t>mappings</w:t>
      </w:r>
      <w:proofErr w:type="spellEnd"/>
      <w:r w:rsidR="002A558A">
        <w:t xml:space="preserve"> manquants sont non bloquants</w:t>
      </w:r>
      <w:r>
        <w:t xml:space="preserve"> mais qui peuvent s’avérer utiles pour des simulations spécifiques (</w:t>
      </w:r>
      <w:r w:rsidR="002A558A">
        <w:t>EX : MAPPING NSFR non nécessaire s</w:t>
      </w:r>
      <w:r w:rsidR="004A385B">
        <w:t xml:space="preserve">i </w:t>
      </w:r>
      <w:r w:rsidR="002A558A">
        <w:t>vous ne voulez pas simuler le NSFR).</w:t>
      </w:r>
    </w:p>
    <w:p w14:paraId="7E2E70CA" w14:textId="3D9BD6D3" w:rsidR="002F6236" w:rsidRDefault="00567D5A" w:rsidP="00567D5A">
      <w:pPr>
        <w:pStyle w:val="Paragraphedeliste"/>
        <w:numPr>
          <w:ilvl w:val="2"/>
          <w:numId w:val="2"/>
        </w:numPr>
      </w:pPr>
      <w:r>
        <w:lastRenderedPageBreak/>
        <w:t xml:space="preserve">Un sous-dossier SC_VOLUME contenant 5 fichiers .csv avec les PN ECH, PN ECH%, NMD, NMD% et les flux de calage NMD. </w:t>
      </w:r>
    </w:p>
    <w:p w14:paraId="168662D4" w14:textId="77777777" w:rsidR="008E3707" w:rsidRDefault="008E3707" w:rsidP="00AF191B"/>
    <w:p w14:paraId="484F66D3" w14:textId="5948DEB4" w:rsidR="00F5176D" w:rsidRPr="00281766" w:rsidRDefault="00393543" w:rsidP="00E22CEB">
      <w:pPr>
        <w:pStyle w:val="Titre1"/>
      </w:pPr>
      <w:bookmarkStart w:id="12" w:name="_Toc107227827"/>
      <w:bookmarkStart w:id="13" w:name="_Toc107227917"/>
      <w:r>
        <w:t>Arborescence du dossier source</w:t>
      </w:r>
      <w:bookmarkEnd w:id="12"/>
      <w:bookmarkEnd w:id="13"/>
    </w:p>
    <w:p w14:paraId="633FB4ED" w14:textId="4F12EBFB" w:rsidR="00AF191B" w:rsidRPr="004A385B" w:rsidRDefault="00AF191B" w:rsidP="00AF191B">
      <w:r w:rsidRPr="004A385B">
        <w:t xml:space="preserve">L’arborescence </w:t>
      </w:r>
      <w:r w:rsidR="000E6928" w:rsidRPr="004A385B">
        <w:t>du dossier</w:t>
      </w:r>
      <w:r w:rsidR="004A385B">
        <w:t xml:space="preserve"> contenant les sources </w:t>
      </w:r>
      <w:r w:rsidR="000E6928" w:rsidRPr="004A385B">
        <w:t>doit être</w:t>
      </w:r>
      <w:r w:rsidRPr="004A385B">
        <w:t xml:space="preserve"> la </w:t>
      </w:r>
      <w:r w:rsidR="00F861EA" w:rsidRPr="004A385B">
        <w:t>suivante :</w:t>
      </w:r>
    </w:p>
    <w:p w14:paraId="3480BC5C" w14:textId="15E47A31" w:rsidR="00AF191B" w:rsidRPr="00346B8C" w:rsidRDefault="000E6928" w:rsidP="00AF191B">
      <w:pPr>
        <w:pStyle w:val="Paragraphedeliste"/>
        <w:numPr>
          <w:ilvl w:val="0"/>
          <w:numId w:val="1"/>
        </w:numPr>
        <w:rPr>
          <w:b/>
          <w:bCs/>
        </w:rPr>
      </w:pPr>
      <w:r w:rsidRPr="00346B8C">
        <w:rPr>
          <w:b/>
          <w:bCs/>
        </w:rPr>
        <w:t xml:space="preserve">Un sous-dossier pour chaque BASSIN/ENTITE portant le nom du BASSIN </w:t>
      </w:r>
      <w:r w:rsidR="009F6BA2" w:rsidRPr="00346B8C">
        <w:rPr>
          <w:b/>
          <w:bCs/>
        </w:rPr>
        <w:t xml:space="preserve">en </w:t>
      </w:r>
      <w:r w:rsidRPr="00346B8C">
        <w:rPr>
          <w:b/>
          <w:bCs/>
        </w:rPr>
        <w:t>MAJUSCULE.</w:t>
      </w:r>
    </w:p>
    <w:p w14:paraId="11F4FF50" w14:textId="4AD9A7FF" w:rsidR="009A1719" w:rsidRDefault="009A1719" w:rsidP="00AF191B">
      <w:pPr>
        <w:pStyle w:val="Paragraphedeliste"/>
        <w:numPr>
          <w:ilvl w:val="0"/>
          <w:numId w:val="1"/>
        </w:numPr>
        <w:rPr>
          <w:b/>
          <w:bCs/>
        </w:rPr>
      </w:pPr>
      <w:r w:rsidRPr="00346B8C">
        <w:rPr>
          <w:b/>
          <w:bCs/>
        </w:rPr>
        <w:t>Un sous-dossier « MAPPING » contenant le mapping de PASS-ALM : « </w:t>
      </w:r>
      <w:r w:rsidRPr="00346B8C">
        <w:rPr>
          <w:b/>
          <w:bCs/>
          <w:lang w:val="en-GB"/>
        </w:rPr>
        <w:t xml:space="preserve">MAPPING_PASS_ALM.xlsx </w:t>
      </w:r>
      <w:r w:rsidRPr="00346B8C">
        <w:rPr>
          <w:b/>
          <w:bCs/>
        </w:rPr>
        <w:t>»</w:t>
      </w:r>
    </w:p>
    <w:p w14:paraId="1B0EAEE4" w14:textId="34D174B7" w:rsidR="002F6236" w:rsidRDefault="002F6236" w:rsidP="00AF191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 sous-dossier « MODELES » contenant les fichiers modèles utilisés</w:t>
      </w:r>
    </w:p>
    <w:p w14:paraId="62776C1E" w14:textId="2FEDCF88" w:rsidR="002F6236" w:rsidRDefault="002F6236" w:rsidP="00AF191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 sous-dossier « RATE_INPUT » contenant les </w:t>
      </w:r>
      <w:r w:rsidR="00F6405D">
        <w:rPr>
          <w:b/>
          <w:bCs/>
        </w:rPr>
        <w:t>fichiers</w:t>
      </w:r>
      <w:r>
        <w:rPr>
          <w:b/>
          <w:bCs/>
        </w:rPr>
        <w:t xml:space="preserve"> de taux (rate, liquidité et </w:t>
      </w:r>
      <w:proofErr w:type="spellStart"/>
      <w:r>
        <w:rPr>
          <w:b/>
          <w:bCs/>
        </w:rPr>
        <w:t>zc</w:t>
      </w:r>
      <w:proofErr w:type="spellEnd"/>
      <w:r>
        <w:rPr>
          <w:b/>
          <w:bCs/>
        </w:rPr>
        <w:t>) utilisés.</w:t>
      </w:r>
    </w:p>
    <w:p w14:paraId="18DEB59F" w14:textId="4775D1CD" w:rsidR="0016255F" w:rsidRPr="00346B8C" w:rsidRDefault="0016255F" w:rsidP="00AF191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Facultatif : Un sous-dossier </w:t>
      </w:r>
      <w:r w:rsidRPr="0016255F">
        <w:rPr>
          <w:b/>
          <w:bCs/>
        </w:rPr>
        <w:t>PARAM_LCR_NSFR</w:t>
      </w:r>
      <w:r>
        <w:rPr>
          <w:b/>
          <w:bCs/>
        </w:rPr>
        <w:t xml:space="preserve"> avec les fichiers </w:t>
      </w:r>
      <w:proofErr w:type="spellStart"/>
      <w:r>
        <w:rPr>
          <w:b/>
          <w:bCs/>
        </w:rPr>
        <w:t>templates</w:t>
      </w:r>
      <w:proofErr w:type="spellEnd"/>
      <w:r>
        <w:rPr>
          <w:b/>
          <w:bCs/>
        </w:rPr>
        <w:t xml:space="preserve"> remplis pour le calcul du NSFR et LCR</w:t>
      </w:r>
    </w:p>
    <w:p w14:paraId="64C936E4" w14:textId="3B89FA1A" w:rsidR="007A714C" w:rsidRPr="00346B8C" w:rsidRDefault="007A714C" w:rsidP="00AF191B">
      <w:pPr>
        <w:pStyle w:val="Paragraphedeliste"/>
        <w:numPr>
          <w:ilvl w:val="0"/>
          <w:numId w:val="1"/>
        </w:numPr>
        <w:rPr>
          <w:b/>
          <w:bCs/>
        </w:rPr>
      </w:pPr>
      <w:r w:rsidRPr="00346B8C">
        <w:rPr>
          <w:b/>
          <w:bCs/>
        </w:rPr>
        <w:t>Dans chaque sous-dossier</w:t>
      </w:r>
      <w:r w:rsidR="00346B8C">
        <w:rPr>
          <w:b/>
          <w:bCs/>
        </w:rPr>
        <w:t xml:space="preserve"> relatif à un BASSIN/ENTITE</w:t>
      </w:r>
      <w:r w:rsidRPr="00346B8C">
        <w:rPr>
          <w:b/>
          <w:bCs/>
        </w:rPr>
        <w:t xml:space="preserve">, les fichiers </w:t>
      </w:r>
      <w:r w:rsidR="00346B8C">
        <w:rPr>
          <w:b/>
          <w:bCs/>
        </w:rPr>
        <w:t>d’entrée doivent avoir</w:t>
      </w:r>
      <w:r w:rsidRPr="00346B8C">
        <w:rPr>
          <w:b/>
          <w:bCs/>
        </w:rPr>
        <w:t xml:space="preserve"> la nomenclature générale suivante :</w:t>
      </w:r>
    </w:p>
    <w:p w14:paraId="675CE194" w14:textId="330A0890" w:rsidR="007A714C" w:rsidRPr="00346B8C" w:rsidRDefault="007A714C" w:rsidP="007A714C">
      <w:pPr>
        <w:pStyle w:val="Paragraphedeliste"/>
        <w:numPr>
          <w:ilvl w:val="1"/>
          <w:numId w:val="1"/>
        </w:numPr>
        <w:rPr>
          <w:b/>
          <w:bCs/>
          <w:color w:val="FF0000"/>
        </w:rPr>
      </w:pPr>
      <w:r w:rsidRPr="00346B8C">
        <w:rPr>
          <w:b/>
          <w:bCs/>
          <w:color w:val="FF0000"/>
        </w:rPr>
        <w:t>[BASSIN/</w:t>
      </w:r>
      <w:proofErr w:type="gramStart"/>
      <w:r w:rsidRPr="00346B8C">
        <w:rPr>
          <w:b/>
          <w:bCs/>
          <w:color w:val="FF0000"/>
        </w:rPr>
        <w:t>ENTITE]_</w:t>
      </w:r>
      <w:proofErr w:type="gramEnd"/>
      <w:r w:rsidR="00AA15C4">
        <w:rPr>
          <w:b/>
          <w:bCs/>
          <w:color w:val="FF0000"/>
        </w:rPr>
        <w:t>[TYPE_PRODUIT]_</w:t>
      </w:r>
      <w:r w:rsidRPr="00346B8C">
        <w:rPr>
          <w:b/>
          <w:bCs/>
          <w:color w:val="FF0000"/>
        </w:rPr>
        <w:t>[DAR :YYYY-MM-DD]_[TYPE-FICHIER].[</w:t>
      </w:r>
      <w:r w:rsidR="009F6BA2" w:rsidRPr="00346B8C">
        <w:rPr>
          <w:b/>
          <w:bCs/>
          <w:color w:val="FF0000"/>
        </w:rPr>
        <w:t>extension</w:t>
      </w:r>
      <w:r w:rsidRPr="00346B8C">
        <w:rPr>
          <w:b/>
          <w:bCs/>
          <w:color w:val="FF0000"/>
        </w:rPr>
        <w:t xml:space="preserve">] </w:t>
      </w:r>
    </w:p>
    <w:p w14:paraId="00635545" w14:textId="6FAE214A" w:rsidR="009F6BA2" w:rsidRDefault="009A1719" w:rsidP="004A385B">
      <w:pPr>
        <w:pStyle w:val="Paragraphedeliste"/>
        <w:numPr>
          <w:ilvl w:val="0"/>
          <w:numId w:val="1"/>
        </w:numPr>
      </w:pPr>
      <w:r>
        <w:t>Les [TYPE-FICHIER] et [</w:t>
      </w:r>
      <w:r w:rsidR="00346B8C">
        <w:t>extension</w:t>
      </w:r>
      <w:r>
        <w:t xml:space="preserve">] varient </w:t>
      </w:r>
      <w:r w:rsidR="009F6BA2">
        <w:t xml:space="preserve">selon </w:t>
      </w:r>
      <w:r>
        <w:t xml:space="preserve">le format auquel appartient le bassin. Il </w:t>
      </w:r>
      <w:r w:rsidR="00346B8C">
        <w:t xml:space="preserve">y a </w:t>
      </w:r>
      <w:r>
        <w:t>cinq types de format : 1. NTX,</w:t>
      </w:r>
      <w:r w:rsidR="004A385B">
        <w:t xml:space="preserve"> </w:t>
      </w:r>
      <w:r>
        <w:t>SEF, 2. CFF, 3. ONEY/SOCFIM, 4. BPCE, 5. RZO</w:t>
      </w:r>
    </w:p>
    <w:p w14:paraId="06D4F1D1" w14:textId="3527CC3D" w:rsidR="004F0D03" w:rsidRPr="00C56EC6" w:rsidRDefault="00627088" w:rsidP="00C56EC6">
      <w:pPr>
        <w:rPr>
          <w:b/>
          <w:bCs/>
        </w:rPr>
      </w:pPr>
      <w:r w:rsidRPr="00F843BD">
        <w:rPr>
          <w:b/>
          <w:bCs/>
        </w:rPr>
        <w:t>Un</w:t>
      </w:r>
      <w:r w:rsidR="007A714C" w:rsidRPr="00F843BD">
        <w:rPr>
          <w:b/>
          <w:bCs/>
        </w:rPr>
        <w:t xml:space="preserve"> exemple d’une telle arborescence pour le 3</w:t>
      </w:r>
      <w:r w:rsidR="00C56EC6">
        <w:rPr>
          <w:b/>
          <w:bCs/>
        </w:rPr>
        <w:t>0</w:t>
      </w:r>
      <w:r w:rsidR="007A714C" w:rsidRPr="00F843BD">
        <w:rPr>
          <w:b/>
          <w:bCs/>
        </w:rPr>
        <w:t>/</w:t>
      </w:r>
      <w:r w:rsidR="00C56EC6">
        <w:rPr>
          <w:b/>
          <w:bCs/>
        </w:rPr>
        <w:t>06</w:t>
      </w:r>
      <w:r w:rsidR="007A714C" w:rsidRPr="00F843BD">
        <w:rPr>
          <w:b/>
          <w:bCs/>
        </w:rPr>
        <w:t>/202</w:t>
      </w:r>
      <w:r w:rsidR="00C56EC6">
        <w:rPr>
          <w:b/>
          <w:bCs/>
        </w:rPr>
        <w:t>3</w:t>
      </w:r>
      <w:r w:rsidR="007A714C" w:rsidRPr="00F843BD">
        <w:rPr>
          <w:b/>
          <w:bCs/>
        </w:rPr>
        <w:t xml:space="preserve"> est la suivante :</w:t>
      </w:r>
    </w:p>
    <w:p w14:paraId="614B8E3B" w14:textId="1102E90E" w:rsidR="00725A15" w:rsidRPr="009D6AA2" w:rsidRDefault="00725A15" w:rsidP="009D6AA2">
      <w:pPr>
        <w:rPr>
          <w:b/>
          <w:bCs/>
          <w:color w:val="000000" w:themeColor="text1"/>
        </w:rPr>
      </w:pPr>
      <w:r w:rsidRPr="009D6AA2">
        <w:rPr>
          <w:rFonts w:ascii="Arial" w:hAnsi="Arial" w:cs="Arial"/>
          <w:b/>
          <w:bCs/>
          <w:color w:val="000000" w:themeColor="text1"/>
        </w:rPr>
        <w:t>├</w:t>
      </w:r>
      <w:r w:rsidRPr="009D6AA2">
        <w:rPr>
          <w:rFonts w:ascii="Calibri" w:hAnsi="Calibri" w:cs="Calibri"/>
          <w:b/>
          <w:bCs/>
          <w:color w:val="000000" w:themeColor="text1"/>
        </w:rPr>
        <w:t>───</w:t>
      </w:r>
      <w:r w:rsidRPr="009D6AA2">
        <w:rPr>
          <w:b/>
          <w:bCs/>
          <w:color w:val="000000" w:themeColor="text1"/>
        </w:rPr>
        <w:t>DATA</w:t>
      </w:r>
    </w:p>
    <w:p w14:paraId="2A9C65D8" w14:textId="77777777" w:rsidR="00725A15" w:rsidRDefault="00725A15" w:rsidP="00725A15">
      <w:r>
        <w:t xml:space="preserve">│   </w:t>
      </w:r>
      <w:r w:rsidRPr="009D6AA2">
        <w:rPr>
          <w:rFonts w:ascii="Arial" w:hAnsi="Arial" w:cs="Arial"/>
          <w:b/>
          <w:bCs/>
          <w:color w:val="C45911" w:themeColor="accent2" w:themeShade="BF"/>
        </w:rPr>
        <w:t>├</w:t>
      </w:r>
      <w:r w:rsidRPr="009D6AA2">
        <w:rPr>
          <w:rFonts w:ascii="Calibri" w:hAnsi="Calibri" w:cs="Calibri"/>
          <w:b/>
          <w:bCs/>
          <w:color w:val="C45911" w:themeColor="accent2" w:themeShade="BF"/>
        </w:rPr>
        <w:t>───</w:t>
      </w:r>
      <w:r w:rsidRPr="009D6AA2">
        <w:rPr>
          <w:b/>
          <w:bCs/>
          <w:color w:val="C45911" w:themeColor="accent2" w:themeShade="BF"/>
        </w:rPr>
        <w:t>BP</w:t>
      </w:r>
    </w:p>
    <w:p w14:paraId="4CFBE556" w14:textId="77777777" w:rsidR="00725A15" w:rsidRDefault="00725A15" w:rsidP="00725A15">
      <w:r>
        <w:t xml:space="preserve">│   </w:t>
      </w:r>
      <w:r w:rsidRPr="009D6AA2">
        <w:rPr>
          <w:b/>
          <w:bCs/>
        </w:rPr>
        <w:t xml:space="preserve">│   </w:t>
      </w:r>
      <w:r w:rsidRPr="009D6AA2">
        <w:rPr>
          <w:rFonts w:ascii="Arial" w:hAnsi="Arial" w:cs="Arial"/>
          <w:b/>
          <w:bCs/>
          <w:color w:val="4472C4" w:themeColor="accent1"/>
        </w:rPr>
        <w:t>├</w:t>
      </w:r>
      <w:r w:rsidRPr="009D6AA2">
        <w:rPr>
          <w:rFonts w:ascii="Calibri" w:hAnsi="Calibri" w:cs="Calibri"/>
          <w:b/>
          <w:bCs/>
          <w:color w:val="4472C4" w:themeColor="accent1"/>
        </w:rPr>
        <w:t>───</w:t>
      </w:r>
      <w:r w:rsidRPr="009D6AA2">
        <w:rPr>
          <w:b/>
          <w:bCs/>
          <w:color w:val="4472C4" w:themeColor="accent1"/>
        </w:rPr>
        <w:t>ALIM_STOCK</w:t>
      </w:r>
    </w:p>
    <w:p w14:paraId="7699F439" w14:textId="77777777" w:rsidR="00725A15" w:rsidRDefault="00725A15" w:rsidP="00725A15">
      <w:r>
        <w:t>│   │   │       BP_2023-06-30_GAP-LIQ-DYN.tab</w:t>
      </w:r>
    </w:p>
    <w:p w14:paraId="0B3B22B3" w14:textId="77777777" w:rsidR="00725A15" w:rsidRDefault="00725A15" w:rsidP="00725A15">
      <w:r>
        <w:lastRenderedPageBreak/>
        <w:t>│   │   │       BP_2023-06-30_GAP-LIQ-EF.tab</w:t>
      </w:r>
    </w:p>
    <w:p w14:paraId="76AEE765" w14:textId="77777777" w:rsidR="00725A15" w:rsidRDefault="00725A15" w:rsidP="00725A15">
      <w:r>
        <w:t>│   │   │       BP_2023-06-30_GAP-LIQ-EM.tab</w:t>
      </w:r>
    </w:p>
    <w:p w14:paraId="2EEFFAA3" w14:textId="77777777" w:rsidR="00725A15" w:rsidRDefault="00725A15" w:rsidP="00725A15">
      <w:r>
        <w:t>│   │   │       BP_2023-06-30_GAP-TX-EF.tab</w:t>
      </w:r>
    </w:p>
    <w:p w14:paraId="476F1D40" w14:textId="77777777" w:rsidR="00725A15" w:rsidRDefault="00725A15" w:rsidP="00725A15">
      <w:r>
        <w:t>│   │   │       BP_2023-06-30_GAP-TX-EM.tab</w:t>
      </w:r>
    </w:p>
    <w:p w14:paraId="0CC1F885" w14:textId="77777777" w:rsidR="00725A15" w:rsidRDefault="00725A15" w:rsidP="00725A15">
      <w:r>
        <w:t>│   │   │       BP_2023-06-30_MNI-EVE.tab</w:t>
      </w:r>
    </w:p>
    <w:p w14:paraId="0867B8BF" w14:textId="77777777" w:rsidR="00725A15" w:rsidRDefault="00725A15" w:rsidP="00725A15">
      <w:r>
        <w:t>│   │   │       BP_2023-06-30_MNI-LIQ-DYN.tab</w:t>
      </w:r>
    </w:p>
    <w:p w14:paraId="0E27343B" w14:textId="77777777" w:rsidR="00725A15" w:rsidRDefault="00725A15" w:rsidP="00725A15">
      <w:r>
        <w:t>│   │   │       BP_2023-06-30_MNI-LIQ.tab</w:t>
      </w:r>
    </w:p>
    <w:p w14:paraId="2F366140" w14:textId="77777777" w:rsidR="00725A15" w:rsidRDefault="00725A15" w:rsidP="00725A15">
      <w:r>
        <w:t>│   │   │</w:t>
      </w:r>
    </w:p>
    <w:p w14:paraId="3F28C572" w14:textId="16986E76" w:rsidR="00725A15" w:rsidRPr="00E20078" w:rsidRDefault="00725A15" w:rsidP="00725A15">
      <w:r w:rsidRPr="00E20078">
        <w:t>│   │   BP_CAP-FLOOR_2023-06-30_CF.tab</w:t>
      </w:r>
    </w:p>
    <w:p w14:paraId="1A2B6DF9" w14:textId="39EA3BFA" w:rsidR="00725A15" w:rsidRPr="00E20078" w:rsidRDefault="00725A15" w:rsidP="00725A15">
      <w:r w:rsidRPr="00E20078">
        <w:t>│   │   BP_CAP-FLOOR_2023-06-30_LDP.tab</w:t>
      </w:r>
    </w:p>
    <w:p w14:paraId="72101364" w14:textId="5EE45227" w:rsidR="00725A15" w:rsidRPr="003C4398" w:rsidRDefault="00725A15" w:rsidP="00725A15">
      <w:r w:rsidRPr="003C4398">
        <w:t>│   │   BP_CR-EQ-TV_2023-06-30_CF.tab</w:t>
      </w:r>
    </w:p>
    <w:p w14:paraId="6DC4E4BA" w14:textId="6A0BB9D0" w:rsidR="00725A15" w:rsidRPr="00947D3D" w:rsidRDefault="00725A15" w:rsidP="00725A15">
      <w:pPr>
        <w:rPr>
          <w:lang w:val="en-US"/>
        </w:rPr>
      </w:pPr>
      <w:r w:rsidRPr="00947D3D">
        <w:rPr>
          <w:lang w:val="en-US"/>
        </w:rPr>
        <w:t>│   │   BP_CR-EQ-TV_2023-06-30_LDP.tab</w:t>
      </w:r>
    </w:p>
    <w:p w14:paraId="3587A816" w14:textId="78308A17" w:rsidR="00725A15" w:rsidRPr="00947D3D" w:rsidRDefault="00725A15" w:rsidP="00725A15">
      <w:pPr>
        <w:rPr>
          <w:lang w:val="en-US"/>
        </w:rPr>
      </w:pPr>
      <w:r w:rsidRPr="00947D3D">
        <w:rPr>
          <w:lang w:val="en-US"/>
        </w:rPr>
        <w:t>│   │   BP_CR-EQ-TV_2023-06-30_PAL.tab</w:t>
      </w:r>
    </w:p>
    <w:p w14:paraId="463DF8BA" w14:textId="792E9215" w:rsidR="00725A15" w:rsidRPr="00947D3D" w:rsidRDefault="00725A15" w:rsidP="00725A15">
      <w:pPr>
        <w:rPr>
          <w:lang w:val="en-US"/>
        </w:rPr>
      </w:pPr>
      <w:r w:rsidRPr="00947D3D">
        <w:rPr>
          <w:lang w:val="en-US"/>
        </w:rPr>
        <w:t>│   │   BP_CR-IMMO-TF_2023-06-30_CF.tab</w:t>
      </w:r>
    </w:p>
    <w:p w14:paraId="527BCFFC" w14:textId="4625E06B" w:rsidR="00725A15" w:rsidRPr="00947D3D" w:rsidRDefault="00725A15" w:rsidP="00725A15">
      <w:pPr>
        <w:rPr>
          <w:lang w:val="en-US"/>
        </w:rPr>
      </w:pPr>
      <w:r w:rsidRPr="00947D3D">
        <w:rPr>
          <w:lang w:val="en-US"/>
        </w:rPr>
        <w:t>│   │   BP_CR-IMMO-TF_2023-06-30_LDP.tab</w:t>
      </w:r>
    </w:p>
    <w:p w14:paraId="72E6DD45" w14:textId="361F524C" w:rsidR="00725A15" w:rsidRPr="00947D3D" w:rsidRDefault="00725A15" w:rsidP="00725A15">
      <w:pPr>
        <w:rPr>
          <w:lang w:val="en-US"/>
        </w:rPr>
      </w:pPr>
      <w:r w:rsidRPr="00947D3D">
        <w:rPr>
          <w:lang w:val="en-US"/>
        </w:rPr>
        <w:t>│   │   BP_CR-IMMO-TF_2023-06-30_PAL.tab</w:t>
      </w:r>
    </w:p>
    <w:p w14:paraId="4819E482" w14:textId="77777777" w:rsidR="00725A15" w:rsidRPr="003C4398" w:rsidRDefault="00725A15" w:rsidP="00725A15">
      <w:pPr>
        <w:rPr>
          <w:lang w:val="en-US"/>
        </w:rPr>
      </w:pPr>
      <w:r w:rsidRPr="003C4398">
        <w:rPr>
          <w:lang w:val="en-US"/>
        </w:rPr>
        <w:lastRenderedPageBreak/>
        <w:t>│   │   │   │</w:t>
      </w:r>
    </w:p>
    <w:p w14:paraId="417F6A1E" w14:textId="77777777" w:rsidR="00725A15" w:rsidRPr="003C4398" w:rsidRDefault="00725A15" w:rsidP="00725A15">
      <w:pPr>
        <w:rPr>
          <w:lang w:val="en-US"/>
        </w:rPr>
      </w:pPr>
      <w:r w:rsidRPr="003C4398">
        <w:rPr>
          <w:lang w:val="en-US"/>
        </w:rPr>
        <w:t xml:space="preserve">│   │   </w:t>
      </w:r>
      <w:r w:rsidRPr="003C4398">
        <w:rPr>
          <w:color w:val="4472C4" w:themeColor="accent1"/>
          <w:lang w:val="en-US"/>
        </w:rPr>
        <w:t>└───PN</w:t>
      </w:r>
    </w:p>
    <w:p w14:paraId="5016DA4A" w14:textId="77777777" w:rsidR="00725A15" w:rsidRPr="003C4398" w:rsidRDefault="00725A15" w:rsidP="00725A15">
      <w:pPr>
        <w:rPr>
          <w:lang w:val="en-US"/>
        </w:rPr>
      </w:pPr>
      <w:r w:rsidRPr="003C4398">
        <w:rPr>
          <w:lang w:val="en-US"/>
        </w:rPr>
        <w:t xml:space="preserve">│   │       </w:t>
      </w:r>
      <w:r w:rsidRPr="003C4398">
        <w:rPr>
          <w:rFonts w:ascii="Arial" w:hAnsi="Arial" w:cs="Arial"/>
          <w:b/>
          <w:bCs/>
          <w:color w:val="A8D08D" w:themeColor="accent6" w:themeTint="99"/>
          <w:lang w:val="en-US"/>
        </w:rPr>
        <w:t>├</w:t>
      </w:r>
      <w:r w:rsidRPr="003C4398">
        <w:rPr>
          <w:rFonts w:ascii="Calibri" w:hAnsi="Calibri" w:cs="Calibri"/>
          <w:b/>
          <w:bCs/>
          <w:color w:val="A8D08D" w:themeColor="accent6" w:themeTint="99"/>
          <w:lang w:val="en-US"/>
        </w:rPr>
        <w:t>───</w:t>
      </w:r>
      <w:r w:rsidRPr="003C4398">
        <w:rPr>
          <w:b/>
          <w:bCs/>
          <w:color w:val="A8D08D" w:themeColor="accent6" w:themeTint="99"/>
          <w:lang w:val="en-US"/>
        </w:rPr>
        <w:t>PN-ECH</w:t>
      </w:r>
    </w:p>
    <w:p w14:paraId="17C1171C" w14:textId="77777777" w:rsidR="00725A15" w:rsidRPr="003C4398" w:rsidRDefault="00725A15" w:rsidP="00725A15">
      <w:pPr>
        <w:rPr>
          <w:lang w:val="en-US"/>
        </w:rPr>
      </w:pPr>
      <w:r w:rsidRPr="003C4398">
        <w:rPr>
          <w:lang w:val="en-US"/>
        </w:rPr>
        <w:t>│   │       │       BP_PN-ECH_2023-06-30_ENCOURS.tab</w:t>
      </w:r>
    </w:p>
    <w:p w14:paraId="65A058EC" w14:textId="77777777" w:rsidR="00725A15" w:rsidRPr="003C4398" w:rsidRDefault="00725A15" w:rsidP="00725A15">
      <w:pPr>
        <w:rPr>
          <w:lang w:val="en-US"/>
        </w:rPr>
      </w:pPr>
      <w:r w:rsidRPr="003C4398">
        <w:rPr>
          <w:lang w:val="en-US"/>
        </w:rPr>
        <w:t>│   │       │       BP_PN-ECH_2023-06-30_MARGES.tab</w:t>
      </w:r>
    </w:p>
    <w:p w14:paraId="04D90FE6" w14:textId="77777777" w:rsidR="006F0D8C" w:rsidRPr="003C4398" w:rsidRDefault="006F0D8C" w:rsidP="006F0D8C">
      <w:pPr>
        <w:rPr>
          <w:lang w:val="en-US"/>
        </w:rPr>
      </w:pPr>
      <w:r w:rsidRPr="003C4398">
        <w:rPr>
          <w:lang w:val="en-US"/>
        </w:rPr>
        <w:t>│   │       │</w:t>
      </w:r>
    </w:p>
    <w:p w14:paraId="16438FF2" w14:textId="6859FFFF" w:rsidR="006F0D8C" w:rsidRPr="003C4398" w:rsidRDefault="006F0D8C" w:rsidP="006F0D8C">
      <w:pPr>
        <w:rPr>
          <w:lang w:val="en-US"/>
        </w:rPr>
      </w:pPr>
      <w:r w:rsidRPr="003C4398">
        <w:rPr>
          <w:lang w:val="en-US"/>
        </w:rPr>
        <w:t xml:space="preserve">│   │       </w:t>
      </w:r>
      <w:r w:rsidRPr="003C4398">
        <w:rPr>
          <w:b/>
          <w:bCs/>
          <w:color w:val="A8D08D" w:themeColor="accent6" w:themeTint="99"/>
          <w:lang w:val="en-US"/>
        </w:rPr>
        <w:t>└───PN-NMD</w:t>
      </w:r>
    </w:p>
    <w:p w14:paraId="38F602E4" w14:textId="4F504835" w:rsidR="006F0D8C" w:rsidRPr="003C4398" w:rsidRDefault="006F0D8C" w:rsidP="006F0D8C">
      <w:pPr>
        <w:rPr>
          <w:lang w:val="en-US"/>
        </w:rPr>
      </w:pPr>
      <w:r w:rsidRPr="003C4398">
        <w:rPr>
          <w:lang w:val="en-US"/>
        </w:rPr>
        <w:t>│   │               BP_</w:t>
      </w:r>
      <w:r w:rsidR="004F0A45" w:rsidRPr="003C4398">
        <w:rPr>
          <w:lang w:val="en-US"/>
        </w:rPr>
        <w:t>PN-NMD_</w:t>
      </w:r>
      <w:r w:rsidRPr="003C4398">
        <w:rPr>
          <w:lang w:val="en-US"/>
        </w:rPr>
        <w:t>2023-06-30_MARGE-INDEX.tab</w:t>
      </w:r>
    </w:p>
    <w:p w14:paraId="55EEF1E5" w14:textId="24D8BB31" w:rsidR="00567D5A" w:rsidRDefault="00567D5A" w:rsidP="006F0D8C">
      <w:r>
        <w:t xml:space="preserve">│   │               </w:t>
      </w:r>
      <w:r w:rsidRPr="00567D5A">
        <w:t>BP_PN-NMD_202</w:t>
      </w:r>
      <w:r w:rsidR="00947D3D">
        <w:t>3</w:t>
      </w:r>
      <w:r w:rsidRPr="00567D5A">
        <w:t>-0</w:t>
      </w:r>
      <w:r w:rsidR="00947D3D">
        <w:t>6</w:t>
      </w:r>
      <w:r w:rsidRPr="00567D5A">
        <w:t>-30_ENCOURS-CIBLE.tab</w:t>
      </w:r>
    </w:p>
    <w:p w14:paraId="7F74E82C" w14:textId="777777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>│</w:t>
      </w:r>
    </w:p>
    <w:p w14:paraId="42FBE881" w14:textId="77777777" w:rsidR="00725A15" w:rsidRPr="009D6AA2" w:rsidRDefault="00725A15" w:rsidP="00725A15">
      <w:pPr>
        <w:rPr>
          <w:b/>
          <w:bCs/>
          <w:lang w:val="en-US"/>
        </w:rPr>
      </w:pPr>
      <w:r w:rsidRPr="009D6AA2">
        <w:rPr>
          <w:rFonts w:ascii="Arial" w:hAnsi="Arial" w:cs="Arial"/>
          <w:b/>
          <w:bCs/>
          <w:lang w:val="en-US"/>
        </w:rPr>
        <w:t>├</w:t>
      </w:r>
      <w:r w:rsidRPr="009D6AA2">
        <w:rPr>
          <w:rFonts w:ascii="Calibri" w:hAnsi="Calibri" w:cs="Calibri"/>
          <w:b/>
          <w:bCs/>
          <w:lang w:val="en-US"/>
        </w:rPr>
        <w:t>───</w:t>
      </w:r>
      <w:r w:rsidRPr="009D6AA2">
        <w:rPr>
          <w:b/>
          <w:bCs/>
          <w:lang w:val="en-US"/>
        </w:rPr>
        <w:t>MAPPING</w:t>
      </w:r>
    </w:p>
    <w:p w14:paraId="551374E7" w14:textId="777777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>│       MAPPING_PASS_ALM.xlsx</w:t>
      </w:r>
    </w:p>
    <w:p w14:paraId="5CBDDC1E" w14:textId="777777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>│</w:t>
      </w:r>
    </w:p>
    <w:p w14:paraId="7AB24004" w14:textId="77777777" w:rsidR="00725A15" w:rsidRPr="009D6AA2" w:rsidRDefault="00725A15" w:rsidP="00725A15">
      <w:pPr>
        <w:rPr>
          <w:b/>
          <w:bCs/>
          <w:lang w:val="en-US"/>
        </w:rPr>
      </w:pPr>
      <w:r w:rsidRPr="009D6AA2">
        <w:rPr>
          <w:rFonts w:ascii="Arial" w:hAnsi="Arial" w:cs="Arial"/>
          <w:b/>
          <w:bCs/>
          <w:lang w:val="en-US"/>
        </w:rPr>
        <w:t>├</w:t>
      </w:r>
      <w:r w:rsidRPr="009D6AA2">
        <w:rPr>
          <w:rFonts w:ascii="Calibri" w:hAnsi="Calibri" w:cs="Calibri"/>
          <w:b/>
          <w:bCs/>
          <w:lang w:val="en-US"/>
        </w:rPr>
        <w:t>───</w:t>
      </w:r>
      <w:r w:rsidRPr="009D6AA2">
        <w:rPr>
          <w:b/>
          <w:bCs/>
          <w:lang w:val="en-US"/>
        </w:rPr>
        <w:t>MODELES</w:t>
      </w:r>
    </w:p>
    <w:p w14:paraId="1F3AFF3C" w14:textId="777777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>│   │   MODELES_ECH_2023-06-30.xlsx</w:t>
      </w:r>
    </w:p>
    <w:p w14:paraId="355E5E64" w14:textId="777777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>│   │   MODELES_PEL_2023-06-30.xlsx</w:t>
      </w:r>
    </w:p>
    <w:p w14:paraId="2D101B88" w14:textId="77777777" w:rsidR="00725A15" w:rsidRPr="00E20078" w:rsidRDefault="00725A15" w:rsidP="00725A15">
      <w:pPr>
        <w:rPr>
          <w:lang w:val="en-US"/>
        </w:rPr>
      </w:pPr>
      <w:r w:rsidRPr="00E20078">
        <w:rPr>
          <w:lang w:val="en-US"/>
        </w:rPr>
        <w:lastRenderedPageBreak/>
        <w:t>│</w:t>
      </w:r>
    </w:p>
    <w:p w14:paraId="5DFCF3C4" w14:textId="77777777" w:rsidR="00725A15" w:rsidRPr="009D6AA2" w:rsidRDefault="00725A15" w:rsidP="00725A15">
      <w:pPr>
        <w:rPr>
          <w:b/>
          <w:bCs/>
          <w:lang w:val="en-US"/>
        </w:rPr>
      </w:pPr>
      <w:r w:rsidRPr="009D6AA2">
        <w:rPr>
          <w:b/>
          <w:bCs/>
          <w:lang w:val="en-US"/>
        </w:rPr>
        <w:t>└───RATE_INPUT</w:t>
      </w:r>
    </w:p>
    <w:p w14:paraId="4C208B5B" w14:textId="36D12F77" w:rsidR="00725A15" w:rsidRPr="00725A15" w:rsidRDefault="00725A15" w:rsidP="00725A15">
      <w:pPr>
        <w:rPr>
          <w:lang w:val="en-US"/>
        </w:rPr>
      </w:pPr>
      <w:r w:rsidRPr="00725A15">
        <w:rPr>
          <w:lang w:val="en-US"/>
        </w:rPr>
        <w:t xml:space="preserve">        LIQ_INPUT_USER_20230630.</w:t>
      </w:r>
      <w:r w:rsidR="00947D3D">
        <w:rPr>
          <w:lang w:val="en-US"/>
        </w:rPr>
        <w:t>csv</w:t>
      </w:r>
    </w:p>
    <w:p w14:paraId="2EDD12B3" w14:textId="69D4B8BE" w:rsidR="00725A15" w:rsidRDefault="00725A15" w:rsidP="00725A15">
      <w:pPr>
        <w:rPr>
          <w:lang w:val="en-US"/>
        </w:rPr>
      </w:pPr>
      <w:r w:rsidRPr="00725A15">
        <w:rPr>
          <w:lang w:val="en-US"/>
        </w:rPr>
        <w:t xml:space="preserve">        RATE_INPUT_USER_v5.1_20230630_MKT_IR_DATA_v3.</w:t>
      </w:r>
      <w:r w:rsidR="00947D3D">
        <w:rPr>
          <w:lang w:val="en-US"/>
        </w:rPr>
        <w:t>csv</w:t>
      </w:r>
    </w:p>
    <w:p w14:paraId="38E481A7" w14:textId="476011F3" w:rsidR="00947D3D" w:rsidRPr="00725A15" w:rsidRDefault="00947D3D" w:rsidP="00725A15">
      <w:pPr>
        <w:rPr>
          <w:lang w:val="en-US"/>
        </w:rPr>
      </w:pPr>
      <w:r>
        <w:rPr>
          <w:lang w:val="en-US"/>
        </w:rPr>
        <w:t xml:space="preserve">        </w:t>
      </w:r>
      <w:r w:rsidRPr="00947D3D">
        <w:rPr>
          <w:lang w:val="en-US"/>
        </w:rPr>
        <w:t>RATE-INPUT-TCI_2024-09-30.csv</w:t>
      </w:r>
    </w:p>
    <w:p w14:paraId="7C801748" w14:textId="3FBAE55D" w:rsidR="0016255F" w:rsidRPr="00E20078" w:rsidRDefault="00725A15" w:rsidP="00725A15">
      <w:pPr>
        <w:rPr>
          <w:lang w:val="en-US"/>
        </w:rPr>
      </w:pPr>
      <w:r w:rsidRPr="00E20078">
        <w:rPr>
          <w:lang w:val="en-US"/>
        </w:rPr>
        <w:t xml:space="preserve">        ZC_TEMPLATE_v5.1_20230331.</w:t>
      </w:r>
      <w:r w:rsidR="00947D3D">
        <w:rPr>
          <w:lang w:val="en-US"/>
        </w:rPr>
        <w:t>csv</w:t>
      </w:r>
    </w:p>
    <w:p w14:paraId="3187C866" w14:textId="77777777" w:rsidR="009D6AA2" w:rsidRPr="00E20078" w:rsidRDefault="009D6AA2" w:rsidP="009D6AA2">
      <w:pPr>
        <w:rPr>
          <w:b/>
          <w:bCs/>
          <w:lang w:val="en-US"/>
        </w:rPr>
      </w:pPr>
      <w:r w:rsidRPr="00E20078">
        <w:rPr>
          <w:lang w:val="en-US"/>
        </w:rPr>
        <w:t>└───</w:t>
      </w:r>
      <w:r w:rsidRPr="00E20078">
        <w:rPr>
          <w:b/>
          <w:bCs/>
          <w:lang w:val="en-US"/>
        </w:rPr>
        <w:t>PARAM_LCR_NSFR</w:t>
      </w:r>
    </w:p>
    <w:p w14:paraId="411FC37A" w14:textId="77777777" w:rsidR="009D6AA2" w:rsidRDefault="009D6AA2" w:rsidP="009D6AA2">
      <w:pPr>
        <w:rPr>
          <w:lang w:val="pt-PT"/>
        </w:rPr>
      </w:pPr>
      <w:r w:rsidRPr="00E20078">
        <w:rPr>
          <w:lang w:val="en-US"/>
        </w:rPr>
        <w:t xml:space="preserve">        </w:t>
      </w:r>
      <w:r w:rsidRPr="0016255F">
        <w:rPr>
          <w:lang w:val="pt-PT"/>
        </w:rPr>
        <w:t>LCR_DAR_2021-</w:t>
      </w:r>
      <w:r>
        <w:rPr>
          <w:lang w:val="pt-PT"/>
        </w:rPr>
        <w:t>12</w:t>
      </w:r>
      <w:r w:rsidRPr="0016255F">
        <w:rPr>
          <w:lang w:val="pt-PT"/>
        </w:rPr>
        <w:t>-</w:t>
      </w:r>
      <w:r>
        <w:rPr>
          <w:lang w:val="pt-PT"/>
        </w:rPr>
        <w:t>31</w:t>
      </w:r>
      <w:r w:rsidRPr="0016255F">
        <w:rPr>
          <w:lang w:val="pt-PT"/>
        </w:rPr>
        <w:t>.xlsx</w:t>
      </w:r>
    </w:p>
    <w:p w14:paraId="7A9AF1AA" w14:textId="77777777" w:rsidR="009D6AA2" w:rsidRPr="0016255F" w:rsidRDefault="009D6AA2" w:rsidP="009D6AA2">
      <w:pPr>
        <w:rPr>
          <w:lang w:val="pt-PT"/>
        </w:rPr>
      </w:pPr>
      <w:r w:rsidRPr="0016255F">
        <w:rPr>
          <w:lang w:val="pt-PT"/>
        </w:rPr>
        <w:t xml:space="preserve">        </w:t>
      </w:r>
      <w:r>
        <w:rPr>
          <w:lang w:val="pt-PT"/>
        </w:rPr>
        <w:t>NSFR</w:t>
      </w:r>
      <w:r w:rsidRPr="0016255F">
        <w:rPr>
          <w:lang w:val="pt-PT"/>
        </w:rPr>
        <w:t>_DAR_2021-</w:t>
      </w:r>
      <w:r>
        <w:rPr>
          <w:lang w:val="pt-PT"/>
        </w:rPr>
        <w:t>12</w:t>
      </w:r>
      <w:r w:rsidRPr="0016255F">
        <w:rPr>
          <w:lang w:val="pt-PT"/>
        </w:rPr>
        <w:t>-</w:t>
      </w:r>
      <w:r>
        <w:rPr>
          <w:lang w:val="pt-PT"/>
        </w:rPr>
        <w:t>31</w:t>
      </w:r>
      <w:r w:rsidRPr="0016255F">
        <w:rPr>
          <w:lang w:val="pt-PT"/>
        </w:rPr>
        <w:t>.xlsx</w:t>
      </w:r>
    </w:p>
    <w:p w14:paraId="2535F880" w14:textId="77777777" w:rsidR="009D6AA2" w:rsidRPr="005138DC" w:rsidRDefault="009D6AA2" w:rsidP="009D6AA2">
      <w:pPr>
        <w:rPr>
          <w:lang w:val="pt-PT"/>
        </w:rPr>
      </w:pPr>
      <w:r w:rsidRPr="0016255F">
        <w:rPr>
          <w:lang w:val="pt-PT"/>
        </w:rPr>
        <w:t xml:space="preserve">        </w:t>
      </w:r>
      <w:r w:rsidRPr="005138DC">
        <w:rPr>
          <w:lang w:val="pt-PT"/>
        </w:rPr>
        <w:t>MODE_CALC_2021-12-31.xlsx</w:t>
      </w:r>
    </w:p>
    <w:p w14:paraId="228B1627" w14:textId="77777777" w:rsidR="009D6AA2" w:rsidRDefault="009D6AA2" w:rsidP="009D6AA2">
      <w:pPr>
        <w:rPr>
          <w:lang w:val="pt-PT"/>
        </w:rPr>
      </w:pPr>
      <w:r w:rsidRPr="005138DC">
        <w:rPr>
          <w:lang w:val="pt-PT"/>
        </w:rPr>
        <w:t xml:space="preserve">        NSFR_COEFF_HISTO_2021-</w:t>
      </w:r>
      <w:r>
        <w:rPr>
          <w:lang w:val="pt-PT"/>
        </w:rPr>
        <w:t>12</w:t>
      </w:r>
      <w:r w:rsidRPr="005138DC">
        <w:rPr>
          <w:lang w:val="pt-PT"/>
        </w:rPr>
        <w:t>-3</w:t>
      </w:r>
      <w:r>
        <w:rPr>
          <w:lang w:val="pt-PT"/>
        </w:rPr>
        <w:t>1</w:t>
      </w:r>
      <w:r w:rsidRPr="005138DC">
        <w:rPr>
          <w:lang w:val="pt-PT"/>
        </w:rPr>
        <w:t>.xlsx</w:t>
      </w:r>
    </w:p>
    <w:p w14:paraId="0E3DBCE7" w14:textId="7FFDED6F" w:rsidR="0016255F" w:rsidRDefault="009D6AA2" w:rsidP="00947D3D">
      <w:r>
        <w:rPr>
          <w:lang w:val="pt-PT"/>
        </w:rPr>
        <w:t xml:space="preserve">       </w:t>
      </w:r>
      <w:r w:rsidRPr="0037789B">
        <w:t>PARAM_LCR_SPEC_2021-12-31.xlsx</w:t>
      </w:r>
    </w:p>
    <w:p w14:paraId="03D3BD50" w14:textId="77777777" w:rsidR="00AA15C4" w:rsidRDefault="00AA15C4" w:rsidP="007A714C"/>
    <w:p w14:paraId="04137931" w14:textId="77777777" w:rsidR="00C56EC6" w:rsidRDefault="00C56EC6" w:rsidP="00C56EC6">
      <w:pPr>
        <w:rPr>
          <w:b/>
          <w:bCs/>
        </w:rPr>
      </w:pPr>
      <w:r w:rsidRPr="004F0D03">
        <w:rPr>
          <w:b/>
          <w:bCs/>
        </w:rPr>
        <w:t>Pour les RZO, l’absence d’un des fichiers de données dynamique (de type « -DYN » et « PN- ») entraînera une alimentation en statique.</w:t>
      </w:r>
    </w:p>
    <w:p w14:paraId="7A1D0824" w14:textId="32B0D4DE" w:rsidR="00C56EC6" w:rsidRPr="004F0D03" w:rsidRDefault="00C56EC6" w:rsidP="00466DA0">
      <w:pPr>
        <w:jc w:val="both"/>
      </w:pPr>
      <w:r>
        <w:t>P</w:t>
      </w:r>
      <w:r w:rsidR="00466DA0">
        <w:t>our</w:t>
      </w:r>
      <w:r>
        <w:t xml:space="preserve"> BPCE</w:t>
      </w:r>
      <w:r w:rsidR="00AA15C4">
        <w:t xml:space="preserve"> SA</w:t>
      </w:r>
      <w:r>
        <w:t>, l’absence d’au maximum 2 sous-entités n’est pas bloquante pour le traitement. Idem pour l’absence des fichiers de taux de change.</w:t>
      </w:r>
    </w:p>
    <w:p w14:paraId="46CE47E3" w14:textId="77777777" w:rsidR="00C56EC6" w:rsidRDefault="00C56EC6" w:rsidP="00466DA0">
      <w:pPr>
        <w:jc w:val="both"/>
      </w:pPr>
      <w:r>
        <w:lastRenderedPageBreak/>
        <w:t>Si un fichier n’est pas trouvé par le programme, le programme signalera le chemin et le nom du fichier manquant, charge à l’utilisateur de le renommer selon la nomenclature du schéma précédent.</w:t>
      </w:r>
    </w:p>
    <w:p w14:paraId="082EBCF3" w14:textId="77777777" w:rsidR="00C56EC6" w:rsidRPr="004F0D03" w:rsidRDefault="00C56EC6" w:rsidP="007A714C"/>
    <w:sectPr w:rsidR="00C56EC6" w:rsidRPr="004F0D03" w:rsidSect="00627088">
      <w:head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D01" w14:textId="77777777" w:rsidR="00ED19CA" w:rsidRDefault="00ED19CA" w:rsidP="00257EFF">
      <w:pPr>
        <w:spacing w:after="0" w:line="240" w:lineRule="auto"/>
      </w:pPr>
      <w:r>
        <w:separator/>
      </w:r>
    </w:p>
  </w:endnote>
  <w:endnote w:type="continuationSeparator" w:id="0">
    <w:p w14:paraId="3BC0B39D" w14:textId="77777777" w:rsidR="00ED19CA" w:rsidRDefault="00ED19CA" w:rsidP="0025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9BE6" w14:textId="77777777" w:rsidR="00ED19CA" w:rsidRDefault="00ED19CA" w:rsidP="00257EFF">
      <w:pPr>
        <w:spacing w:after="0" w:line="240" w:lineRule="auto"/>
      </w:pPr>
      <w:r>
        <w:separator/>
      </w:r>
    </w:p>
  </w:footnote>
  <w:footnote w:type="continuationSeparator" w:id="0">
    <w:p w14:paraId="30571872" w14:textId="77777777" w:rsidR="00ED19CA" w:rsidRDefault="00ED19CA" w:rsidP="0025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6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13"/>
      <w:gridCol w:w="5522"/>
      <w:gridCol w:w="2925"/>
    </w:tblGrid>
    <w:tr w:rsidR="00257EFF" w14:paraId="7417F93F" w14:textId="77777777" w:rsidTr="00257EFF">
      <w:trPr>
        <w:cantSplit/>
        <w:trHeight w:val="699"/>
        <w:jc w:val="center"/>
      </w:trPr>
      <w:tc>
        <w:tcPr>
          <w:tcW w:w="381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F85AA0" w14:textId="77777777" w:rsidR="00257EFF" w:rsidRPr="00667A02" w:rsidRDefault="00257EFF" w:rsidP="00257EFF">
          <w:pPr>
            <w:jc w:val="center"/>
            <w:rPr>
              <w:rFonts w:cstheme="minorHAnsi"/>
              <w:sz w:val="20"/>
              <w:szCs w:val="20"/>
            </w:rPr>
          </w:pPr>
          <w:r w:rsidRPr="00667A02">
            <w:rPr>
              <w:rFonts w:cstheme="minorHAnsi"/>
              <w:noProof/>
              <w:sz w:val="20"/>
              <w:szCs w:val="20"/>
              <w:lang w:eastAsia="fr-FR"/>
            </w:rPr>
            <w:drawing>
              <wp:inline distT="0" distB="0" distL="0" distR="0" wp14:anchorId="660404ED" wp14:editId="433DF587">
                <wp:extent cx="1530350" cy="463550"/>
                <wp:effectExtent l="0" t="0" r="0" b="0"/>
                <wp:docPr id="6" name="Image 6" descr="RVB_BPCE_10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VB_BPCE_10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729" t="13882" r="3032" b="15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pct10" w:color="auto" w:fill="auto"/>
          <w:vAlign w:val="center"/>
        </w:tcPr>
        <w:p w14:paraId="386008B8" w14:textId="77777777" w:rsidR="005026B6" w:rsidRDefault="00257EFF" w:rsidP="00257EFF">
          <w:pPr>
            <w:jc w:val="center"/>
            <w:rPr>
              <w:rFonts w:cstheme="minorHAnsi"/>
              <w:b/>
              <w:sz w:val="28"/>
              <w:szCs w:val="28"/>
            </w:rPr>
          </w:pPr>
          <w:r w:rsidRPr="00257EFF">
            <w:rPr>
              <w:rFonts w:cstheme="minorHAnsi"/>
              <w:b/>
              <w:sz w:val="28"/>
              <w:szCs w:val="28"/>
            </w:rPr>
            <w:t>DOCUMENTATION PASS-ALM </w:t>
          </w:r>
        </w:p>
        <w:p w14:paraId="36B975C8" w14:textId="14D7DDAE" w:rsidR="00257EFF" w:rsidRPr="00257EFF" w:rsidRDefault="00257EFF" w:rsidP="00257EFF">
          <w:pPr>
            <w:jc w:val="center"/>
            <w:rPr>
              <w:rFonts w:cstheme="minorHAnsi"/>
              <w:b/>
              <w:sz w:val="28"/>
              <w:szCs w:val="28"/>
            </w:rPr>
          </w:pPr>
          <w:r w:rsidRPr="00257EFF">
            <w:rPr>
              <w:rFonts w:cstheme="minorHAnsi"/>
              <w:b/>
              <w:sz w:val="28"/>
              <w:szCs w:val="28"/>
            </w:rPr>
            <w:t>BRIQUE ALIM</w:t>
          </w:r>
        </w:p>
      </w:tc>
      <w:tc>
        <w:tcPr>
          <w:tcW w:w="292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3E84257" w14:textId="77777777" w:rsidR="00257EFF" w:rsidRPr="000A25FB" w:rsidRDefault="00257EFF" w:rsidP="00257EFF">
          <w:pPr>
            <w:rPr>
              <w:rFonts w:cstheme="minorHAnsi"/>
              <w:sz w:val="20"/>
              <w:szCs w:val="20"/>
            </w:rPr>
          </w:pPr>
        </w:p>
        <w:p w14:paraId="0045BE6E" w14:textId="77777777" w:rsidR="00257EFF" w:rsidRPr="00FF66ED" w:rsidRDefault="00257EFF" w:rsidP="00257EFF">
          <w:pPr>
            <w:jc w:val="center"/>
            <w:rPr>
              <w:rFonts w:cstheme="minorHAnsi"/>
              <w:b/>
              <w:sz w:val="20"/>
              <w:szCs w:val="20"/>
            </w:rPr>
          </w:pPr>
          <w:r w:rsidRPr="00FF66ED">
            <w:rPr>
              <w:rFonts w:cstheme="minorHAnsi"/>
              <w:b/>
              <w:sz w:val="20"/>
              <w:szCs w:val="20"/>
            </w:rPr>
            <w:t>Service :</w:t>
          </w:r>
        </w:p>
        <w:p w14:paraId="0EA725A1" w14:textId="69DF06D2" w:rsidR="00257EFF" w:rsidRDefault="00257EFF" w:rsidP="00257EFF">
          <w:pPr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FINANCE ALM</w:t>
          </w:r>
        </w:p>
        <w:p w14:paraId="3D5B56A6" w14:textId="77777777" w:rsidR="00257EFF" w:rsidRPr="00FF66ED" w:rsidRDefault="00257EFF" w:rsidP="00257EFF">
          <w:pPr>
            <w:jc w:val="center"/>
            <w:rPr>
              <w:rFonts w:cstheme="minorHAnsi"/>
              <w:szCs w:val="18"/>
            </w:rPr>
          </w:pPr>
        </w:p>
      </w:tc>
    </w:tr>
  </w:tbl>
  <w:p w14:paraId="0A6754E6" w14:textId="441F2DC8" w:rsidR="00B26F44" w:rsidRDefault="00B26F44" w:rsidP="00B26F44">
    <w:pPr>
      <w:jc w:val="both"/>
    </w:pPr>
    <w:r>
      <w:rPr>
        <w:sz w:val="16"/>
        <w:szCs w:val="16"/>
      </w:rPr>
      <w:t xml:space="preserve">                         PASS-ALM v</w:t>
    </w:r>
    <w:r w:rsidR="00DE45C6">
      <w:rPr>
        <w:sz w:val="16"/>
        <w:szCs w:val="16"/>
      </w:rPr>
      <w:t>7.2</w:t>
    </w:r>
    <w:r>
      <w:rPr>
        <w:sz w:val="16"/>
        <w:szCs w:val="16"/>
      </w:rPr>
      <w:t xml:space="preserve">– </w:t>
    </w:r>
    <w:r w:rsidR="00DE45C6">
      <w:rPr>
        <w:sz w:val="16"/>
        <w:szCs w:val="16"/>
      </w:rPr>
      <w:t>mars</w:t>
    </w:r>
    <w:r>
      <w:rPr>
        <w:sz w:val="16"/>
        <w:szCs w:val="16"/>
      </w:rPr>
      <w:t xml:space="preserve"> 202</w:t>
    </w:r>
    <w:r w:rsidR="00DE45C6">
      <w:rPr>
        <w:sz w:val="16"/>
        <w:szCs w:val="16"/>
      </w:rPr>
      <w:t>5</w:t>
    </w:r>
  </w:p>
  <w:p w14:paraId="397FA2D6" w14:textId="7096BDB6" w:rsidR="008E3707" w:rsidRDefault="008E3707">
    <w:pPr>
      <w:pStyle w:val="En-tte"/>
      <w:rPr>
        <w:sz w:val="16"/>
        <w:szCs w:val="16"/>
      </w:rPr>
    </w:pPr>
  </w:p>
  <w:p w14:paraId="61F8E461" w14:textId="77777777" w:rsidR="008E3707" w:rsidRDefault="008E37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3E"/>
    <w:multiLevelType w:val="hybridMultilevel"/>
    <w:tmpl w:val="4DCA9C5C"/>
    <w:lvl w:ilvl="0" w:tplc="73C49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CBD"/>
    <w:multiLevelType w:val="hybridMultilevel"/>
    <w:tmpl w:val="ECC03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276A"/>
    <w:multiLevelType w:val="hybridMultilevel"/>
    <w:tmpl w:val="424A9E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778E9"/>
    <w:multiLevelType w:val="hybridMultilevel"/>
    <w:tmpl w:val="A2A2B0EE"/>
    <w:lvl w:ilvl="0" w:tplc="3522A7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084E2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68767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B4C9A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348AE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D8BA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1265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056F5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C0C16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0167414"/>
    <w:multiLevelType w:val="hybridMultilevel"/>
    <w:tmpl w:val="E4C88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246FD"/>
    <w:multiLevelType w:val="hybridMultilevel"/>
    <w:tmpl w:val="5CA23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3C7E"/>
    <w:multiLevelType w:val="hybridMultilevel"/>
    <w:tmpl w:val="F1EA3EA0"/>
    <w:lvl w:ilvl="0" w:tplc="E5742A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539A7"/>
    <w:multiLevelType w:val="hybridMultilevel"/>
    <w:tmpl w:val="F4E0FF6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0E413CB"/>
    <w:multiLevelType w:val="hybridMultilevel"/>
    <w:tmpl w:val="4300C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32C22"/>
    <w:multiLevelType w:val="hybridMultilevel"/>
    <w:tmpl w:val="E5F238F2"/>
    <w:lvl w:ilvl="0" w:tplc="85AC8D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09480E"/>
    <w:multiLevelType w:val="multilevel"/>
    <w:tmpl w:val="8BA48E1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780"/>
        </w:tabs>
        <w:ind w:left="1780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030A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704567AC"/>
    <w:multiLevelType w:val="hybridMultilevel"/>
    <w:tmpl w:val="EE443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4351B"/>
    <w:multiLevelType w:val="hybridMultilevel"/>
    <w:tmpl w:val="DCF09C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F"/>
    <w:rsid w:val="000354A7"/>
    <w:rsid w:val="0007309E"/>
    <w:rsid w:val="00087917"/>
    <w:rsid w:val="000D331B"/>
    <w:rsid w:val="000E14EB"/>
    <w:rsid w:val="000E6928"/>
    <w:rsid w:val="00155564"/>
    <w:rsid w:val="0016255F"/>
    <w:rsid w:val="001B3050"/>
    <w:rsid w:val="001B3542"/>
    <w:rsid w:val="001C27ED"/>
    <w:rsid w:val="001D35FF"/>
    <w:rsid w:val="00257EFF"/>
    <w:rsid w:val="00281766"/>
    <w:rsid w:val="002A558A"/>
    <w:rsid w:val="002D4975"/>
    <w:rsid w:val="002D597A"/>
    <w:rsid w:val="002E4775"/>
    <w:rsid w:val="002F6236"/>
    <w:rsid w:val="00346B8C"/>
    <w:rsid w:val="0037789B"/>
    <w:rsid w:val="00393543"/>
    <w:rsid w:val="003C4398"/>
    <w:rsid w:val="003E1608"/>
    <w:rsid w:val="00435BE3"/>
    <w:rsid w:val="00466DA0"/>
    <w:rsid w:val="00473116"/>
    <w:rsid w:val="00497390"/>
    <w:rsid w:val="004A2553"/>
    <w:rsid w:val="004A385B"/>
    <w:rsid w:val="004A40F7"/>
    <w:rsid w:val="004A486B"/>
    <w:rsid w:val="004C2917"/>
    <w:rsid w:val="004D37D3"/>
    <w:rsid w:val="004F0A45"/>
    <w:rsid w:val="004F0D03"/>
    <w:rsid w:val="005026B6"/>
    <w:rsid w:val="005138DC"/>
    <w:rsid w:val="00525AE2"/>
    <w:rsid w:val="00565DA7"/>
    <w:rsid w:val="00567D5A"/>
    <w:rsid w:val="00582100"/>
    <w:rsid w:val="005B04FB"/>
    <w:rsid w:val="005F0391"/>
    <w:rsid w:val="005F76FF"/>
    <w:rsid w:val="0060497A"/>
    <w:rsid w:val="0061154E"/>
    <w:rsid w:val="00621E02"/>
    <w:rsid w:val="00627088"/>
    <w:rsid w:val="0063140D"/>
    <w:rsid w:val="0064324D"/>
    <w:rsid w:val="006528F9"/>
    <w:rsid w:val="00691E77"/>
    <w:rsid w:val="006D1193"/>
    <w:rsid w:val="006F0D8C"/>
    <w:rsid w:val="00725A15"/>
    <w:rsid w:val="00785620"/>
    <w:rsid w:val="007A6253"/>
    <w:rsid w:val="007A714C"/>
    <w:rsid w:val="00850F1F"/>
    <w:rsid w:val="0089354F"/>
    <w:rsid w:val="008C5B6D"/>
    <w:rsid w:val="008E3707"/>
    <w:rsid w:val="008F0EA8"/>
    <w:rsid w:val="0090281C"/>
    <w:rsid w:val="00936BEA"/>
    <w:rsid w:val="00947D3D"/>
    <w:rsid w:val="00973A93"/>
    <w:rsid w:val="009A1719"/>
    <w:rsid w:val="009B5074"/>
    <w:rsid w:val="009D6AA2"/>
    <w:rsid w:val="009E5C3A"/>
    <w:rsid w:val="009F6BA2"/>
    <w:rsid w:val="00A22CEB"/>
    <w:rsid w:val="00A7293A"/>
    <w:rsid w:val="00AA15C4"/>
    <w:rsid w:val="00AC127D"/>
    <w:rsid w:val="00AF191B"/>
    <w:rsid w:val="00B0789B"/>
    <w:rsid w:val="00B26F44"/>
    <w:rsid w:val="00B7166E"/>
    <w:rsid w:val="00B86A28"/>
    <w:rsid w:val="00C56EC6"/>
    <w:rsid w:val="00C60862"/>
    <w:rsid w:val="00C70A23"/>
    <w:rsid w:val="00C70ECC"/>
    <w:rsid w:val="00C82874"/>
    <w:rsid w:val="00C91DE5"/>
    <w:rsid w:val="00C942B4"/>
    <w:rsid w:val="00CC4356"/>
    <w:rsid w:val="00D50B4F"/>
    <w:rsid w:val="00D61A4D"/>
    <w:rsid w:val="00D658BB"/>
    <w:rsid w:val="00D70F7C"/>
    <w:rsid w:val="00D85732"/>
    <w:rsid w:val="00DA106B"/>
    <w:rsid w:val="00DA7D1C"/>
    <w:rsid w:val="00DC7847"/>
    <w:rsid w:val="00DE45C6"/>
    <w:rsid w:val="00E20078"/>
    <w:rsid w:val="00E22CEB"/>
    <w:rsid w:val="00E52FAF"/>
    <w:rsid w:val="00EB4F28"/>
    <w:rsid w:val="00ED19CA"/>
    <w:rsid w:val="00F5176D"/>
    <w:rsid w:val="00F6405D"/>
    <w:rsid w:val="00F843BD"/>
    <w:rsid w:val="00F861EA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7218"/>
  <w15:chartTrackingRefBased/>
  <w15:docId w15:val="{91E671A7-1DB0-4ACA-BC6F-5BAD6464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CEB"/>
    <w:pPr>
      <w:keepNext/>
      <w:keepLines/>
      <w:numPr>
        <w:numId w:val="7"/>
      </w:numPr>
      <w:tabs>
        <w:tab w:val="clear" w:pos="360"/>
        <w:tab w:val="num" w:pos="502"/>
      </w:tabs>
      <w:spacing w:before="100" w:beforeAutospacing="1" w:after="100" w:afterAutospacing="1" w:line="240" w:lineRule="auto"/>
      <w:ind w:left="502"/>
      <w:jc w:val="both"/>
      <w:outlineLvl w:val="0"/>
    </w:pPr>
    <w:rPr>
      <w:rFonts w:ascii="Verdana" w:eastAsiaTheme="majorEastAsia" w:hAnsi="Verdana" w:cstheme="majorBidi"/>
      <w:b/>
      <w:bCs/>
      <w:color w:val="7030A0"/>
      <w:sz w:val="24"/>
      <w:szCs w:val="28"/>
      <w:lang w:eastAsia="ja-JP"/>
    </w:rPr>
  </w:style>
  <w:style w:type="paragraph" w:styleId="Titre2">
    <w:name w:val="heading 2"/>
    <w:basedOn w:val="Normal"/>
    <w:link w:val="Titre2Car"/>
    <w:uiPriority w:val="9"/>
    <w:qFormat/>
    <w:rsid w:val="00257EFF"/>
    <w:pPr>
      <w:numPr>
        <w:ilvl w:val="1"/>
        <w:numId w:val="7"/>
      </w:numPr>
      <w:spacing w:before="240" w:after="100" w:afterAutospacing="1" w:line="240" w:lineRule="auto"/>
      <w:jc w:val="both"/>
      <w:outlineLvl w:val="1"/>
    </w:pPr>
    <w:rPr>
      <w:rFonts w:ascii="Verdana" w:eastAsia="Times New Roman" w:hAnsi="Verdana" w:cs="Times New Roman"/>
      <w:b/>
      <w:bCs/>
      <w:color w:val="7030A0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7EFF"/>
    <w:pPr>
      <w:keepNext/>
      <w:keepLines/>
      <w:numPr>
        <w:ilvl w:val="2"/>
        <w:numId w:val="7"/>
      </w:numPr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7030A0"/>
      <w:sz w:val="28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91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EFF"/>
  </w:style>
  <w:style w:type="paragraph" w:styleId="Pieddepage">
    <w:name w:val="footer"/>
    <w:basedOn w:val="Normal"/>
    <w:link w:val="PieddepageCar"/>
    <w:uiPriority w:val="99"/>
    <w:unhideWhenUsed/>
    <w:rsid w:val="0025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EFF"/>
  </w:style>
  <w:style w:type="character" w:customStyle="1" w:styleId="Titre1Car">
    <w:name w:val="Titre 1 Car"/>
    <w:basedOn w:val="Policepardfaut"/>
    <w:link w:val="Titre1"/>
    <w:uiPriority w:val="9"/>
    <w:rsid w:val="00E22CEB"/>
    <w:rPr>
      <w:rFonts w:ascii="Verdana" w:eastAsiaTheme="majorEastAsia" w:hAnsi="Verdana" w:cstheme="majorBidi"/>
      <w:b/>
      <w:bCs/>
      <w:color w:val="7030A0"/>
      <w:sz w:val="24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257EFF"/>
    <w:rPr>
      <w:rFonts w:ascii="Verdana" w:eastAsia="Times New Roman" w:hAnsi="Verdana" w:cs="Times New Roman"/>
      <w:b/>
      <w:bCs/>
      <w:color w:val="7030A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57EFF"/>
    <w:rPr>
      <w:rFonts w:asciiTheme="majorHAnsi" w:eastAsiaTheme="majorEastAsia" w:hAnsiTheme="majorHAnsi" w:cstheme="majorBidi"/>
      <w:b/>
      <w:bCs/>
      <w:color w:val="7030A0"/>
      <w:sz w:val="28"/>
      <w:szCs w:val="24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14EB"/>
    <w:pPr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14E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E14E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F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438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73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63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177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707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559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587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968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624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029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176">
          <w:marLeft w:val="85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88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13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827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D027-C82E-470F-9FA4-E0DEDB70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1236</Words>
  <Characters>6802</Characters>
  <Application>Microsoft Office Word</Application>
  <DocSecurity>0</DocSecurity>
  <Lines>56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 gy</dc:creator>
  <cp:keywords/>
  <dc:description/>
  <cp:lastModifiedBy>Hossayne</cp:lastModifiedBy>
  <cp:revision>4</cp:revision>
  <dcterms:created xsi:type="dcterms:W3CDTF">2025-02-28T09:24:00Z</dcterms:created>
  <dcterms:modified xsi:type="dcterms:W3CDTF">2025-02-28T15:25:00Z</dcterms:modified>
</cp:coreProperties>
</file>