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before="0"/>
        <w:jc w:val="center"/>
      </w:pPr>
      <w:r>
        <w:rPr>
          <w:b/>
          <w:color w:val="1F4E79"/>
          <w:sz w:val="32"/>
          <w:rFonts w:ascii="Times New Roman" w:hAnsi="Times New Roman" w:eastAsia="Times New Roman"/>
        </w:rPr>
        <w:t>NANYANG TECHNOLOGICAL UNIVERSITY</w:t>
      </w:r>
    </w:p>
    <w:p>
      <w:pPr>
        <w:spacing w:after="40" w:before="0"/>
        <w:jc w:val="center"/>
      </w:pPr>
      <w:r>
        <w:rPr>
          <w:b w:val="0"/>
          <w:color w:val="404040"/>
          <w:sz w:val="25"/>
          <w:rFonts w:ascii="Times New Roman" w:hAnsi="Times New Roman" w:eastAsia="Times New Roman"/>
        </w:rPr>
        <w:t>NTU Centre in Computational Technologies for Finance (CCTF)</w:t>
      </w:r>
    </w:p>
    <w:p>
      <w:pPr>
        <w:spacing w:after="600" w:before="0"/>
        <w:jc w:val="center"/>
      </w:pPr>
      <w:r>
        <w:rPr>
          <w:b w:val="0"/>
          <w:color w:val="404040"/>
          <w:sz w:val="23"/>
          <w:rFonts w:ascii="Times New Roman" w:hAnsi="Times New Roman" w:eastAsia="Times New Roman"/>
        </w:rPr>
        <w:t>SC6113 Group Project</w:t>
      </w:r>
    </w:p>
    <w:p>
      <w:pPr>
        <w:spacing w:after="120" w:before="0"/>
        <w:jc w:val="center"/>
      </w:pPr>
      <w:r>
        <w:rPr>
          <w:b/>
          <w:color w:val="1F4E79"/>
          <w:sz w:val="52"/>
          <w:rFonts w:ascii="Times New Roman" w:hAnsi="Times New Roman" w:eastAsia="Times New Roman"/>
        </w:rPr>
        <w:t>MicroLend</w:t>
      </w:r>
    </w:p>
    <w:p>
      <w:pPr>
        <w:spacing w:after="640" w:before="0"/>
        <w:jc w:val="center"/>
      </w:pPr>
      <w:r>
        <w:rPr>
          <w:b w:val="0"/>
          <w:color w:val="404040"/>
          <w:sz w:val="28"/>
          <w:rFonts w:ascii="Times New Roman" w:hAnsi="Times New Roman" w:eastAsia="Times New Roman"/>
        </w:rPr>
        <w:t>Tokenized Micro-lending for the Unbanked</w:t>
        <w:br/>
        <w:t>Technical Report</w:t>
      </w:r>
    </w:p>
    <w:tbl>
      <w:tblPr>
        <w:tblStyle w:val="TableGrid"/>
        <w:tblW w:type="auto" w:w="0"/>
        <w:jc w:val="center"/>
        <w:tblLook w:firstColumn="1" w:firstRow="1" w:lastColumn="0" w:lastRow="0" w:noHBand="0" w:noVBand="1" w:val="04A0"/>
      </w:tblPr>
      <w:tblGrid>
        <w:gridCol w:w="4394"/>
        <w:gridCol w:w="4394"/>
      </w:tblGrid>
      <w:tr>
        <w:tc>
          <w:tcPr>
            <w:tcW w:type="dxa" w:w="2695"/>
            <w:shd w:val="clear" w:color="auto" w:fill="1F4E79"/>
          </w:tcPr>
          <w:p>
            <w:pPr>
              <w:spacing w:after="0" w:line="240" w:lineRule="auto"/>
            </w:pPr>
            <w:r/>
            <w:r>
              <w:rPr>
                <w:b/>
                <w:color w:val="FFFFFF"/>
                <w:sz w:val="19"/>
                <w:rFonts w:ascii="Times New Roman" w:hAnsi="Times New Roman" w:eastAsia="Times New Roman"/>
              </w:rPr>
              <w:t>Field</w:t>
            </w:r>
          </w:p>
        </w:tc>
        <w:tc>
          <w:tcPr>
            <w:tcW w:type="dxa" w:w="6093"/>
            <w:shd w:val="clear" w:color="auto" w:fill="1F4E79"/>
          </w:tcPr>
          <w:p>
            <w:pPr>
              <w:spacing w:after="0" w:line="240" w:lineRule="auto"/>
            </w:pPr>
            <w:r/>
            <w:r>
              <w:rPr>
                <w:b/>
                <w:color w:val="FFFFFF"/>
                <w:sz w:val="19"/>
                <w:rFonts w:ascii="Times New Roman" w:hAnsi="Times New Roman" w:eastAsia="Times New Roman"/>
              </w:rPr>
              <w:t>Detail</w:t>
            </w:r>
          </w:p>
        </w:tc>
      </w:tr>
      <w:tr>
        <w:tc>
          <w:tcPr>
            <w:tcW w:type="dxa" w:w="2695"/>
          </w:tcPr>
          <w:p>
            <w:pPr>
              <w:spacing w:after="0" w:before="0" w:line="240" w:lineRule="auto"/>
            </w:pPr>
            <w:r>
              <w:rPr>
                <w:sz w:val="19"/>
              </w:rPr>
            </w:r>
            <w:r>
              <w:rPr>
                <w:rFonts w:ascii="Times New Roman" w:hAnsi="Times New Roman" w:eastAsia="Times New Roman"/>
                <w:sz w:val="19"/>
              </w:rPr>
              <w:t>Course</w:t>
            </w:r>
          </w:p>
        </w:tc>
        <w:tc>
          <w:tcPr>
            <w:tcW w:type="dxa" w:w="6093"/>
          </w:tcPr>
          <w:p>
            <w:pPr>
              <w:spacing w:after="0" w:before="0" w:line="240" w:lineRule="auto"/>
            </w:pPr>
            <w:r>
              <w:rPr>
                <w:sz w:val="19"/>
              </w:rPr>
            </w:r>
            <w:r>
              <w:rPr>
                <w:rFonts w:ascii="Times New Roman" w:hAnsi="Times New Roman" w:eastAsia="Times New Roman"/>
                <w:sz w:val="19"/>
              </w:rPr>
              <w:t>SC6113 Group Project</w:t>
            </w:r>
          </w:p>
        </w:tc>
      </w:tr>
      <w:tr>
        <w:tc>
          <w:tcPr>
            <w:tcW w:type="dxa" w:w="2695"/>
          </w:tcPr>
          <w:p>
            <w:pPr>
              <w:spacing w:after="0" w:before="0" w:line="240" w:lineRule="auto"/>
            </w:pPr>
            <w:r>
              <w:rPr>
                <w:sz w:val="19"/>
              </w:rPr>
            </w:r>
            <w:r>
              <w:rPr>
                <w:rFonts w:ascii="Times New Roman" w:hAnsi="Times New Roman" w:eastAsia="Times New Roman"/>
                <w:sz w:val="19"/>
              </w:rPr>
              <w:t>Document</w:t>
            </w:r>
          </w:p>
        </w:tc>
        <w:tc>
          <w:tcPr>
            <w:tcW w:type="dxa" w:w="6093"/>
          </w:tcPr>
          <w:p>
            <w:pPr>
              <w:spacing w:after="0" w:before="0" w:line="240" w:lineRule="auto"/>
            </w:pPr>
            <w:r>
              <w:rPr>
                <w:sz w:val="19"/>
              </w:rPr>
            </w:r>
            <w:r>
              <w:rPr>
                <w:rFonts w:ascii="Times New Roman" w:hAnsi="Times New Roman" w:eastAsia="Times New Roman"/>
                <w:sz w:val="19"/>
              </w:rPr>
              <w:t>Technical report</w:t>
            </w:r>
          </w:p>
        </w:tc>
      </w:tr>
      <w:tr>
        <w:tc>
          <w:tcPr>
            <w:tcW w:type="dxa" w:w="2695"/>
          </w:tcPr>
          <w:p>
            <w:pPr>
              <w:spacing w:after="0" w:before="0" w:line="240" w:lineRule="auto"/>
            </w:pPr>
            <w:r>
              <w:rPr>
                <w:sz w:val="19"/>
              </w:rPr>
            </w:r>
            <w:r>
              <w:rPr>
                <w:rFonts w:ascii="Times New Roman" w:hAnsi="Times New Roman" w:eastAsia="Times New Roman"/>
                <w:sz w:val="19"/>
              </w:rPr>
              <w:t>Version</w:t>
            </w:r>
          </w:p>
        </w:tc>
        <w:tc>
          <w:tcPr>
            <w:tcW w:type="dxa" w:w="6093"/>
          </w:tcPr>
          <w:p>
            <w:pPr>
              <w:spacing w:after="0" w:before="0" w:line="240" w:lineRule="auto"/>
            </w:pPr>
            <w:r>
              <w:rPr>
                <w:sz w:val="19"/>
              </w:rPr>
            </w:r>
            <w:r>
              <w:rPr>
                <w:rFonts w:ascii="Times New Roman" w:hAnsi="Times New Roman" w:eastAsia="Times New Roman"/>
                <w:sz w:val="19"/>
              </w:rPr>
              <w:t>1.4</w:t>
            </w:r>
          </w:p>
        </w:tc>
      </w:tr>
      <w:tr>
        <w:tc>
          <w:tcPr>
            <w:tcW w:type="dxa" w:w="2695"/>
          </w:tcPr>
          <w:p>
            <w:pPr>
              <w:spacing w:after="0" w:before="0" w:line="240" w:lineRule="auto"/>
            </w:pPr>
            <w:r>
              <w:rPr>
                <w:sz w:val="19"/>
              </w:rPr>
            </w:r>
            <w:r>
              <w:rPr>
                <w:rFonts w:ascii="Times New Roman" w:hAnsi="Times New Roman" w:eastAsia="Times New Roman"/>
                <w:sz w:val="19"/>
              </w:rPr>
              <w:t>Date</w:t>
            </w:r>
          </w:p>
        </w:tc>
        <w:tc>
          <w:tcPr>
            <w:tcW w:type="dxa" w:w="6093"/>
          </w:tcPr>
          <w:p>
            <w:pPr>
              <w:spacing w:after="0" w:before="0" w:line="240" w:lineRule="auto"/>
            </w:pPr>
            <w:r>
              <w:rPr>
                <w:sz w:val="19"/>
              </w:rPr>
            </w:r>
            <w:r>
              <w:rPr>
                <w:rFonts w:ascii="Times New Roman" w:hAnsi="Times New Roman" w:eastAsia="Times New Roman"/>
                <w:sz w:val="19"/>
              </w:rPr>
              <w:t>14 October 2026</w:t>
            </w:r>
          </w:p>
        </w:tc>
      </w:tr>
      <w:tr>
        <w:tc>
          <w:tcPr>
            <w:tcW w:type="dxa" w:w="2695"/>
          </w:tcPr>
          <w:p>
            <w:pPr>
              <w:spacing w:after="0" w:before="0" w:line="240" w:lineRule="auto"/>
            </w:pPr>
            <w:r>
              <w:rPr>
                <w:sz w:val="19"/>
              </w:rPr>
            </w:r>
            <w:r>
              <w:rPr>
                <w:rFonts w:ascii="Times New Roman" w:hAnsi="Times New Roman" w:eastAsia="Times New Roman"/>
                <w:sz w:val="19"/>
              </w:rPr>
              <w:t>Team</w:t>
            </w:r>
          </w:p>
        </w:tc>
        <w:tc>
          <w:tcPr>
            <w:tcW w:type="dxa" w:w="6093"/>
          </w:tcPr>
          <w:p>
            <w:pPr>
              <w:spacing w:after="0" w:before="0" w:line="240" w:lineRule="auto"/>
            </w:pPr>
            <w:r>
              <w:rPr>
                <w:sz w:val="19"/>
              </w:rPr>
            </w:r>
            <w:r>
              <w:rPr>
                <w:rFonts w:ascii="Times New Roman" w:hAnsi="Times New Roman" w:eastAsia="Times New Roman"/>
                <w:sz w:val="19"/>
              </w:rPr>
              <w:t>Six members (see the accompanying contribution report)</w:t>
            </w:r>
          </w:p>
        </w:tc>
      </w:tr>
      <w:tr>
        <w:tc>
          <w:tcPr>
            <w:tcW w:type="dxa" w:w="2695"/>
          </w:tcPr>
          <w:p>
            <w:pPr>
              <w:spacing w:after="0" w:before="0" w:line="240" w:lineRule="auto"/>
            </w:pPr>
            <w:r>
              <w:rPr>
                <w:sz w:val="19"/>
              </w:rPr>
            </w:r>
            <w:r>
              <w:rPr>
                <w:rFonts w:ascii="Times New Roman" w:hAnsi="Times New Roman" w:eastAsia="Times New Roman"/>
                <w:sz w:val="19"/>
              </w:rPr>
              <w:t>Repository</w:t>
            </w:r>
          </w:p>
        </w:tc>
        <w:tc>
          <w:tcPr>
            <w:tcW w:type="dxa" w:w="6093"/>
          </w:tcPr>
          <w:p>
            <w:pPr>
              <w:spacing w:after="0" w:before="0" w:line="240" w:lineRule="auto"/>
            </w:pPr>
            <w:r>
              <w:rPr>
                <w:sz w:val="19"/>
              </w:rPr>
            </w:r>
            <w:r>
              <w:rPr>
                <w:rFonts w:ascii="Times New Roman" w:hAnsi="Times New Roman" w:eastAsia="Times New Roman"/>
                <w:sz w:val="19"/>
              </w:rPr>
              <w:t>https://github.com/catjlx/microlend</w:t>
            </w:r>
          </w:p>
        </w:tc>
      </w:tr>
      <w:tr>
        <w:tc>
          <w:tcPr>
            <w:tcW w:type="dxa" w:w="2695"/>
          </w:tcPr>
          <w:p>
            <w:pPr>
              <w:spacing w:after="0" w:before="0" w:line="240" w:lineRule="auto"/>
            </w:pPr>
            <w:r>
              <w:rPr>
                <w:sz w:val="19"/>
              </w:rPr>
            </w:r>
            <w:r>
              <w:rPr>
                <w:rFonts w:ascii="Times New Roman" w:hAnsi="Times New Roman" w:eastAsia="Times New Roman"/>
                <w:sz w:val="19"/>
              </w:rPr>
              <w:t>Live frontend</w:t>
            </w:r>
          </w:p>
        </w:tc>
        <w:tc>
          <w:tcPr>
            <w:tcW w:type="dxa" w:w="6093"/>
          </w:tcPr>
          <w:p>
            <w:pPr>
              <w:spacing w:after="0" w:before="0" w:line="240" w:lineRule="auto"/>
            </w:pPr>
            <w:r>
              <w:rPr>
                <w:sz w:val="19"/>
              </w:rPr>
            </w:r>
            <w:r>
              <w:rPr>
                <w:rFonts w:ascii="Times New Roman" w:hAnsi="Times New Roman" w:eastAsia="Times New Roman"/>
                <w:sz w:val="19"/>
              </w:rPr>
              <w:t>https://microlend-web.onrender.com</w:t>
            </w:r>
          </w:p>
        </w:tc>
      </w:tr>
      <w:tr>
        <w:tc>
          <w:tcPr>
            <w:tcW w:type="dxa" w:w="2695"/>
          </w:tcPr>
          <w:p>
            <w:pPr>
              <w:spacing w:after="0" w:before="0" w:line="240" w:lineRule="auto"/>
            </w:pPr>
            <w:r>
              <w:rPr>
                <w:sz w:val="19"/>
              </w:rPr>
            </w:r>
            <w:r>
              <w:rPr>
                <w:rFonts w:ascii="Times New Roman" w:hAnsi="Times New Roman" w:eastAsia="Times New Roman"/>
                <w:sz w:val="19"/>
              </w:rPr>
              <w:t>Live API</w:t>
            </w:r>
          </w:p>
        </w:tc>
        <w:tc>
          <w:tcPr>
            <w:tcW w:type="dxa" w:w="6093"/>
          </w:tcPr>
          <w:p>
            <w:pPr>
              <w:spacing w:after="0" w:before="0" w:line="240" w:lineRule="auto"/>
            </w:pPr>
            <w:r>
              <w:rPr>
                <w:sz w:val="19"/>
              </w:rPr>
            </w:r>
            <w:r>
              <w:rPr>
                <w:rFonts w:ascii="Times New Roman" w:hAnsi="Times New Roman" w:eastAsia="Times New Roman"/>
                <w:sz w:val="19"/>
              </w:rPr>
              <w:t>https://microlend-api.onrender.com</w:t>
            </w:r>
          </w:p>
        </w:tc>
      </w:tr>
      <w:tr>
        <w:tc>
          <w:tcPr>
            <w:tcW w:type="dxa" w:w="2695"/>
          </w:tcPr>
          <w:p>
            <w:pPr>
              <w:spacing w:after="0" w:before="0" w:line="240" w:lineRule="auto"/>
            </w:pPr>
            <w:r>
              <w:rPr>
                <w:sz w:val="19"/>
              </w:rPr>
            </w:r>
            <w:r>
              <w:rPr>
                <w:rFonts w:ascii="Times New Roman" w:hAnsi="Times New Roman" w:eastAsia="Times New Roman"/>
                <w:sz w:val="19"/>
              </w:rPr>
              <w:t>Network</w:t>
            </w:r>
          </w:p>
        </w:tc>
        <w:tc>
          <w:tcPr>
            <w:tcW w:type="dxa" w:w="6093"/>
          </w:tcPr>
          <w:p>
            <w:pPr>
              <w:spacing w:after="0" w:before="0" w:line="240" w:lineRule="auto"/>
            </w:pPr>
            <w:r>
              <w:rPr>
                <w:sz w:val="19"/>
              </w:rPr>
            </w:r>
            <w:r>
              <w:rPr>
                <w:rFonts w:ascii="Times New Roman" w:hAnsi="Times New Roman" w:eastAsia="Times New Roman"/>
                <w:sz w:val="19"/>
              </w:rPr>
              <w:t>Ethereum Sepolia, chainId 11155111</w:t>
            </w:r>
          </w:p>
        </w:tc>
      </w:tr>
      <w:tr>
        <w:tc>
          <w:tcPr>
            <w:tcW w:type="dxa" w:w="2695"/>
          </w:tcPr>
          <w:p>
            <w:pPr>
              <w:spacing w:after="0" w:before="0" w:line="240" w:lineRule="auto"/>
            </w:pPr>
            <w:r>
              <w:rPr>
                <w:sz w:val="19"/>
              </w:rPr>
            </w:r>
            <w:r>
              <w:rPr>
                <w:rFonts w:ascii="Times New Roman" w:hAnsi="Times New Roman" w:eastAsia="Times New Roman"/>
                <w:sz w:val="19"/>
              </w:rPr>
              <w:t>Demonstration video</w:t>
            </w:r>
          </w:p>
        </w:tc>
        <w:tc>
          <w:tcPr>
            <w:tcW w:type="dxa" w:w="6093"/>
          </w:tcPr>
          <w:p>
            <w:pPr>
              <w:spacing w:after="0" w:before="0" w:line="240" w:lineRule="auto"/>
            </w:pPr>
            <w:r>
              <w:rPr>
                <w:sz w:val="19"/>
              </w:rPr>
            </w:r>
            <w:r>
              <w:rPr>
                <w:rFonts w:ascii="Times New Roman" w:hAnsi="Times New Roman" w:eastAsia="Times New Roman"/>
                <w:sz w:val="19"/>
              </w:rPr>
              <w:t>https://www.youtube.com/watch?v=yrgKagY_duw</w:t>
            </w:r>
          </w:p>
        </w:tc>
      </w:tr>
      <w:tr>
        <w:tc>
          <w:tcPr>
            <w:tcW w:type="dxa" w:w="2695"/>
          </w:tcPr>
          <w:p>
            <w:pPr>
              <w:spacing w:after="0" w:before="0" w:line="240" w:lineRule="auto"/>
            </w:pPr>
            <w:r>
              <w:rPr>
                <w:sz w:val="19"/>
              </w:rPr>
            </w:r>
            <w:r>
              <w:rPr>
                <w:rFonts w:ascii="Times New Roman" w:hAnsi="Times New Roman" w:eastAsia="Times New Roman"/>
                <w:sz w:val="19"/>
              </w:rPr>
              <w:t>Presentation slides</w:t>
            </w:r>
          </w:p>
        </w:tc>
        <w:tc>
          <w:tcPr>
            <w:tcW w:type="dxa" w:w="6093"/>
          </w:tcPr>
          <w:p>
            <w:pPr>
              <w:spacing w:after="0" w:before="0" w:line="240" w:lineRule="auto"/>
            </w:pPr>
            <w:r>
              <w:rPr>
                <w:sz w:val="19"/>
              </w:rPr>
            </w:r>
            <w:r>
              <w:rPr>
                <w:rFonts w:ascii="Times New Roman" w:hAnsi="Times New Roman" w:eastAsia="Times New Roman"/>
                <w:sz w:val="19"/>
              </w:rPr>
              <w:t>https://youtu.be/S3S13By7L0E</w:t>
            </w:r>
          </w:p>
        </w:tc>
      </w:tr>
      <w:tr>
        <w:tc>
          <w:tcPr>
            <w:tcW w:type="dxa" w:w="2695"/>
          </w:tcPr>
          <w:p>
            <w:pPr>
              <w:spacing w:after="0" w:before="0" w:line="240" w:lineRule="auto"/>
            </w:pPr>
            <w:r>
              <w:rPr>
                <w:sz w:val="19"/>
              </w:rPr>
            </w:r>
            <w:r>
              <w:rPr>
                <w:rFonts w:ascii="Times New Roman" w:hAnsi="Times New Roman" w:eastAsia="Times New Roman"/>
                <w:sz w:val="19"/>
              </w:rPr>
              <w:t>Status</w:t>
            </w:r>
          </w:p>
        </w:tc>
        <w:tc>
          <w:tcPr>
            <w:tcW w:type="dxa" w:w="6093"/>
          </w:tcPr>
          <w:p>
            <w:pPr>
              <w:spacing w:after="0" w:before="0" w:line="240" w:lineRule="auto"/>
            </w:pPr>
            <w:r>
              <w:rPr>
                <w:sz w:val="19"/>
              </w:rPr>
            </w:r>
            <w:r>
              <w:rPr>
                <w:rFonts w:ascii="Times New Roman" w:hAnsi="Times New Roman" w:eastAsia="Times New Roman"/>
                <w:sz w:val="19"/>
              </w:rPr>
              <w:t>Unaudited coursework prototype. Testnet only, mock stablecoin, model trained on synthetic data.</w:t>
            </w:r>
          </w:p>
        </w:tc>
      </w:tr>
    </w:tbl>
    <w:p>
      <w:pPr>
        <w:spacing w:after="0" w:before="0"/>
      </w:pPr>
    </w:p>
    <w:p/>
    <w:p>
      <w:pPr>
        <w:jc w:val="center"/>
      </w:pPr>
      <w:r>
        <w:rPr>
          <w:i/>
          <w:color w:val="595959"/>
          <w:sz w:val="18"/>
        </w:rPr>
        <w:t>Sections 0 to 12 form the graded body of the report; the cover page, the contents, the abbreviations, the references and the appendices are front and back matter and are not counted in the 10 to 15 page limit.</w:t>
      </w:r>
    </w:p>
    <w:p>
      <w:r>
        <w:br w:type="page"/>
      </w:r>
    </w:p>
    <w:p>
      <w:pPr>
        <w:keepNext/>
        <w:spacing w:before="140" w:after="40"/>
      </w:pPr>
      <w:r>
        <w:rPr>
          <w:b/>
          <w:color w:val="1F4E79"/>
          <w:sz w:val="22"/>
        </w:rPr>
        <w:t>Contents</w:t>
      </w:r>
    </w:p>
    <w:p>
      <w:pPr>
        <w:tabs>
          <w:tab w:pos="8787" w:val="right" w:leader="dot"/>
        </w:tabs>
        <w:spacing w:after="8" w:before="0" w:line="228" w:lineRule="auto"/>
      </w:pPr>
      <w:r>
        <w:rPr>
          <w:sz w:val="16"/>
        </w:rPr>
        <w:t>Abstract</w:t>
      </w:r>
      <w:r>
        <w:rPr>
          <w:b/>
          <w:sz w:val="16"/>
        </w:rPr>
        <w:tab/>
        <w:t>4</w:t>
      </w:r>
    </w:p>
    <w:p>
      <w:pPr>
        <w:tabs>
          <w:tab w:pos="8787" w:val="right" w:leader="dot"/>
        </w:tabs>
        <w:spacing w:after="8" w:before="0" w:line="228" w:lineRule="auto"/>
      </w:pPr>
      <w:r>
        <w:rPr>
          <w:sz w:val="16"/>
        </w:rPr>
        <w:t>Problem statement and evidence</w:t>
      </w:r>
      <w:r>
        <w:rPr>
          <w:b/>
          <w:sz w:val="16"/>
        </w:rPr>
        <w:tab/>
        <w:t>4</w:t>
      </w:r>
    </w:p>
    <w:p>
      <w:pPr>
        <w:tabs>
          <w:tab w:pos="8787" w:val="right" w:leader="dot"/>
        </w:tabs>
        <w:spacing w:after="8" w:before="0" w:line="228" w:lineRule="auto"/>
      </w:pPr>
      <w:r>
        <w:rPr>
          <w:sz w:val="16"/>
        </w:rPr>
        <w:t>Stakeholders and requirements</w:t>
      </w:r>
      <w:r>
        <w:rPr>
          <w:b/>
          <w:sz w:val="16"/>
        </w:rPr>
        <w:tab/>
        <w:t>5</w:t>
      </w:r>
    </w:p>
    <w:p>
      <w:pPr>
        <w:tabs>
          <w:tab w:pos="8787" w:val="right" w:leader="dot"/>
        </w:tabs>
        <w:spacing w:after="8" w:before="0" w:line="228" w:lineRule="auto"/>
      </w:pPr>
      <w:r>
        <w:rPr>
          <w:sz w:val="16"/>
        </w:rPr>
        <w:t>System architecture</w:t>
      </w:r>
      <w:r>
        <w:rPr>
          <w:b/>
          <w:sz w:val="16"/>
        </w:rPr>
        <w:tab/>
        <w:t>6</w:t>
      </w:r>
    </w:p>
    <w:p>
      <w:pPr>
        <w:tabs>
          <w:tab w:pos="8787" w:val="right" w:leader="dot"/>
        </w:tabs>
        <w:spacing w:after="8" w:before="0" w:line="228" w:lineRule="auto"/>
      </w:pPr>
      <w:r>
        <w:rPr>
          <w:sz w:val="16"/>
        </w:rPr>
        <w:t>Credit scoring and risk model</w:t>
      </w:r>
      <w:r>
        <w:rPr>
          <w:b/>
          <w:sz w:val="16"/>
        </w:rPr>
        <w:tab/>
        <w:t>8</w:t>
      </w:r>
    </w:p>
    <w:p>
      <w:pPr>
        <w:tabs>
          <w:tab w:pos="8787" w:val="right" w:leader="dot"/>
        </w:tabs>
        <w:spacing w:after="8" w:before="0" w:line="228" w:lineRule="auto"/>
      </w:pPr>
      <w:r>
        <w:rPr>
          <w:sz w:val="16"/>
        </w:rPr>
        <w:t>Smart-contract design</w:t>
      </w:r>
      <w:r>
        <w:rPr>
          <w:b/>
          <w:sz w:val="16"/>
        </w:rPr>
        <w:tab/>
        <w:t>9</w:t>
      </w:r>
    </w:p>
    <w:p>
      <w:pPr>
        <w:tabs>
          <w:tab w:pos="8787" w:val="right" w:leader="dot"/>
        </w:tabs>
        <w:spacing w:after="8" w:before="0" w:line="228" w:lineRule="auto"/>
      </w:pPr>
      <w:r>
        <w:rPr>
          <w:sz w:val="16"/>
        </w:rPr>
        <w:t>Security</w:t>
      </w:r>
      <w:r>
        <w:rPr>
          <w:b/>
          <w:sz w:val="16"/>
        </w:rPr>
        <w:tab/>
        <w:t>11</w:t>
      </w:r>
    </w:p>
    <w:p>
      <w:pPr>
        <w:tabs>
          <w:tab w:pos="8787" w:val="right" w:leader="dot"/>
        </w:tabs>
        <w:spacing w:after="8" w:before="0" w:line="228" w:lineRule="auto"/>
      </w:pPr>
      <w:r>
        <w:rPr>
          <w:sz w:val="16"/>
        </w:rPr>
        <w:t>Backend and data</w:t>
      </w:r>
      <w:r>
        <w:rPr>
          <w:b/>
          <w:sz w:val="16"/>
        </w:rPr>
        <w:tab/>
        <w:t>13</w:t>
      </w:r>
    </w:p>
    <w:p>
      <w:pPr>
        <w:tabs>
          <w:tab w:pos="8787" w:val="right" w:leader="dot"/>
        </w:tabs>
        <w:spacing w:after="8" w:before="0" w:line="228" w:lineRule="auto"/>
      </w:pPr>
      <w:r>
        <w:rPr>
          <w:sz w:val="16"/>
        </w:rPr>
        <w:t>Frontend and user experience</w:t>
      </w:r>
      <w:r>
        <w:rPr>
          <w:b/>
          <w:sz w:val="16"/>
        </w:rPr>
        <w:tab/>
        <w:t>13</w:t>
      </w:r>
    </w:p>
    <w:p>
      <w:pPr>
        <w:tabs>
          <w:tab w:pos="8787" w:val="right" w:leader="dot"/>
        </w:tabs>
        <w:spacing w:after="8" w:before="0" w:line="228" w:lineRule="auto"/>
      </w:pPr>
      <w:r>
        <w:rPr>
          <w:sz w:val="16"/>
        </w:rPr>
        <w:t>Testing and evaluation</w:t>
      </w:r>
      <w:r>
        <w:rPr>
          <w:b/>
          <w:sz w:val="16"/>
        </w:rPr>
        <w:tab/>
        <w:t>15</w:t>
      </w:r>
    </w:p>
    <w:p>
      <w:pPr>
        <w:tabs>
          <w:tab w:pos="8787" w:val="right" w:leader="dot"/>
        </w:tabs>
        <w:spacing w:after="8" w:before="0" w:line="228" w:lineRule="auto"/>
      </w:pPr>
      <w:r>
        <w:rPr>
          <w:sz w:val="16"/>
        </w:rPr>
        <w:t>Deployment and DevOps</w:t>
      </w:r>
      <w:r>
        <w:rPr>
          <w:b/>
          <w:sz w:val="16"/>
        </w:rPr>
        <w:tab/>
        <w:t>17</w:t>
      </w:r>
    </w:p>
    <w:p>
      <w:pPr>
        <w:tabs>
          <w:tab w:pos="8787" w:val="right" w:leader="dot"/>
        </w:tabs>
        <w:spacing w:after="8" w:before="0" w:line="228" w:lineRule="auto"/>
      </w:pPr>
      <w:r>
        <w:rPr>
          <w:sz w:val="16"/>
        </w:rPr>
        <w:t>Limitations, ethics and future work</w:t>
      </w:r>
      <w:r>
        <w:rPr>
          <w:b/>
          <w:sz w:val="16"/>
        </w:rPr>
        <w:tab/>
        <w:t>17</w:t>
      </w:r>
    </w:p>
    <w:p>
      <w:pPr>
        <w:tabs>
          <w:tab w:pos="8787" w:val="right" w:leader="dot"/>
        </w:tabs>
        <w:spacing w:after="8" w:before="0" w:line="228" w:lineRule="auto"/>
      </w:pPr>
      <w:r>
        <w:rPr>
          <w:sz w:val="16"/>
        </w:rPr>
        <w:t>Conclusion</w:t>
      </w:r>
      <w:r>
        <w:rPr>
          <w:b/>
          <w:sz w:val="16"/>
        </w:rPr>
        <w:tab/>
        <w:t>18</w:t>
      </w:r>
    </w:p>
    <w:p>
      <w:pPr>
        <w:tabs>
          <w:tab w:pos="8787" w:val="right" w:leader="dot"/>
        </w:tabs>
        <w:spacing w:after="8" w:before="0" w:line="228" w:lineRule="auto"/>
      </w:pPr>
      <w:r>
        <w:rPr>
          <w:sz w:val="16"/>
        </w:rPr>
        <w:t>References</w:t>
      </w:r>
      <w:r>
        <w:rPr>
          <w:b/>
          <w:sz w:val="16"/>
        </w:rPr>
        <w:tab/>
        <w:t>18</w:t>
      </w:r>
    </w:p>
    <w:p>
      <w:pPr>
        <w:tabs>
          <w:tab w:pos="8787" w:val="right" w:leader="dot"/>
        </w:tabs>
        <w:spacing w:after="8" w:before="0" w:line="228" w:lineRule="auto"/>
      </w:pPr>
      <w:r>
        <w:rPr>
          <w:sz w:val="16"/>
        </w:rPr>
        <w:t>Appendix A. Reproducing the results</w:t>
      </w:r>
      <w:r>
        <w:rPr>
          <w:b/>
          <w:sz w:val="16"/>
        </w:rPr>
        <w:tab/>
        <w:t>18</w:t>
      </w:r>
    </w:p>
    <w:p>
      <w:pPr>
        <w:tabs>
          <w:tab w:pos="8787" w:val="right" w:leader="dot"/>
        </w:tabs>
        <w:spacing w:after="8" w:before="0" w:line="228" w:lineRule="auto"/>
      </w:pPr>
      <w:r>
        <w:rPr>
          <w:sz w:val="16"/>
        </w:rPr>
        <w:t>Appendix B. Detailed reference tables</w:t>
      </w:r>
      <w:r>
        <w:rPr>
          <w:b/>
          <w:sz w:val="16"/>
        </w:rPr>
        <w:tab/>
        <w:t>19</w:t>
      </w:r>
    </w:p>
    <w:p>
      <w:pPr>
        <w:tabs>
          <w:tab w:pos="8787" w:val="right" w:leader="dot"/>
        </w:tabs>
        <w:spacing w:after="8" w:before="0" w:line="228" w:lineRule="auto"/>
      </w:pPr>
      <w:r>
        <w:rPr>
          <w:sz w:val="16"/>
        </w:rPr>
        <w:t>Appendix C. Author contributions</w:t>
      </w:r>
      <w:r>
        <w:rPr>
          <w:b/>
          <w:sz w:val="16"/>
        </w:rPr>
        <w:tab/>
        <w:t>22</w:t>
      </w:r>
    </w:p>
    <w:p>
      <w:pPr>
        <w:keepNext/>
        <w:spacing w:before="140" w:after="40"/>
      </w:pPr>
      <w:r>
        <w:rPr>
          <w:b/>
          <w:color w:val="1F4E79"/>
          <w:sz w:val="22"/>
        </w:rPr>
        <w:t>List of Figures</w:t>
      </w:r>
    </w:p>
    <w:p>
      <w:pPr>
        <w:tabs>
          <w:tab w:pos="8787" w:val="right" w:leader="dot"/>
        </w:tabs>
        <w:spacing w:after="8" w:before="0" w:line="228" w:lineRule="auto"/>
      </w:pPr>
      <w:r>
        <w:rPr>
          <w:b/>
          <w:sz w:val="16"/>
        </w:rPr>
        <w:t xml:space="preserve">Figure 1.  </w:t>
      </w:r>
      <w:r>
        <w:rPr>
          <w:sz w:val="16"/>
        </w:rPr>
        <w:t>System architecture: browser, cloud tier and Sepolia</w:t>
      </w:r>
      <w:r>
        <w:rPr>
          <w:b/>
          <w:sz w:val="16"/>
        </w:rPr>
        <w:tab/>
        <w:t>6</w:t>
      </w:r>
    </w:p>
    <w:p>
      <w:pPr>
        <w:tabs>
          <w:tab w:pos="8787" w:val="right" w:leader="dot"/>
        </w:tabs>
        <w:spacing w:after="8" w:before="0" w:line="228" w:lineRule="auto"/>
      </w:pPr>
      <w:r>
        <w:rPr>
          <w:b/>
          <w:sz w:val="16"/>
        </w:rPr>
        <w:t xml:space="preserve">Figure 2.  </w:t>
      </w:r>
      <w:r>
        <w:rPr>
          <w:sz w:val="16"/>
        </w:rPr>
        <w:t>The off-chain data model</w:t>
      </w:r>
      <w:r>
        <w:rPr>
          <w:b/>
          <w:sz w:val="16"/>
        </w:rPr>
        <w:tab/>
        <w:t>7</w:t>
      </w:r>
    </w:p>
    <w:p>
      <w:pPr>
        <w:tabs>
          <w:tab w:pos="8787" w:val="right" w:leader="dot"/>
        </w:tabs>
        <w:spacing w:after="8" w:before="0" w:line="228" w:lineRule="auto"/>
      </w:pPr>
      <w:r>
        <w:rPr>
          <w:b/>
          <w:sz w:val="16"/>
        </w:rPr>
        <w:t xml:space="preserve">Figure 3.  </w:t>
      </w:r>
      <w:r>
        <w:rPr>
          <w:sz w:val="16"/>
        </w:rPr>
        <w:t>End-to-end process flow</w:t>
      </w:r>
      <w:r>
        <w:rPr>
          <w:b/>
          <w:sz w:val="16"/>
        </w:rPr>
        <w:tab/>
        <w:t>8</w:t>
      </w:r>
    </w:p>
    <w:p>
      <w:pPr>
        <w:tabs>
          <w:tab w:pos="8787" w:val="right" w:leader="dot"/>
        </w:tabs>
        <w:spacing w:after="8" w:before="0" w:line="228" w:lineRule="auto"/>
      </w:pPr>
      <w:r>
        <w:rPr>
          <w:b/>
          <w:sz w:val="16"/>
        </w:rPr>
        <w:t xml:space="preserve">Figure 4.  </w:t>
      </w:r>
      <w:r>
        <w:rPr>
          <w:sz w:val="16"/>
        </w:rPr>
        <w:t>Calibration of the score on the held-out test set</w:t>
      </w:r>
      <w:r>
        <w:rPr>
          <w:b/>
          <w:sz w:val="16"/>
        </w:rPr>
        <w:tab/>
        <w:t>9</w:t>
      </w:r>
    </w:p>
    <w:p>
      <w:pPr>
        <w:tabs>
          <w:tab w:pos="8787" w:val="right" w:leader="dot"/>
        </w:tabs>
        <w:spacing w:after="8" w:before="0" w:line="228" w:lineRule="auto"/>
      </w:pPr>
      <w:r>
        <w:rPr>
          <w:b/>
          <w:sz w:val="16"/>
        </w:rPr>
        <w:t xml:space="preserve">Figure 5.  </w:t>
      </w:r>
      <w:r>
        <w:rPr>
          <w:sz w:val="16"/>
        </w:rPr>
        <w:t>Contract interaction</w:t>
      </w:r>
      <w:r>
        <w:rPr>
          <w:b/>
          <w:sz w:val="16"/>
        </w:rPr>
        <w:tab/>
        <w:t>10</w:t>
      </w:r>
    </w:p>
    <w:p>
      <w:pPr>
        <w:tabs>
          <w:tab w:pos="8787" w:val="right" w:leader="dot"/>
        </w:tabs>
        <w:spacing w:after="8" w:before="0" w:line="228" w:lineRule="auto"/>
      </w:pPr>
      <w:r>
        <w:rPr>
          <w:b/>
          <w:sz w:val="16"/>
        </w:rPr>
        <w:t xml:space="preserve">Figure 6.  </w:t>
      </w:r>
      <w:r>
        <w:rPr>
          <w:sz w:val="16"/>
        </w:rPr>
        <w:t>Loan lifecycle state machine</w:t>
      </w:r>
      <w:r>
        <w:rPr>
          <w:b/>
          <w:sz w:val="16"/>
        </w:rPr>
        <w:tab/>
        <w:t>10</w:t>
      </w:r>
    </w:p>
    <w:p>
      <w:pPr>
        <w:tabs>
          <w:tab w:pos="8787" w:val="right" w:leader="dot"/>
        </w:tabs>
        <w:spacing w:after="8" w:before="0" w:line="228" w:lineRule="auto"/>
      </w:pPr>
      <w:r>
        <w:rPr>
          <w:b/>
          <w:sz w:val="16"/>
        </w:rPr>
        <w:t xml:space="preserve">Figure 7.  </w:t>
      </w:r>
      <w:r>
        <w:rPr>
          <w:sz w:val="16"/>
        </w:rPr>
        <w:t>Default handling: the loss waterfall</w:t>
      </w:r>
      <w:r>
        <w:rPr>
          <w:b/>
          <w:sz w:val="16"/>
        </w:rPr>
        <w:tab/>
        <w:t>11</w:t>
      </w:r>
    </w:p>
    <w:p>
      <w:pPr>
        <w:tabs>
          <w:tab w:pos="8787" w:val="right" w:leader="dot"/>
        </w:tabs>
        <w:spacing w:after="8" w:before="0" w:line="228" w:lineRule="auto"/>
      </w:pPr>
      <w:r>
        <w:rPr>
          <w:b/>
          <w:sz w:val="16"/>
        </w:rPr>
        <w:t xml:space="preserve">Figure 8.  </w:t>
      </w:r>
      <w:r>
        <w:rPr>
          <w:sz w:val="16"/>
        </w:rPr>
        <w:t>Administrator screens: pool parameters and contract-level validation</w:t>
      </w:r>
      <w:r>
        <w:rPr>
          <w:b/>
          <w:sz w:val="16"/>
        </w:rPr>
        <w:tab/>
        <w:t>14</w:t>
      </w:r>
    </w:p>
    <w:p>
      <w:pPr>
        <w:tabs>
          <w:tab w:pos="8787" w:val="right" w:leader="dot"/>
        </w:tabs>
        <w:spacing w:after="8" w:before="0" w:line="228" w:lineRule="auto"/>
      </w:pPr>
      <w:r>
        <w:rPr>
          <w:b/>
          <w:sz w:val="16"/>
        </w:rPr>
        <w:t xml:space="preserve">Figure 9.  </w:t>
      </w:r>
      <w:r>
        <w:rPr>
          <w:sz w:val="16"/>
        </w:rPr>
        <w:t>The deployed application at a 390-pixel phone viewport</w:t>
      </w:r>
      <w:r>
        <w:rPr>
          <w:b/>
          <w:sz w:val="16"/>
        </w:rPr>
        <w:tab/>
        <w:t>14</w:t>
      </w:r>
    </w:p>
    <w:p>
      <w:pPr>
        <w:tabs>
          <w:tab w:pos="8787" w:val="right" w:leader="dot"/>
        </w:tabs>
        <w:spacing w:after="8" w:before="0" w:line="228" w:lineRule="auto"/>
      </w:pPr>
      <w:r>
        <w:rPr>
          <w:b/>
          <w:sz w:val="16"/>
        </w:rPr>
        <w:t xml:space="preserve">Figure 10.  </w:t>
      </w:r>
      <w:r>
        <w:rPr>
          <w:sz w:val="16"/>
        </w:rPr>
        <w:t>Lender return against the portfolio default rate</w:t>
      </w:r>
      <w:r>
        <w:rPr>
          <w:b/>
          <w:sz w:val="16"/>
        </w:rPr>
        <w:tab/>
        <w:t>20</w:t>
      </w:r>
    </w:p>
    <w:p>
      <w:pPr>
        <w:tabs>
          <w:tab w:pos="8787" w:val="right" w:leader="dot"/>
        </w:tabs>
        <w:spacing w:after="8" w:before="0" w:line="228" w:lineRule="auto"/>
      </w:pPr>
      <w:r>
        <w:rPr>
          <w:b/>
          <w:sz w:val="16"/>
        </w:rPr>
        <w:t xml:space="preserve">Figure 11.  </w:t>
      </w:r>
      <w:r>
        <w:rPr>
          <w:sz w:val="16"/>
        </w:rPr>
        <w:t>Continuous integration: six runs, all successful</w:t>
      </w:r>
      <w:r>
        <w:rPr>
          <w:b/>
          <w:sz w:val="16"/>
        </w:rPr>
        <w:tab/>
        <w:t>21</w:t>
      </w:r>
    </w:p>
    <w:p>
      <w:pPr>
        <w:tabs>
          <w:tab w:pos="8787" w:val="right" w:leader="dot"/>
        </w:tabs>
        <w:spacing w:after="8" w:before="0" w:line="228" w:lineRule="auto"/>
      </w:pPr>
      <w:r>
        <w:rPr>
          <w:b/>
          <w:sz w:val="16"/>
        </w:rPr>
        <w:t xml:space="preserve">Figure 12.  </w:t>
      </w:r>
      <w:r>
        <w:rPr>
          <w:sz w:val="16"/>
        </w:rPr>
        <w:t>Continuous integration: the four jobs of run 6</w:t>
      </w:r>
      <w:r>
        <w:rPr>
          <w:b/>
          <w:sz w:val="16"/>
        </w:rPr>
        <w:tab/>
        <w:t>22</w:t>
      </w:r>
    </w:p>
    <w:p>
      <w:pPr>
        <w:keepNext/>
        <w:spacing w:before="140" w:after="40"/>
      </w:pPr>
      <w:r>
        <w:rPr>
          <w:b/>
          <w:color w:val="1F4E79"/>
          <w:sz w:val="22"/>
        </w:rPr>
        <w:t>List of Tables</w:t>
      </w:r>
    </w:p>
    <w:p>
      <w:pPr>
        <w:tabs>
          <w:tab w:pos="8787" w:val="right" w:leader="dot"/>
        </w:tabs>
        <w:spacing w:after="8" w:before="0" w:line="228" w:lineRule="auto"/>
      </w:pPr>
      <w:r>
        <w:rPr>
          <w:b/>
          <w:sz w:val="16"/>
        </w:rPr>
        <w:t xml:space="preserve">Table 1.  </w:t>
      </w:r>
      <w:r>
        <w:rPr>
          <w:sz w:val="16"/>
        </w:rPr>
        <w:t>Evidence base for the problem statement</w:t>
      </w:r>
      <w:r>
        <w:rPr>
          <w:b/>
          <w:sz w:val="16"/>
        </w:rPr>
        <w:tab/>
        <w:t>4</w:t>
      </w:r>
    </w:p>
    <w:p>
      <w:pPr>
        <w:tabs>
          <w:tab w:pos="8787" w:val="right" w:leader="dot"/>
        </w:tabs>
        <w:spacing w:after="8" w:before="0" w:line="228" w:lineRule="auto"/>
      </w:pPr>
      <w:r>
        <w:rPr>
          <w:b/>
          <w:sz w:val="16"/>
        </w:rPr>
        <w:t xml:space="preserve">Table 2.  </w:t>
      </w:r>
      <w:r>
        <w:rPr>
          <w:sz w:val="16"/>
        </w:rPr>
        <w:t>Competitive landscape</w:t>
      </w:r>
      <w:r>
        <w:rPr>
          <w:b/>
          <w:sz w:val="16"/>
        </w:rPr>
        <w:tab/>
        <w:t>5</w:t>
      </w:r>
    </w:p>
    <w:p>
      <w:pPr>
        <w:tabs>
          <w:tab w:pos="8787" w:val="right" w:leader="dot"/>
        </w:tabs>
        <w:spacing w:after="8" w:before="0" w:line="228" w:lineRule="auto"/>
      </w:pPr>
      <w:r>
        <w:rPr>
          <w:b/>
          <w:sz w:val="16"/>
        </w:rPr>
        <w:t xml:space="preserve">Table 3.  </w:t>
      </w:r>
      <w:r>
        <w:rPr>
          <w:sz w:val="16"/>
        </w:rPr>
        <w:t>Stakeholder analysis</w:t>
      </w:r>
      <w:r>
        <w:rPr>
          <w:b/>
          <w:sz w:val="16"/>
        </w:rPr>
        <w:tab/>
        <w:t>5</w:t>
      </w:r>
    </w:p>
    <w:p>
      <w:pPr>
        <w:tabs>
          <w:tab w:pos="8787" w:val="right" w:leader="dot"/>
        </w:tabs>
        <w:spacing w:after="8" w:before="0" w:line="228" w:lineRule="auto"/>
      </w:pPr>
      <w:r>
        <w:rPr>
          <w:b/>
          <w:sz w:val="16"/>
        </w:rPr>
        <w:t xml:space="preserve">Table 4.  </w:t>
      </w:r>
      <w:r>
        <w:rPr>
          <w:sz w:val="16"/>
        </w:rPr>
        <w:t>Functional requirements traceability</w:t>
      </w:r>
      <w:r>
        <w:rPr>
          <w:b/>
          <w:sz w:val="16"/>
        </w:rPr>
        <w:tab/>
        <w:t>5</w:t>
      </w:r>
    </w:p>
    <w:p>
      <w:pPr>
        <w:tabs>
          <w:tab w:pos="8787" w:val="right" w:leader="dot"/>
        </w:tabs>
        <w:spacing w:after="8" w:before="0" w:line="228" w:lineRule="auto"/>
      </w:pPr>
      <w:r>
        <w:rPr>
          <w:b/>
          <w:sz w:val="16"/>
        </w:rPr>
        <w:t xml:space="preserve">Table 5.  </w:t>
      </w:r>
      <w:r>
        <w:rPr>
          <w:sz w:val="16"/>
        </w:rPr>
        <w:t>Non-functional requirements</w:t>
      </w:r>
      <w:r>
        <w:rPr>
          <w:b/>
          <w:sz w:val="16"/>
        </w:rPr>
        <w:tab/>
        <w:t>6</w:t>
      </w:r>
    </w:p>
    <w:p>
      <w:pPr>
        <w:tabs>
          <w:tab w:pos="8787" w:val="right" w:leader="dot"/>
        </w:tabs>
        <w:spacing w:after="8" w:before="0" w:line="228" w:lineRule="auto"/>
      </w:pPr>
      <w:r>
        <w:rPr>
          <w:b/>
          <w:sz w:val="16"/>
        </w:rPr>
        <w:t xml:space="preserve">Table 6.  </w:t>
      </w:r>
      <w:r>
        <w:rPr>
          <w:sz w:val="16"/>
        </w:rPr>
        <w:t>Component technologies</w:t>
      </w:r>
      <w:r>
        <w:rPr>
          <w:b/>
          <w:sz w:val="16"/>
        </w:rPr>
        <w:tab/>
        <w:t>7</w:t>
      </w:r>
    </w:p>
    <w:p>
      <w:pPr>
        <w:tabs>
          <w:tab w:pos="8787" w:val="right" w:leader="dot"/>
        </w:tabs>
        <w:spacing w:after="8" w:before="0" w:line="228" w:lineRule="auto"/>
      </w:pPr>
      <w:r>
        <w:rPr>
          <w:b/>
          <w:sz w:val="16"/>
        </w:rPr>
        <w:t xml:space="preserve">Table 7.  </w:t>
      </w:r>
      <w:r>
        <w:rPr>
          <w:sz w:val="16"/>
        </w:rPr>
        <w:t>Database schema</w:t>
      </w:r>
      <w:r>
        <w:rPr>
          <w:b/>
          <w:sz w:val="16"/>
        </w:rPr>
        <w:tab/>
        <w:t>7</w:t>
      </w:r>
    </w:p>
    <w:p>
      <w:pPr>
        <w:tabs>
          <w:tab w:pos="8787" w:val="right" w:leader="dot"/>
        </w:tabs>
        <w:spacing w:after="8" w:before="0" w:line="228" w:lineRule="auto"/>
      </w:pPr>
      <w:r>
        <w:rPr>
          <w:b/>
          <w:sz w:val="16"/>
        </w:rPr>
        <w:t xml:space="preserve">Table 8.  </w:t>
      </w:r>
      <w:r>
        <w:rPr>
          <w:sz w:val="16"/>
        </w:rPr>
        <w:t>Model card</w:t>
      </w:r>
      <w:r>
        <w:rPr>
          <w:b/>
          <w:sz w:val="16"/>
        </w:rPr>
        <w:tab/>
        <w:t>8</w:t>
      </w:r>
    </w:p>
    <w:p>
      <w:pPr>
        <w:tabs>
          <w:tab w:pos="8787" w:val="right" w:leader="dot"/>
        </w:tabs>
        <w:spacing w:after="8" w:before="0" w:line="228" w:lineRule="auto"/>
      </w:pPr>
      <w:r>
        <w:rPr>
          <w:b/>
          <w:sz w:val="16"/>
        </w:rPr>
        <w:t xml:space="preserve">Table 9.  </w:t>
      </w:r>
      <w:r>
        <w:rPr>
          <w:sz w:val="16"/>
        </w:rPr>
        <w:t>The eight questionnaire inputs</w:t>
      </w:r>
      <w:r>
        <w:rPr>
          <w:b/>
          <w:sz w:val="16"/>
        </w:rPr>
        <w:tab/>
        <w:t>8</w:t>
      </w:r>
    </w:p>
    <w:p>
      <w:pPr>
        <w:tabs>
          <w:tab w:pos="8787" w:val="right" w:leader="dot"/>
        </w:tabs>
        <w:spacing w:after="8" w:before="0" w:line="228" w:lineRule="auto"/>
      </w:pPr>
      <w:r>
        <w:rPr>
          <w:b/>
          <w:sz w:val="16"/>
        </w:rPr>
        <w:t xml:space="preserve">Table 10.  </w:t>
      </w:r>
      <w:r>
        <w:rPr>
          <w:sz w:val="16"/>
        </w:rPr>
        <w:t>Calibration deciles</w:t>
      </w:r>
      <w:r>
        <w:rPr>
          <w:b/>
          <w:sz w:val="16"/>
        </w:rPr>
        <w:tab/>
        <w:t>9</w:t>
      </w:r>
    </w:p>
    <w:p>
      <w:pPr>
        <w:tabs>
          <w:tab w:pos="8787" w:val="right" w:leader="dot"/>
        </w:tabs>
        <w:spacing w:after="8" w:before="0" w:line="228" w:lineRule="auto"/>
      </w:pPr>
      <w:r>
        <w:rPr>
          <w:b/>
          <w:sz w:val="16"/>
        </w:rPr>
        <w:t xml:space="preserve">Table 11.  </w:t>
      </w:r>
      <w:r>
        <w:rPr>
          <w:sz w:val="16"/>
        </w:rPr>
        <w:t>Risk tiers and observed default rates</w:t>
      </w:r>
      <w:r>
        <w:rPr>
          <w:b/>
          <w:sz w:val="16"/>
        </w:rPr>
        <w:tab/>
        <w:t>9</w:t>
      </w:r>
    </w:p>
    <w:p>
      <w:pPr>
        <w:tabs>
          <w:tab w:pos="8787" w:val="right" w:leader="dot"/>
        </w:tabs>
        <w:spacing w:after="8" w:before="0" w:line="228" w:lineRule="auto"/>
      </w:pPr>
      <w:r>
        <w:rPr>
          <w:b/>
          <w:sz w:val="16"/>
        </w:rPr>
        <w:t xml:space="preserve">Table 12.  </w:t>
      </w:r>
      <w:r>
        <w:rPr>
          <w:sz w:val="16"/>
        </w:rPr>
        <w:t>Fairness checks</w:t>
      </w:r>
      <w:r>
        <w:rPr>
          <w:b/>
          <w:sz w:val="16"/>
        </w:rPr>
        <w:tab/>
        <w:t>9</w:t>
      </w:r>
    </w:p>
    <w:p>
      <w:pPr>
        <w:tabs>
          <w:tab w:pos="8787" w:val="right" w:leader="dot"/>
        </w:tabs>
        <w:spacing w:after="8" w:before="0" w:line="228" w:lineRule="auto"/>
      </w:pPr>
      <w:r>
        <w:rPr>
          <w:b/>
          <w:sz w:val="16"/>
        </w:rPr>
        <w:t xml:space="preserve">Table 13.  </w:t>
      </w:r>
      <w:r>
        <w:rPr>
          <w:sz w:val="16"/>
        </w:rPr>
        <w:t>The five contracts</w:t>
      </w:r>
      <w:r>
        <w:rPr>
          <w:b/>
          <w:sz w:val="16"/>
        </w:rPr>
        <w:tab/>
        <w:t>10</w:t>
      </w:r>
    </w:p>
    <w:p>
      <w:pPr>
        <w:tabs>
          <w:tab w:pos="8787" w:val="right" w:leader="dot"/>
        </w:tabs>
        <w:spacing w:after="8" w:before="0" w:line="228" w:lineRule="auto"/>
      </w:pPr>
      <w:r>
        <w:rPr>
          <w:b/>
          <w:sz w:val="16"/>
        </w:rPr>
        <w:t xml:space="preserve">Table 14.  </w:t>
      </w:r>
      <w:r>
        <w:rPr>
          <w:sz w:val="16"/>
        </w:rPr>
        <w:t>Loan rules enforced by LoanManager</w:t>
      </w:r>
      <w:r>
        <w:rPr>
          <w:b/>
          <w:sz w:val="16"/>
        </w:rPr>
        <w:tab/>
        <w:t>10</w:t>
      </w:r>
    </w:p>
    <w:p>
      <w:pPr>
        <w:tabs>
          <w:tab w:pos="8787" w:val="right" w:leader="dot"/>
        </w:tabs>
        <w:spacing w:after="8" w:before="0" w:line="228" w:lineRule="auto"/>
      </w:pPr>
      <w:r>
        <w:rPr>
          <w:b/>
          <w:sz w:val="16"/>
        </w:rPr>
        <w:t xml:space="preserve">Table 15.  </w:t>
      </w:r>
      <w:r>
        <w:rPr>
          <w:sz w:val="16"/>
        </w:rPr>
        <w:t>Nineteen transaction types</w:t>
      </w:r>
      <w:r>
        <w:rPr>
          <w:b/>
          <w:sz w:val="16"/>
        </w:rPr>
        <w:tab/>
        <w:t>11</w:t>
      </w:r>
    </w:p>
    <w:p>
      <w:pPr>
        <w:tabs>
          <w:tab w:pos="8787" w:val="right" w:leader="dot"/>
        </w:tabs>
        <w:spacing w:after="8" w:before="0" w:line="228" w:lineRule="auto"/>
      </w:pPr>
      <w:r>
        <w:rPr>
          <w:b/>
          <w:sz w:val="16"/>
        </w:rPr>
        <w:t xml:space="preserve">Table 16.  </w:t>
      </w:r>
      <w:r>
        <w:rPr>
          <w:sz w:val="16"/>
        </w:rPr>
        <w:t>Gas report</w:t>
      </w:r>
      <w:r>
        <w:rPr>
          <w:b/>
          <w:sz w:val="16"/>
        </w:rPr>
        <w:tab/>
        <w:t>11</w:t>
      </w:r>
    </w:p>
    <w:p>
      <w:pPr>
        <w:tabs>
          <w:tab w:pos="8787" w:val="right" w:leader="dot"/>
        </w:tabs>
        <w:spacing w:after="8" w:before="0" w:line="228" w:lineRule="auto"/>
      </w:pPr>
      <w:r>
        <w:rPr>
          <w:b/>
          <w:sz w:val="16"/>
        </w:rPr>
        <w:t xml:space="preserve">Table 17.  </w:t>
      </w:r>
      <w:r>
        <w:rPr>
          <w:sz w:val="16"/>
        </w:rPr>
        <w:t>Threat model and implemented controls</w:t>
      </w:r>
      <w:r>
        <w:rPr>
          <w:b/>
          <w:sz w:val="16"/>
        </w:rPr>
        <w:tab/>
        <w:t>11</w:t>
      </w:r>
    </w:p>
    <w:p>
      <w:pPr>
        <w:tabs>
          <w:tab w:pos="8787" w:val="right" w:leader="dot"/>
        </w:tabs>
        <w:spacing w:after="8" w:before="0" w:line="228" w:lineRule="auto"/>
      </w:pPr>
      <w:r>
        <w:rPr>
          <w:b/>
          <w:sz w:val="16"/>
        </w:rPr>
        <w:t xml:space="preserve">Table 18.  </w:t>
      </w:r>
      <w:r>
        <w:rPr>
          <w:sz w:val="16"/>
        </w:rPr>
        <w:t>Slither results before and after remediation</w:t>
      </w:r>
      <w:r>
        <w:rPr>
          <w:b/>
          <w:sz w:val="16"/>
        </w:rPr>
        <w:tab/>
        <w:t>12</w:t>
      </w:r>
    </w:p>
    <w:p>
      <w:pPr>
        <w:tabs>
          <w:tab w:pos="8787" w:val="right" w:leader="dot"/>
        </w:tabs>
        <w:spacing w:after="8" w:before="0" w:line="228" w:lineRule="auto"/>
      </w:pPr>
      <w:r>
        <w:rPr>
          <w:b/>
          <w:sz w:val="16"/>
        </w:rPr>
        <w:t xml:space="preserve">Table 19.  </w:t>
      </w:r>
      <w:r>
        <w:rPr>
          <w:sz w:val="16"/>
        </w:rPr>
        <w:t>REST API surface</w:t>
      </w:r>
      <w:r>
        <w:rPr>
          <w:b/>
          <w:sz w:val="16"/>
        </w:rPr>
        <w:tab/>
        <w:t>13</w:t>
      </w:r>
    </w:p>
    <w:p>
      <w:pPr>
        <w:tabs>
          <w:tab w:pos="8787" w:val="right" w:leader="dot"/>
        </w:tabs>
        <w:spacing w:after="8" w:before="0" w:line="228" w:lineRule="auto"/>
      </w:pPr>
      <w:r>
        <w:rPr>
          <w:b/>
          <w:sz w:val="16"/>
        </w:rPr>
        <w:t xml:space="preserve">Table 20.  </w:t>
      </w:r>
      <w:r>
        <w:rPr>
          <w:sz w:val="16"/>
        </w:rPr>
        <w:t>Role-based pages</w:t>
      </w:r>
      <w:r>
        <w:rPr>
          <w:b/>
          <w:sz w:val="16"/>
        </w:rPr>
        <w:tab/>
        <w:t>13</w:t>
      </w:r>
    </w:p>
    <w:p>
      <w:pPr>
        <w:tabs>
          <w:tab w:pos="8787" w:val="right" w:leader="dot"/>
        </w:tabs>
        <w:spacing w:after="8" w:before="0" w:line="228" w:lineRule="auto"/>
      </w:pPr>
      <w:r>
        <w:rPr>
          <w:b/>
          <w:sz w:val="16"/>
        </w:rPr>
        <w:t xml:space="preserve">Table 21.  </w:t>
      </w:r>
      <w:r>
        <w:rPr>
          <w:sz w:val="16"/>
        </w:rPr>
        <w:t>Test results at a glance</w:t>
      </w:r>
      <w:r>
        <w:rPr>
          <w:b/>
          <w:sz w:val="16"/>
        </w:rPr>
        <w:tab/>
        <w:t>15</w:t>
      </w:r>
    </w:p>
    <w:p>
      <w:pPr>
        <w:tabs>
          <w:tab w:pos="8787" w:val="right" w:leader="dot"/>
        </w:tabs>
        <w:spacing w:after="8" w:before="0" w:line="228" w:lineRule="auto"/>
      </w:pPr>
      <w:r>
        <w:rPr>
          <w:b/>
          <w:sz w:val="16"/>
        </w:rPr>
        <w:t xml:space="preserve">Table 22.  </w:t>
      </w:r>
      <w:r>
        <w:rPr>
          <w:sz w:val="16"/>
        </w:rPr>
        <w:t>Coverage by contract</w:t>
      </w:r>
      <w:r>
        <w:rPr>
          <w:b/>
          <w:sz w:val="16"/>
        </w:rPr>
        <w:tab/>
        <w:t>15</w:t>
      </w:r>
    </w:p>
    <w:p>
      <w:pPr>
        <w:tabs>
          <w:tab w:pos="8787" w:val="right" w:leader="dot"/>
        </w:tabs>
        <w:spacing w:after="8" w:before="0" w:line="228" w:lineRule="auto"/>
      </w:pPr>
      <w:r>
        <w:rPr>
          <w:b/>
          <w:sz w:val="16"/>
        </w:rPr>
        <w:t xml:space="preserve">Table 23.  </w:t>
      </w:r>
      <w:r>
        <w:rPr>
          <w:sz w:val="16"/>
        </w:rPr>
        <w:t>Manual end-to-end scenarios</w:t>
      </w:r>
      <w:r>
        <w:rPr>
          <w:b/>
          <w:sz w:val="16"/>
        </w:rPr>
        <w:tab/>
        <w:t>15</w:t>
      </w:r>
    </w:p>
    <w:p>
      <w:pPr>
        <w:tabs>
          <w:tab w:pos="8787" w:val="right" w:leader="dot"/>
        </w:tabs>
        <w:spacing w:after="8" w:before="0" w:line="228" w:lineRule="auto"/>
      </w:pPr>
      <w:r>
        <w:rPr>
          <w:b/>
          <w:sz w:val="16"/>
        </w:rPr>
        <w:t xml:space="preserve">Table 24.  </w:t>
      </w:r>
      <w:r>
        <w:rPr>
          <w:sz w:val="16"/>
        </w:rPr>
        <w:t>Measured effect of the checks-effects-interactions fix</w:t>
      </w:r>
      <w:r>
        <w:rPr>
          <w:b/>
          <w:sz w:val="16"/>
        </w:rPr>
        <w:tab/>
        <w:t>16</w:t>
      </w:r>
    </w:p>
    <w:p>
      <w:pPr>
        <w:tabs>
          <w:tab w:pos="8787" w:val="right" w:leader="dot"/>
        </w:tabs>
        <w:spacing w:after="8" w:before="0" w:line="228" w:lineRule="auto"/>
      </w:pPr>
      <w:r>
        <w:rPr>
          <w:b/>
          <w:sz w:val="16"/>
        </w:rPr>
        <w:t xml:space="preserve">Table 25.  </w:t>
      </w:r>
      <w:r>
        <w:rPr>
          <w:sz w:val="16"/>
        </w:rPr>
        <w:t>Defects raised by the independent test pass</w:t>
      </w:r>
      <w:r>
        <w:rPr>
          <w:b/>
          <w:sz w:val="16"/>
        </w:rPr>
        <w:tab/>
        <w:t>16</w:t>
      </w:r>
    </w:p>
    <w:p>
      <w:pPr>
        <w:tabs>
          <w:tab w:pos="8787" w:val="right" w:leader="dot"/>
        </w:tabs>
        <w:spacing w:after="8" w:before="0" w:line="228" w:lineRule="auto"/>
      </w:pPr>
      <w:r>
        <w:rPr>
          <w:b/>
          <w:sz w:val="16"/>
        </w:rPr>
        <w:t xml:space="preserve">Table 26.  </w:t>
      </w:r>
      <w:r>
        <w:rPr>
          <w:sz w:val="16"/>
        </w:rPr>
        <w:t>Success indicators, targets and measured values</w:t>
      </w:r>
      <w:r>
        <w:rPr>
          <w:b/>
          <w:sz w:val="16"/>
        </w:rPr>
        <w:tab/>
        <w:t>16</w:t>
      </w:r>
    </w:p>
    <w:p>
      <w:pPr>
        <w:tabs>
          <w:tab w:pos="8787" w:val="right" w:leader="dot"/>
        </w:tabs>
        <w:spacing w:after="8" w:before="0" w:line="228" w:lineRule="auto"/>
      </w:pPr>
      <w:r>
        <w:rPr>
          <w:b/>
          <w:sz w:val="16"/>
        </w:rPr>
        <w:t xml:space="preserve">Table 27.  </w:t>
      </w:r>
      <w:r>
        <w:rPr>
          <w:sz w:val="16"/>
        </w:rPr>
        <w:t>Deployed contracts on Ethereum Sepolia</w:t>
      </w:r>
      <w:r>
        <w:rPr>
          <w:b/>
          <w:sz w:val="16"/>
        </w:rPr>
        <w:tab/>
        <w:t>19</w:t>
      </w:r>
    </w:p>
    <w:p>
      <w:pPr>
        <w:tabs>
          <w:tab w:pos="8787" w:val="right" w:leader="dot"/>
        </w:tabs>
        <w:spacing w:after="8" w:before="0" w:line="228" w:lineRule="auto"/>
      </w:pPr>
      <w:r>
        <w:rPr>
          <w:b/>
          <w:sz w:val="16"/>
        </w:rPr>
        <w:t xml:space="preserve">Table 28.  </w:t>
      </w:r>
      <w:r>
        <w:rPr>
          <w:sz w:val="16"/>
        </w:rPr>
        <w:t>Deployment topology and continuous-integration evidence</w:t>
      </w:r>
      <w:r>
        <w:rPr>
          <w:b/>
          <w:sz w:val="16"/>
        </w:rPr>
        <w:tab/>
        <w:t>19</w:t>
      </w:r>
    </w:p>
    <w:p>
      <w:pPr>
        <w:tabs>
          <w:tab w:pos="8787" w:val="right" w:leader="dot"/>
        </w:tabs>
        <w:spacing w:after="8" w:before="0" w:line="228" w:lineRule="auto"/>
      </w:pPr>
      <w:r>
        <w:rPr>
          <w:b/>
          <w:sz w:val="16"/>
        </w:rPr>
        <w:t xml:space="preserve">Table 29.  </w:t>
      </w:r>
      <w:r>
        <w:rPr>
          <w:sz w:val="16"/>
        </w:rPr>
        <w:t>Consolidated limitations</w:t>
      </w:r>
      <w:r>
        <w:rPr>
          <w:b/>
          <w:sz w:val="16"/>
        </w:rPr>
        <w:tab/>
        <w:t>19</w:t>
      </w:r>
    </w:p>
    <w:p>
      <w:pPr>
        <w:tabs>
          <w:tab w:pos="8787" w:val="right" w:leader="dot"/>
        </w:tabs>
        <w:spacing w:after="8" w:before="0" w:line="228" w:lineRule="auto"/>
      </w:pPr>
      <w:r>
        <w:rPr>
          <w:b/>
          <w:sz w:val="16"/>
        </w:rPr>
        <w:t xml:space="preserve">Table 30.  </w:t>
      </w:r>
      <w:r>
        <w:rPr>
          <w:sz w:val="16"/>
        </w:rPr>
        <w:t>Problem-validation survey results</w:t>
      </w:r>
      <w:r>
        <w:rPr>
          <w:b/>
          <w:sz w:val="16"/>
        </w:rPr>
        <w:tab/>
        <w:t>20</w:t>
      </w:r>
    </w:p>
    <w:p>
      <w:pPr>
        <w:tabs>
          <w:tab w:pos="8787" w:val="right" w:leader="dot"/>
        </w:tabs>
        <w:spacing w:after="8" w:before="0" w:line="228" w:lineRule="auto"/>
      </w:pPr>
      <w:r>
        <w:rPr>
          <w:b/>
          <w:sz w:val="16"/>
        </w:rPr>
        <w:t xml:space="preserve">Table 31.  </w:t>
      </w:r>
      <w:r>
        <w:rPr>
          <w:sz w:val="16"/>
        </w:rPr>
        <w:t>Contribution matrix</w:t>
      </w:r>
      <w:r>
        <w:rPr>
          <w:b/>
          <w:sz w:val="16"/>
        </w:rPr>
        <w:tab/>
        <w:t>22</w:t>
      </w:r>
    </w:p>
    <w:p>
      <w:r>
        <w:br w:type="page"/>
      </w:r>
    </w:p>
    <w:p>
      <w:pPr>
        <w:keepNext/>
        <w:spacing w:before="0" w:after="80"/>
      </w:pPr>
      <w:r>
        <w:rPr>
          <w:b/>
          <w:color w:val="1F4E79"/>
          <w:sz w:val="22"/>
        </w:rPr>
        <w:t>Abbreviations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361"/>
            <w:shd w:val="clear" w:color="auto" w:fill="1F4E79"/>
          </w:tcPr>
          <w:p>
            <w:pPr>
              <w:spacing w:after="0" w:line="240" w:lineRule="auto"/>
            </w:pPr>
            <w:r/>
            <w:r>
              <w:rPr>
                <w:b/>
                <w:color w:val="FFFFFF"/>
                <w:sz w:val="16"/>
                <w:rFonts w:ascii="Times New Roman" w:hAnsi="Times New Roman" w:eastAsia="Times New Roman"/>
              </w:rPr>
              <w:t>Term</w:t>
            </w:r>
          </w:p>
        </w:tc>
        <w:tc>
          <w:tcPr>
            <w:tcW w:type="dxa" w:w="3061"/>
            <w:shd w:val="clear" w:color="auto" w:fill="1F4E79"/>
          </w:tcPr>
          <w:p>
            <w:pPr>
              <w:spacing w:after="0" w:line="240" w:lineRule="auto"/>
            </w:pPr>
            <w:r/>
            <w:r>
              <w:rPr>
                <w:b/>
                <w:color w:val="FFFFFF"/>
                <w:sz w:val="16"/>
                <w:rFonts w:ascii="Times New Roman" w:hAnsi="Times New Roman" w:eastAsia="Times New Roman"/>
              </w:rPr>
              <w:t>Meaning</w:t>
            </w:r>
          </w:p>
        </w:tc>
        <w:tc>
          <w:tcPr>
            <w:tcW w:type="dxa" w:w="1361"/>
            <w:shd w:val="clear" w:color="auto" w:fill="1F4E79"/>
          </w:tcPr>
          <w:p>
            <w:pPr>
              <w:spacing w:after="0" w:line="240" w:lineRule="auto"/>
            </w:pPr>
            <w:r/>
            <w:r>
              <w:rPr>
                <w:b/>
                <w:color w:val="FFFFFF"/>
                <w:sz w:val="16"/>
                <w:rFonts w:ascii="Times New Roman" w:hAnsi="Times New Roman" w:eastAsia="Times New Roman"/>
              </w:rPr>
              <w:t>Term</w:t>
            </w:r>
          </w:p>
        </w:tc>
        <w:tc>
          <w:tcPr>
            <w:tcW w:type="dxa" w:w="3005"/>
            <w:shd w:val="clear" w:color="auto" w:fill="1F4E79"/>
          </w:tcPr>
          <w:p>
            <w:pPr>
              <w:spacing w:after="0" w:line="240" w:lineRule="auto"/>
            </w:pPr>
            <w:r/>
            <w:r>
              <w:rPr>
                <w:b/>
                <w:color w:val="FFFFFF"/>
                <w:sz w:val="16"/>
                <w:rFonts w:ascii="Times New Roman" w:hAnsi="Times New Roman" w:eastAsia="Times New Roman"/>
              </w:rPr>
              <w:t>Meaning</w:t>
            </w:r>
          </w:p>
        </w:tc>
      </w:tr>
      <w:tr>
        <w:tc>
          <w:tcPr>
            <w:tcW w:type="dxa" w:w="1361"/>
          </w:tcPr>
          <w:p>
            <w:pPr>
              <w:spacing w:after="0" w:before="0" w:line="240" w:lineRule="auto"/>
            </w:pPr>
            <w:r>
              <w:rPr>
                <w:sz w:val="16"/>
              </w:rPr>
            </w:r>
            <w:r>
              <w:rPr>
                <w:rFonts w:ascii="Times New Roman" w:hAnsi="Times New Roman" w:eastAsia="Times New Roman"/>
                <w:sz w:val="16"/>
              </w:rPr>
              <w:t>API</w:t>
            </w:r>
          </w:p>
        </w:tc>
        <w:tc>
          <w:tcPr>
            <w:tcW w:type="dxa" w:w="3061"/>
          </w:tcPr>
          <w:p>
            <w:pPr>
              <w:spacing w:after="0" w:before="0" w:line="240" w:lineRule="auto"/>
            </w:pPr>
            <w:r>
              <w:rPr>
                <w:sz w:val="16"/>
              </w:rPr>
            </w:r>
            <w:r>
              <w:rPr>
                <w:rFonts w:ascii="Times New Roman" w:hAnsi="Times New Roman" w:eastAsia="Times New Roman"/>
                <w:sz w:val="16"/>
              </w:rPr>
              <w:t>application programming interface</w:t>
            </w:r>
          </w:p>
        </w:tc>
        <w:tc>
          <w:tcPr>
            <w:tcW w:type="dxa" w:w="1361"/>
          </w:tcPr>
          <w:p>
            <w:pPr>
              <w:spacing w:after="0" w:before="0" w:line="240" w:lineRule="auto"/>
            </w:pPr>
            <w:r>
              <w:rPr>
                <w:sz w:val="16"/>
              </w:rPr>
            </w:r>
            <w:r>
              <w:rPr>
                <w:rFonts w:ascii="Times New Roman" w:hAnsi="Times New Roman" w:eastAsia="Times New Roman"/>
                <w:sz w:val="16"/>
              </w:rPr>
              <w:t>JSON-RPC</w:t>
            </w:r>
          </w:p>
        </w:tc>
        <w:tc>
          <w:tcPr>
            <w:tcW w:type="dxa" w:w="3005"/>
          </w:tcPr>
          <w:p>
            <w:pPr>
              <w:spacing w:after="0" w:before="0" w:line="240" w:lineRule="auto"/>
            </w:pPr>
            <w:r>
              <w:rPr>
                <w:sz w:val="16"/>
              </w:rPr>
            </w:r>
            <w:r>
              <w:rPr>
                <w:rFonts w:ascii="Times New Roman" w:hAnsi="Times New Roman" w:eastAsia="Times New Roman"/>
                <w:sz w:val="16"/>
              </w:rPr>
              <w:t>the remote procedure call protocol used to read the chain</w:t>
            </w:r>
          </w:p>
        </w:tc>
      </w:tr>
      <w:tr>
        <w:tc>
          <w:tcPr>
            <w:tcW w:type="dxa" w:w="1361"/>
          </w:tcPr>
          <w:p>
            <w:pPr>
              <w:spacing w:after="0" w:before="0" w:line="240" w:lineRule="auto"/>
            </w:pPr>
            <w:r>
              <w:rPr>
                <w:sz w:val="16"/>
              </w:rPr>
            </w:r>
            <w:r>
              <w:rPr>
                <w:rFonts w:ascii="Times New Roman" w:hAnsi="Times New Roman" w:eastAsia="Times New Roman"/>
                <w:sz w:val="16"/>
              </w:rPr>
              <w:t>APR</w:t>
            </w:r>
          </w:p>
        </w:tc>
        <w:tc>
          <w:tcPr>
            <w:tcW w:type="dxa" w:w="3061"/>
          </w:tcPr>
          <w:p>
            <w:pPr>
              <w:spacing w:after="0" w:before="0" w:line="240" w:lineRule="auto"/>
            </w:pPr>
            <w:r>
              <w:rPr>
                <w:sz w:val="16"/>
              </w:rPr>
            </w:r>
            <w:r>
              <w:rPr>
                <w:rFonts w:ascii="Times New Roman" w:hAnsi="Times New Roman" w:eastAsia="Times New Roman"/>
                <w:sz w:val="16"/>
              </w:rPr>
              <w:t>annual percentage rate</w:t>
            </w:r>
          </w:p>
        </w:tc>
        <w:tc>
          <w:tcPr>
            <w:tcW w:type="dxa" w:w="1361"/>
          </w:tcPr>
          <w:p>
            <w:pPr>
              <w:spacing w:after="0" w:before="0" w:line="240" w:lineRule="auto"/>
            </w:pPr>
            <w:r>
              <w:rPr>
                <w:sz w:val="16"/>
              </w:rPr>
            </w:r>
            <w:r>
              <w:rPr>
                <w:rFonts w:ascii="Times New Roman" w:hAnsi="Times New Roman" w:eastAsia="Times New Roman"/>
                <w:sz w:val="16"/>
              </w:rPr>
              <w:t>JWT</w:t>
            </w:r>
          </w:p>
        </w:tc>
        <w:tc>
          <w:tcPr>
            <w:tcW w:type="dxa" w:w="3005"/>
          </w:tcPr>
          <w:p>
            <w:pPr>
              <w:spacing w:after="0" w:before="0" w:line="240" w:lineRule="auto"/>
            </w:pPr>
            <w:r>
              <w:rPr>
                <w:sz w:val="16"/>
              </w:rPr>
            </w:r>
            <w:r>
              <w:rPr>
                <w:rFonts w:ascii="Times New Roman" w:hAnsi="Times New Roman" w:eastAsia="Times New Roman"/>
                <w:sz w:val="16"/>
              </w:rPr>
              <w:t>JSON Web Token; the signed-in session credential</w:t>
            </w:r>
          </w:p>
        </w:tc>
      </w:tr>
      <w:tr>
        <w:tc>
          <w:tcPr>
            <w:tcW w:type="dxa" w:w="1361"/>
          </w:tcPr>
          <w:p>
            <w:pPr>
              <w:spacing w:after="0" w:before="0" w:line="240" w:lineRule="auto"/>
            </w:pPr>
            <w:r>
              <w:rPr>
                <w:sz w:val="16"/>
              </w:rPr>
            </w:r>
            <w:r>
              <w:rPr>
                <w:rFonts w:ascii="Times New Roman" w:hAnsi="Times New Roman" w:eastAsia="Times New Roman"/>
                <w:sz w:val="16"/>
              </w:rPr>
              <w:t>AUC</w:t>
            </w:r>
          </w:p>
        </w:tc>
        <w:tc>
          <w:tcPr>
            <w:tcW w:type="dxa" w:w="3061"/>
          </w:tcPr>
          <w:p>
            <w:pPr>
              <w:spacing w:after="0" w:before="0" w:line="240" w:lineRule="auto"/>
            </w:pPr>
            <w:r>
              <w:rPr>
                <w:sz w:val="16"/>
              </w:rPr>
            </w:r>
            <w:r>
              <w:rPr>
                <w:rFonts w:ascii="Times New Roman" w:hAnsi="Times New Roman" w:eastAsia="Times New Roman"/>
                <w:sz w:val="16"/>
              </w:rPr>
              <w:t>area under the receiver-operating-characteristic curve</w:t>
            </w:r>
          </w:p>
        </w:tc>
        <w:tc>
          <w:tcPr>
            <w:tcW w:type="dxa" w:w="1361"/>
          </w:tcPr>
          <w:p>
            <w:pPr>
              <w:spacing w:after="0" w:before="0" w:line="240" w:lineRule="auto"/>
            </w:pPr>
            <w:r>
              <w:rPr>
                <w:sz w:val="16"/>
              </w:rPr>
            </w:r>
            <w:r>
              <w:rPr>
                <w:rFonts w:ascii="Times New Roman" w:hAnsi="Times New Roman" w:eastAsia="Times New Roman"/>
                <w:sz w:val="16"/>
              </w:rPr>
              <w:t>KS</w:t>
            </w:r>
          </w:p>
        </w:tc>
        <w:tc>
          <w:tcPr>
            <w:tcW w:type="dxa" w:w="3005"/>
          </w:tcPr>
          <w:p>
            <w:pPr>
              <w:spacing w:after="0" w:before="0" w:line="240" w:lineRule="auto"/>
            </w:pPr>
            <w:r>
              <w:rPr>
                <w:sz w:val="16"/>
              </w:rPr>
            </w:r>
            <w:r>
              <w:rPr>
                <w:rFonts w:ascii="Times New Roman" w:hAnsi="Times New Roman" w:eastAsia="Times New Roman"/>
                <w:sz w:val="16"/>
              </w:rPr>
              <w:t>Kolmogorov-Smirnov statistic, a discrimination measure</w:t>
            </w:r>
          </w:p>
        </w:tc>
      </w:tr>
      <w:tr>
        <w:tc>
          <w:tcPr>
            <w:tcW w:type="dxa" w:w="1361"/>
          </w:tcPr>
          <w:p>
            <w:pPr>
              <w:spacing w:after="0" w:before="0" w:line="240" w:lineRule="auto"/>
            </w:pPr>
            <w:r>
              <w:rPr>
                <w:sz w:val="16"/>
              </w:rPr>
            </w:r>
            <w:r>
              <w:rPr>
                <w:rFonts w:ascii="Times New Roman" w:hAnsi="Times New Roman" w:eastAsia="Times New Roman"/>
                <w:sz w:val="16"/>
              </w:rPr>
              <w:t>bps</w:t>
            </w:r>
          </w:p>
        </w:tc>
        <w:tc>
          <w:tcPr>
            <w:tcW w:type="dxa" w:w="3061"/>
          </w:tcPr>
          <w:p>
            <w:pPr>
              <w:spacing w:after="0" w:before="0" w:line="240" w:lineRule="auto"/>
            </w:pPr>
            <w:r>
              <w:rPr>
                <w:sz w:val="16"/>
              </w:rPr>
            </w:r>
            <w:r>
              <w:rPr>
                <w:rFonts w:ascii="Times New Roman" w:hAnsi="Times New Roman" w:eastAsia="Times New Roman"/>
                <w:sz w:val="16"/>
              </w:rPr>
              <w:t>basis points; 10,000 bps = 100%</w:t>
            </w:r>
          </w:p>
        </w:tc>
        <w:tc>
          <w:tcPr>
            <w:tcW w:type="dxa" w:w="1361"/>
          </w:tcPr>
          <w:p>
            <w:pPr>
              <w:spacing w:after="0" w:before="0" w:line="240" w:lineRule="auto"/>
            </w:pPr>
            <w:r>
              <w:rPr>
                <w:sz w:val="16"/>
              </w:rPr>
            </w:r>
            <w:r>
              <w:rPr>
                <w:rFonts w:ascii="Times New Roman" w:hAnsi="Times New Roman" w:eastAsia="Times New Roman"/>
                <w:sz w:val="16"/>
              </w:rPr>
              <w:t>KYC / AML</w:t>
            </w:r>
          </w:p>
        </w:tc>
        <w:tc>
          <w:tcPr>
            <w:tcW w:type="dxa" w:w="3005"/>
          </w:tcPr>
          <w:p>
            <w:pPr>
              <w:spacing w:after="0" w:before="0" w:line="240" w:lineRule="auto"/>
            </w:pPr>
            <w:r>
              <w:rPr>
                <w:sz w:val="16"/>
              </w:rPr>
            </w:r>
            <w:r>
              <w:rPr>
                <w:rFonts w:ascii="Times New Roman" w:hAnsi="Times New Roman" w:eastAsia="Times New Roman"/>
                <w:sz w:val="16"/>
              </w:rPr>
              <w:t>know-your-customer and anti-money-laundering requirements</w:t>
            </w:r>
          </w:p>
        </w:tc>
      </w:tr>
      <w:tr>
        <w:tc>
          <w:tcPr>
            <w:tcW w:type="dxa" w:w="1361"/>
          </w:tcPr>
          <w:p>
            <w:pPr>
              <w:spacing w:after="0" w:before="0" w:line="240" w:lineRule="auto"/>
            </w:pPr>
            <w:r>
              <w:rPr>
                <w:sz w:val="16"/>
              </w:rPr>
            </w:r>
            <w:r>
              <w:rPr>
                <w:rFonts w:ascii="Times New Roman" w:hAnsi="Times New Roman" w:eastAsia="Times New Roman"/>
                <w:sz w:val="16"/>
              </w:rPr>
              <w:t>CI</w:t>
            </w:r>
          </w:p>
        </w:tc>
        <w:tc>
          <w:tcPr>
            <w:tcW w:type="dxa" w:w="3061"/>
          </w:tcPr>
          <w:p>
            <w:pPr>
              <w:spacing w:after="0" w:before="0" w:line="240" w:lineRule="auto"/>
            </w:pPr>
            <w:r>
              <w:rPr>
                <w:sz w:val="16"/>
              </w:rPr>
            </w:r>
            <w:r>
              <w:rPr>
                <w:rFonts w:ascii="Times New Roman" w:hAnsi="Times New Roman" w:eastAsia="Times New Roman"/>
                <w:sz w:val="16"/>
              </w:rPr>
              <w:t>continuous integration</w:t>
            </w:r>
          </w:p>
        </w:tc>
        <w:tc>
          <w:tcPr>
            <w:tcW w:type="dxa" w:w="1361"/>
          </w:tcPr>
          <w:p>
            <w:pPr>
              <w:spacing w:after="0" w:before="0" w:line="240" w:lineRule="auto"/>
            </w:pPr>
            <w:r>
              <w:rPr>
                <w:sz w:val="16"/>
              </w:rPr>
            </w:r>
            <w:r>
              <w:rPr>
                <w:rFonts w:ascii="Times New Roman" w:hAnsi="Times New Roman" w:eastAsia="Times New Roman"/>
                <w:sz w:val="16"/>
              </w:rPr>
              <w:t>mUSDC</w:t>
            </w:r>
          </w:p>
        </w:tc>
        <w:tc>
          <w:tcPr>
            <w:tcW w:type="dxa" w:w="3005"/>
          </w:tcPr>
          <w:p>
            <w:pPr>
              <w:spacing w:after="0" w:before="0" w:line="240" w:lineRule="auto"/>
            </w:pPr>
            <w:r>
              <w:rPr>
                <w:sz w:val="16"/>
              </w:rPr>
            </w:r>
            <w:r>
              <w:rPr>
                <w:rFonts w:ascii="Times New Roman" w:hAnsi="Times New Roman" w:eastAsia="Times New Roman"/>
                <w:sz w:val="16"/>
              </w:rPr>
              <w:t>mock USD Coin; the 6-decimal test stablecoin used by this project</w:t>
            </w:r>
          </w:p>
        </w:tc>
      </w:tr>
      <w:tr>
        <w:tc>
          <w:tcPr>
            <w:tcW w:type="dxa" w:w="1361"/>
          </w:tcPr>
          <w:p>
            <w:pPr>
              <w:spacing w:after="0" w:before="0" w:line="240" w:lineRule="auto"/>
            </w:pPr>
            <w:r>
              <w:rPr>
                <w:sz w:val="16"/>
              </w:rPr>
            </w:r>
            <w:r>
              <w:rPr>
                <w:rFonts w:ascii="Times New Roman" w:hAnsi="Times New Roman" w:eastAsia="Times New Roman"/>
                <w:sz w:val="16"/>
              </w:rPr>
              <w:t>EIP-191</w:t>
            </w:r>
          </w:p>
        </w:tc>
        <w:tc>
          <w:tcPr>
            <w:tcW w:type="dxa" w:w="3061"/>
          </w:tcPr>
          <w:p>
            <w:pPr>
              <w:spacing w:after="0" w:before="0" w:line="240" w:lineRule="auto"/>
            </w:pPr>
            <w:r>
              <w:rPr>
                <w:sz w:val="16"/>
              </w:rPr>
            </w:r>
            <w:r>
              <w:rPr>
                <w:rFonts w:ascii="Times New Roman" w:hAnsi="Times New Roman" w:eastAsia="Times New Roman"/>
                <w:sz w:val="16"/>
              </w:rPr>
              <w:t>Ethereum signed-message standard, used for wallet sign-in</w:t>
            </w:r>
          </w:p>
        </w:tc>
        <w:tc>
          <w:tcPr>
            <w:tcW w:type="dxa" w:w="1361"/>
          </w:tcPr>
          <w:p>
            <w:pPr>
              <w:spacing w:after="0" w:before="0" w:line="240" w:lineRule="auto"/>
            </w:pPr>
            <w:r>
              <w:rPr>
                <w:sz w:val="16"/>
              </w:rPr>
            </w:r>
            <w:r>
              <w:rPr>
                <w:rFonts w:ascii="Times New Roman" w:hAnsi="Times New Roman" w:eastAsia="Times New Roman"/>
                <w:sz w:val="16"/>
              </w:rPr>
              <w:t>PD</w:t>
            </w:r>
          </w:p>
        </w:tc>
        <w:tc>
          <w:tcPr>
            <w:tcW w:type="dxa" w:w="3005"/>
          </w:tcPr>
          <w:p>
            <w:pPr>
              <w:spacing w:after="0" w:before="0" w:line="240" w:lineRule="auto"/>
            </w:pPr>
            <w:r>
              <w:rPr>
                <w:sz w:val="16"/>
              </w:rPr>
            </w:r>
            <w:r>
              <w:rPr>
                <w:rFonts w:ascii="Times New Roman" w:hAnsi="Times New Roman" w:eastAsia="Times New Roman"/>
                <w:sz w:val="16"/>
              </w:rPr>
              <w:t>probability of default</w:t>
            </w:r>
          </w:p>
        </w:tc>
      </w:tr>
      <w:tr>
        <w:tc>
          <w:tcPr>
            <w:tcW w:type="dxa" w:w="1361"/>
          </w:tcPr>
          <w:p>
            <w:pPr>
              <w:spacing w:after="0" w:before="0" w:line="240" w:lineRule="auto"/>
            </w:pPr>
            <w:r>
              <w:rPr>
                <w:sz w:val="16"/>
              </w:rPr>
            </w:r>
            <w:r>
              <w:rPr>
                <w:rFonts w:ascii="Times New Roman" w:hAnsi="Times New Roman" w:eastAsia="Times New Roman"/>
                <w:sz w:val="16"/>
              </w:rPr>
              <w:t>EIP-712</w:t>
            </w:r>
          </w:p>
        </w:tc>
        <w:tc>
          <w:tcPr>
            <w:tcW w:type="dxa" w:w="3061"/>
          </w:tcPr>
          <w:p>
            <w:pPr>
              <w:spacing w:after="0" w:before="0" w:line="240" w:lineRule="auto"/>
            </w:pPr>
            <w:r>
              <w:rPr>
                <w:sz w:val="16"/>
              </w:rPr>
            </w:r>
            <w:r>
              <w:rPr>
                <w:rFonts w:ascii="Times New Roman" w:hAnsi="Times New Roman" w:eastAsia="Times New Roman"/>
                <w:sz w:val="16"/>
              </w:rPr>
              <w:t>Ethereum standard for signing typed structured data</w:t>
            </w:r>
          </w:p>
        </w:tc>
        <w:tc>
          <w:tcPr>
            <w:tcW w:type="dxa" w:w="1361"/>
          </w:tcPr>
          <w:p>
            <w:pPr>
              <w:spacing w:after="0" w:before="0" w:line="240" w:lineRule="auto"/>
            </w:pPr>
            <w:r>
              <w:rPr>
                <w:sz w:val="16"/>
              </w:rPr>
            </w:r>
            <w:r>
              <w:rPr>
                <w:rFonts w:ascii="Times New Roman" w:hAnsi="Times New Roman" w:eastAsia="Times New Roman"/>
                <w:sz w:val="16"/>
              </w:rPr>
              <w:t>REST</w:t>
            </w:r>
          </w:p>
        </w:tc>
        <w:tc>
          <w:tcPr>
            <w:tcW w:type="dxa" w:w="3005"/>
          </w:tcPr>
          <w:p>
            <w:pPr>
              <w:spacing w:after="0" w:before="0" w:line="240" w:lineRule="auto"/>
            </w:pPr>
            <w:r>
              <w:rPr>
                <w:sz w:val="16"/>
              </w:rPr>
            </w:r>
            <w:r>
              <w:rPr>
                <w:rFonts w:ascii="Times New Roman" w:hAnsi="Times New Roman" w:eastAsia="Times New Roman"/>
                <w:sz w:val="16"/>
              </w:rPr>
              <w:t>representational state transfer</w:t>
            </w:r>
          </w:p>
        </w:tc>
      </w:tr>
      <w:tr>
        <w:tc>
          <w:tcPr>
            <w:tcW w:type="dxa" w:w="1361"/>
          </w:tcPr>
          <w:p>
            <w:pPr>
              <w:spacing w:after="0" w:before="0" w:line="240" w:lineRule="auto"/>
            </w:pPr>
            <w:r>
              <w:rPr>
                <w:sz w:val="16"/>
              </w:rPr>
            </w:r>
            <w:r>
              <w:rPr>
                <w:rFonts w:ascii="Times New Roman" w:hAnsi="Times New Roman" w:eastAsia="Times New Roman"/>
                <w:sz w:val="16"/>
              </w:rPr>
              <w:t>EVM</w:t>
            </w:r>
          </w:p>
        </w:tc>
        <w:tc>
          <w:tcPr>
            <w:tcW w:type="dxa" w:w="3061"/>
          </w:tcPr>
          <w:p>
            <w:pPr>
              <w:spacing w:after="0" w:before="0" w:line="240" w:lineRule="auto"/>
            </w:pPr>
            <w:r>
              <w:rPr>
                <w:sz w:val="16"/>
              </w:rPr>
            </w:r>
            <w:r>
              <w:rPr>
                <w:rFonts w:ascii="Times New Roman" w:hAnsi="Times New Roman" w:eastAsia="Times New Roman"/>
                <w:sz w:val="16"/>
              </w:rPr>
              <w:t>Ethereum virtual machine</w:t>
            </w:r>
          </w:p>
        </w:tc>
        <w:tc>
          <w:tcPr>
            <w:tcW w:type="dxa" w:w="1361"/>
          </w:tcPr>
          <w:p>
            <w:pPr>
              <w:spacing w:after="0" w:before="0" w:line="240" w:lineRule="auto"/>
            </w:pPr>
            <w:r>
              <w:rPr>
                <w:sz w:val="16"/>
              </w:rPr>
            </w:r>
            <w:r>
              <w:rPr>
                <w:rFonts w:ascii="Times New Roman" w:hAnsi="Times New Roman" w:eastAsia="Times New Roman"/>
                <w:sz w:val="16"/>
              </w:rPr>
              <w:t>USDC</w:t>
            </w:r>
          </w:p>
        </w:tc>
        <w:tc>
          <w:tcPr>
            <w:tcW w:type="dxa" w:w="3005"/>
          </w:tcPr>
          <w:p>
            <w:pPr>
              <w:spacing w:after="0" w:before="0" w:line="240" w:lineRule="auto"/>
            </w:pPr>
            <w:r>
              <w:rPr>
                <w:sz w:val="16"/>
              </w:rPr>
            </w:r>
            <w:r>
              <w:rPr>
                <w:rFonts w:ascii="Times New Roman" w:hAnsi="Times New Roman" w:eastAsia="Times New Roman"/>
                <w:sz w:val="16"/>
              </w:rPr>
              <w:t>a real dollar-pegged stablecoin, not used here</w:t>
            </w:r>
          </w:p>
        </w:tc>
      </w:tr>
    </w:tbl>
    <w:p>
      <w:pPr>
        <w:spacing w:after="0" w:before="0"/>
      </w:pPr>
    </w:p>
    <w:p>
      <w:r>
        <w:br w:type="page"/>
      </w:r>
    </w:p>
    <w:p>
      <w:pPr>
        <w:pStyle w:val="Heading1"/>
      </w:pPr>
      <w:r>
        <w:t>0. Abstract</w:t>
      </w:r>
    </w:p>
    <w:p>
      <w:r>
        <w:rPr>
          <w:rFonts w:ascii="Times New Roman" w:hAnsi="Times New Roman" w:eastAsia="Times New Roman"/>
        </w:rPr>
        <w:t xml:space="preserve">About 1.3 billion adults still have no bank account, and because they have no verifiable repayment history they are excluded from formal credit and fall back on informal lenders. MicroLend is a full-stack decentralised application that attacks the </w:t>
      </w:r>
      <w:r>
        <w:rPr>
          <w:i/>
          <w:rFonts w:ascii="Times New Roman" w:hAnsi="Times New Roman" w:eastAsia="Times New Roman"/>
        </w:rPr>
        <w:t>record</w:t>
      </w:r>
      <w:r>
        <w:rPr>
          <w:rFonts w:ascii="Times New Roman" w:hAnsi="Times New Roman" w:eastAsia="Times New Roman"/>
        </w:rPr>
        <w:t xml:space="preserve"> half of that problem rather than the funding half. Lenders fund a transparent on-chain liquidity pool; would-be borrowers answer a short questionnaire, an off-chain logistic-regression model estimates their probability of default, and an authorised scoring service signs that score as an EIP-712 attestation which the borrower records on-chain. A credit officer approves each loan, collateral is escrowed per loan, and an auditor can export the complete event ledger. Repaying on time raises a borrower's effective score, which lowers their interest rate and collateral requirement on the next loan: credit that grows and that any other platform can read.</w:t>
      </w:r>
    </w:p>
    <w:p>
      <w:r>
        <w:rPr>
          <w:rFonts w:ascii="Times New Roman" w:hAnsi="Times New Roman" w:eastAsia="Times New Roman"/>
        </w:rPr>
        <w:t>The system is implemented as four interoperating Solidity 0.8.24 contracts plus a mock stablecoin, an Express and PostgreSQL backend with a chain event indexer, a React dashboard with MetaMask, and a Python modelling pipeline. It is deployed to the Ethereum Sepolia testnet, with the API and frontend hosted on Render. Automated testing passes 49 of 49 contract tests and 16 of 16 backend tests with 97.1% statement coverage; an independent test pass executed 83 test cases with no failures and raised four low or medium presentation-layer defects. Static analysis with Slither reduced findings from 10 to 7, all remaining findings being accepted zero-value guards. The honest limitations are that the model trains on synthetic data (AUC 0.68), the stablecoin is a mock, scoring inputs are self-reported, no formal audit or KYC has been performed, and primary validation rests on a seven-respondent survey of a thin-file but non-representative sample.</w:t>
      </w:r>
    </w:p>
    <w:p>
      <w:pPr>
        <w:pStyle w:val="Heading1"/>
      </w:pPr>
      <w:r>
        <w:t>1. Problem statement and evidence</w:t>
      </w:r>
    </w:p>
    <w:p>
      <w:pPr>
        <w:pStyle w:val="Heading2"/>
      </w:pPr>
      <w:r>
        <w:t>1.1 The problem</w:t>
      </w:r>
    </w:p>
    <w:p>
      <w:r>
        <w:rPr>
          <w:rFonts w:ascii="Times New Roman" w:hAnsi="Times New Roman" w:eastAsia="Times New Roman"/>
        </w:rPr>
        <w:t>Access to credit is gated by evidence of past repayment. Someone who has never held a bank account has no such evidence, so a lender cannot price their risk and either refuses them or charges a rate that reflects pure uncertainty. The result is a circular exclusion: no record, therefore no loan; no loan, therefore no record. Two structural features of the current landscape keep the circle closed:</w:t>
      </w:r>
    </w:p>
    <w:p>
      <w:pPr>
        <w:pStyle w:val="ListBullet"/>
        <w:spacing w:after="40"/>
      </w:pPr>
      <w:r>
        <w:rPr>
          <w:b/>
          <w:rFonts w:ascii="Times New Roman" w:hAnsi="Times New Roman" w:eastAsia="Times New Roman"/>
        </w:rPr>
        <w:t>Credit records are siloed.</w:t>
      </w:r>
      <w:r>
        <w:rPr>
          <w:rFonts w:ascii="Times New Roman" w:hAnsi="Times New Roman" w:eastAsia="Times New Roman"/>
        </w:rPr>
        <w:t xml:space="preserve"> A repayment history built with one mobile-money lender, microfinance institution or savings group is not portable. A borrower who defaults with one provider can borrow again from another, and a borrower who repays faithfully gains nothing with anyone else.</w:t>
      </w:r>
    </w:p>
    <w:p>
      <w:pPr>
        <w:pStyle w:val="ListBullet"/>
        <w:spacing w:after="40"/>
      </w:pPr>
      <w:r>
        <w:rPr>
          <w:b/>
          <w:rFonts w:ascii="Times New Roman" w:hAnsi="Times New Roman" w:eastAsia="Times New Roman"/>
        </w:rPr>
        <w:t>Pool accounting and loss handling are opaque.</w:t>
      </w:r>
      <w:r>
        <w:rPr>
          <w:rFonts w:ascii="Times New Roman" w:hAnsi="Times New Roman" w:eastAsia="Times New Roman"/>
        </w:rPr>
        <w:t xml:space="preserve"> Lenders and auditors in informal or semi-formal lending cannot independently verify how much was lent, what the loss experience was, or whether the rules were applied consistently.</w:t>
      </w:r>
    </w:p>
    <w:p>
      <w:pPr>
        <w:pStyle w:val="Heading2"/>
      </w:pPr>
      <w:r>
        <w:t>1.2 Evidence</w:t>
      </w:r>
    </w:p>
    <w:p>
      <w:r>
        <w:rPr>
          <w:rFonts w:ascii="Times New Roman" w:hAnsi="Times New Roman" w:eastAsia="Times New Roman"/>
        </w:rPr>
        <w:t>Every figure below is attributed. All seven rows are now sourced, because the brief requires that no number appears in the report without a citation; rows E4 and E5 carry the market caveat noted beneath the table.</w:t>
      </w:r>
    </w:p>
    <w:p>
      <w:pPr>
        <w:keepNext/>
        <w:spacing w:after="40" w:before="80"/>
      </w:pPr>
      <w:r>
        <w:rPr>
          <w:b/>
          <w:color w:val="1F4E79"/>
          <w:sz w:val="16"/>
        </w:rPr>
        <w:t>Table 1. Evidence base for the problem statement. Rows E1 to E3 and E6 are secondary sources; row E7 is primary evidence collected by the team. Rows E4 and E5 are scoped to India, where informal-lending and microfinance data are best documented, and must be re-sourced if the team fixes a different market.</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456"/>
            <w:shd w:val="clear" w:color="auto" w:fill="1F4E79"/>
          </w:tcPr>
          <w:p>
            <w:pPr>
              <w:spacing w:after="0" w:line="240" w:lineRule="auto"/>
            </w:pPr>
            <w:r/>
            <w:r>
              <w:rPr>
                <w:b/>
                <w:color w:val="FFFFFF"/>
                <w:sz w:val="13"/>
                <w:rFonts w:ascii="Times New Roman" w:hAnsi="Times New Roman" w:eastAsia="Times New Roman"/>
              </w:rPr>
              <w:t>#</w:t>
            </w:r>
          </w:p>
        </w:tc>
        <w:tc>
          <w:tcPr>
            <w:tcW w:type="dxa" w:w="2054"/>
            <w:shd w:val="clear" w:color="auto" w:fill="1F4E79"/>
          </w:tcPr>
          <w:p>
            <w:pPr>
              <w:spacing w:after="0" w:line="240" w:lineRule="auto"/>
            </w:pPr>
            <w:r/>
            <w:r>
              <w:rPr>
                <w:b/>
                <w:color w:val="FFFFFF"/>
                <w:sz w:val="13"/>
                <w:rFonts w:ascii="Times New Roman" w:hAnsi="Times New Roman" w:eastAsia="Times New Roman"/>
              </w:rPr>
              <w:t>Claim</w:t>
            </w:r>
          </w:p>
        </w:tc>
        <w:tc>
          <w:tcPr>
            <w:tcW w:type="dxa" w:w="2511"/>
            <w:shd w:val="clear" w:color="auto" w:fill="1F4E79"/>
          </w:tcPr>
          <w:p>
            <w:pPr>
              <w:spacing w:after="0" w:line="240" w:lineRule="auto"/>
            </w:pPr>
            <w:r/>
            <w:r>
              <w:rPr>
                <w:b/>
                <w:color w:val="FFFFFF"/>
                <w:sz w:val="13"/>
                <w:rFonts w:ascii="Times New Roman" w:hAnsi="Times New Roman" w:eastAsia="Times New Roman"/>
              </w:rPr>
              <w:t>Figure</w:t>
            </w:r>
          </w:p>
        </w:tc>
        <w:tc>
          <w:tcPr>
            <w:tcW w:type="dxa" w:w="2682"/>
            <w:shd w:val="clear" w:color="auto" w:fill="1F4E79"/>
          </w:tcPr>
          <w:p>
            <w:pPr>
              <w:spacing w:after="0" w:line="240" w:lineRule="auto"/>
            </w:pPr>
            <w:r/>
            <w:r>
              <w:rPr>
                <w:b/>
                <w:color w:val="FFFFFF"/>
                <w:sz w:val="13"/>
                <w:rFonts w:ascii="Times New Roman" w:hAnsi="Times New Roman" w:eastAsia="Times New Roman"/>
              </w:rPr>
              <w:t>Source</w:t>
            </w:r>
          </w:p>
        </w:tc>
        <w:tc>
          <w:tcPr>
            <w:tcW w:type="dxa" w:w="1084"/>
            <w:shd w:val="clear" w:color="auto" w:fill="1F4E79"/>
          </w:tcPr>
          <w:p>
            <w:pPr>
              <w:spacing w:after="0" w:line="240" w:lineRule="auto"/>
            </w:pPr>
            <w:r/>
            <w:r>
              <w:rPr>
                <w:b/>
                <w:color w:val="FFFFFF"/>
                <w:sz w:val="13"/>
                <w:rFonts w:ascii="Times New Roman" w:hAnsi="Times New Roman" w:eastAsia="Times New Roman"/>
              </w:rPr>
              <w:t>Status</w:t>
            </w:r>
          </w:p>
        </w:tc>
      </w:tr>
      <w:tr>
        <w:tc>
          <w:tcPr>
            <w:tcW w:type="dxa" w:w="456"/>
          </w:tcPr>
          <w:p>
            <w:pPr>
              <w:spacing w:after="0" w:before="0" w:line="240" w:lineRule="auto"/>
            </w:pPr>
            <w:r>
              <w:rPr>
                <w:sz w:val="13"/>
              </w:rPr>
            </w:r>
            <w:r>
              <w:rPr>
                <w:rFonts w:ascii="Times New Roman" w:hAnsi="Times New Roman" w:eastAsia="Times New Roman"/>
                <w:sz w:val="13"/>
              </w:rPr>
              <w:t>E1</w:t>
            </w:r>
          </w:p>
        </w:tc>
        <w:tc>
          <w:tcPr>
            <w:tcW w:type="dxa" w:w="2054"/>
          </w:tcPr>
          <w:p>
            <w:pPr>
              <w:spacing w:after="0" w:before="0" w:line="240" w:lineRule="auto"/>
            </w:pPr>
            <w:r>
              <w:rPr>
                <w:sz w:val="13"/>
              </w:rPr>
            </w:r>
            <w:r>
              <w:rPr>
                <w:rFonts w:ascii="Times New Roman" w:hAnsi="Times New Roman" w:eastAsia="Times New Roman"/>
                <w:sz w:val="13"/>
              </w:rPr>
              <w:t>Adults worldwide still without a bank account</w:t>
            </w:r>
          </w:p>
        </w:tc>
        <w:tc>
          <w:tcPr>
            <w:tcW w:type="dxa" w:w="2511"/>
          </w:tcPr>
          <w:p>
            <w:pPr>
              <w:spacing w:after="0" w:before="0" w:line="240" w:lineRule="auto"/>
            </w:pPr>
            <w:r>
              <w:rPr>
                <w:sz w:val="13"/>
              </w:rPr>
            </w:r>
            <w:r>
              <w:rPr>
                <w:rFonts w:ascii="Times New Roman" w:hAnsi="Times New Roman" w:eastAsia="Times New Roman"/>
                <w:sz w:val="13"/>
              </w:rPr>
              <w:t>about 1.3 billion</w:t>
            </w:r>
          </w:p>
        </w:tc>
        <w:tc>
          <w:tcPr>
            <w:tcW w:type="dxa" w:w="2682"/>
          </w:tcPr>
          <w:p>
            <w:pPr>
              <w:spacing w:after="0" w:before="0" w:line="240" w:lineRule="auto"/>
            </w:pPr>
            <w:r>
              <w:rPr>
                <w:sz w:val="13"/>
              </w:rPr>
            </w:r>
            <w:r>
              <w:rPr>
                <w:rFonts w:ascii="Times New Roman" w:hAnsi="Times New Roman" w:eastAsia="Times New Roman"/>
                <w:sz w:val="13"/>
              </w:rPr>
              <w:t xml:space="preserve">World Bank and CGAP, </w:t>
            </w:r>
            <w:r>
              <w:rPr>
                <w:i/>
                <w:rFonts w:ascii="Times New Roman" w:hAnsi="Times New Roman" w:eastAsia="Times New Roman"/>
                <w:sz w:val="13"/>
              </w:rPr>
              <w:t>What's Next for Financial Inclusion: Unpacking Findex 2025</w:t>
            </w:r>
            <w:r>
              <w:rPr>
                <w:rFonts w:ascii="Times New Roman" w:hAnsi="Times New Roman" w:eastAsia="Times New Roman"/>
                <w:sz w:val="13"/>
              </w:rPr>
              <w:t xml:space="preserve"> (Global Findex 2025)</w:t>
            </w:r>
          </w:p>
        </w:tc>
        <w:tc>
          <w:tcPr>
            <w:tcW w:type="dxa" w:w="1084"/>
          </w:tcPr>
          <w:p>
            <w:pPr>
              <w:spacing w:after="0" w:before="0" w:line="240" w:lineRule="auto"/>
            </w:pPr>
            <w:r>
              <w:rPr>
                <w:sz w:val="13"/>
              </w:rPr>
            </w:r>
            <w:r>
              <w:rPr>
                <w:rFonts w:ascii="Times New Roman" w:hAnsi="Times New Roman" w:eastAsia="Times New Roman"/>
                <w:sz w:val="13"/>
              </w:rPr>
              <w:t>Verified</w:t>
            </w:r>
          </w:p>
        </w:tc>
      </w:tr>
      <w:tr>
        <w:tc>
          <w:tcPr>
            <w:tcW w:type="dxa" w:w="456"/>
          </w:tcPr>
          <w:p>
            <w:pPr>
              <w:spacing w:after="0" w:before="0" w:line="240" w:lineRule="auto"/>
            </w:pPr>
            <w:r>
              <w:rPr>
                <w:sz w:val="13"/>
              </w:rPr>
            </w:r>
            <w:r>
              <w:rPr>
                <w:rFonts w:ascii="Times New Roman" w:hAnsi="Times New Roman" w:eastAsia="Times New Roman"/>
                <w:sz w:val="13"/>
              </w:rPr>
              <w:t>E2</w:t>
            </w:r>
          </w:p>
        </w:tc>
        <w:tc>
          <w:tcPr>
            <w:tcW w:type="dxa" w:w="2054"/>
          </w:tcPr>
          <w:p>
            <w:pPr>
              <w:spacing w:after="0" w:before="0" w:line="240" w:lineRule="auto"/>
            </w:pPr>
            <w:r>
              <w:rPr>
                <w:sz w:val="13"/>
              </w:rPr>
            </w:r>
            <w:r>
              <w:rPr>
                <w:rFonts w:ascii="Times New Roman" w:hAnsi="Times New Roman" w:eastAsia="Times New Roman"/>
                <w:sz w:val="13"/>
              </w:rPr>
              <w:t>Account ownership among adults in low- and middle-income countries</w:t>
            </w:r>
          </w:p>
        </w:tc>
        <w:tc>
          <w:tcPr>
            <w:tcW w:type="dxa" w:w="2511"/>
          </w:tcPr>
          <w:p>
            <w:pPr>
              <w:spacing w:after="0" w:before="0" w:line="240" w:lineRule="auto"/>
            </w:pPr>
            <w:r>
              <w:rPr>
                <w:sz w:val="13"/>
              </w:rPr>
            </w:r>
            <w:r>
              <w:rPr>
                <w:rFonts w:ascii="Times New Roman" w:hAnsi="Times New Roman" w:eastAsia="Times New Roman"/>
                <w:sz w:val="13"/>
              </w:rPr>
              <w:t>75%</w:t>
            </w:r>
          </w:p>
        </w:tc>
        <w:tc>
          <w:tcPr>
            <w:tcW w:type="dxa" w:w="2682"/>
          </w:tcPr>
          <w:p>
            <w:pPr>
              <w:spacing w:after="0" w:before="0" w:line="240" w:lineRule="auto"/>
            </w:pPr>
            <w:r>
              <w:rPr>
                <w:sz w:val="13"/>
              </w:rPr>
            </w:r>
            <w:r>
              <w:rPr>
                <w:rFonts w:ascii="Times New Roman" w:hAnsi="Times New Roman" w:eastAsia="Times New Roman"/>
                <w:sz w:val="13"/>
              </w:rPr>
              <w:t>Same source (Global Findex 2025)</w:t>
            </w:r>
          </w:p>
        </w:tc>
        <w:tc>
          <w:tcPr>
            <w:tcW w:type="dxa" w:w="1084"/>
          </w:tcPr>
          <w:p>
            <w:pPr>
              <w:spacing w:after="0" w:before="0" w:line="240" w:lineRule="auto"/>
            </w:pPr>
            <w:r>
              <w:rPr>
                <w:sz w:val="13"/>
              </w:rPr>
            </w:r>
            <w:r>
              <w:rPr>
                <w:rFonts w:ascii="Times New Roman" w:hAnsi="Times New Roman" w:eastAsia="Times New Roman"/>
                <w:sz w:val="13"/>
              </w:rPr>
              <w:t>Verified</w:t>
            </w:r>
          </w:p>
        </w:tc>
      </w:tr>
      <w:tr>
        <w:tc>
          <w:tcPr>
            <w:tcW w:type="dxa" w:w="456"/>
          </w:tcPr>
          <w:p>
            <w:pPr>
              <w:spacing w:after="0" w:before="0" w:line="240" w:lineRule="auto"/>
            </w:pPr>
            <w:r>
              <w:rPr>
                <w:sz w:val="13"/>
              </w:rPr>
            </w:r>
            <w:r>
              <w:rPr>
                <w:rFonts w:ascii="Times New Roman" w:hAnsi="Times New Roman" w:eastAsia="Times New Roman"/>
                <w:sz w:val="13"/>
              </w:rPr>
              <w:t>E3</w:t>
            </w:r>
          </w:p>
        </w:tc>
        <w:tc>
          <w:tcPr>
            <w:tcW w:type="dxa" w:w="2054"/>
          </w:tcPr>
          <w:p>
            <w:pPr>
              <w:spacing w:after="0" w:before="0" w:line="240" w:lineRule="auto"/>
            </w:pPr>
            <w:r>
              <w:rPr>
                <w:sz w:val="13"/>
              </w:rPr>
            </w:r>
            <w:r>
              <w:rPr>
                <w:rFonts w:ascii="Times New Roman" w:hAnsi="Times New Roman" w:eastAsia="Times New Roman"/>
                <w:sz w:val="13"/>
              </w:rPr>
              <w:t>Persistent gender gap in account ownership and in access to credit, insurance and emergency funds</w:t>
            </w:r>
          </w:p>
        </w:tc>
        <w:tc>
          <w:tcPr>
            <w:tcW w:type="dxa" w:w="2511"/>
          </w:tcPr>
          <w:p>
            <w:pPr>
              <w:spacing w:after="0" w:before="0" w:line="240" w:lineRule="auto"/>
            </w:pPr>
            <w:r>
              <w:rPr>
                <w:sz w:val="13"/>
              </w:rPr>
            </w:r>
            <w:r>
              <w:rPr>
                <w:rFonts w:ascii="Times New Roman" w:hAnsi="Times New Roman" w:eastAsia="Times New Roman"/>
                <w:sz w:val="13"/>
              </w:rPr>
              <w:t>Qualitative</w:t>
            </w:r>
          </w:p>
        </w:tc>
        <w:tc>
          <w:tcPr>
            <w:tcW w:type="dxa" w:w="2682"/>
          </w:tcPr>
          <w:p>
            <w:pPr>
              <w:spacing w:after="0" w:before="0" w:line="240" w:lineRule="auto"/>
            </w:pPr>
            <w:r>
              <w:rPr>
                <w:sz w:val="13"/>
              </w:rPr>
            </w:r>
            <w:r>
              <w:rPr>
                <w:rFonts w:ascii="Times New Roman" w:hAnsi="Times New Roman" w:eastAsia="Times New Roman"/>
                <w:sz w:val="13"/>
              </w:rPr>
              <w:t>Same source (Global Findex 2025)</w:t>
            </w:r>
          </w:p>
        </w:tc>
        <w:tc>
          <w:tcPr>
            <w:tcW w:type="dxa" w:w="1084"/>
          </w:tcPr>
          <w:p>
            <w:pPr>
              <w:spacing w:after="0" w:before="0" w:line="240" w:lineRule="auto"/>
            </w:pPr>
            <w:r>
              <w:rPr>
                <w:sz w:val="13"/>
              </w:rPr>
            </w:r>
            <w:r>
              <w:rPr>
                <w:rFonts w:ascii="Times New Roman" w:hAnsi="Times New Roman" w:eastAsia="Times New Roman"/>
                <w:sz w:val="13"/>
              </w:rPr>
              <w:t>Verified</w:t>
            </w:r>
          </w:p>
        </w:tc>
      </w:tr>
      <w:tr>
        <w:tc>
          <w:tcPr>
            <w:tcW w:type="dxa" w:w="456"/>
          </w:tcPr>
          <w:p>
            <w:pPr>
              <w:spacing w:after="0" w:before="0" w:line="240" w:lineRule="auto"/>
            </w:pPr>
            <w:r>
              <w:rPr>
                <w:sz w:val="13"/>
              </w:rPr>
            </w:r>
            <w:r>
              <w:rPr>
                <w:rFonts w:ascii="Times New Roman" w:hAnsi="Times New Roman" w:eastAsia="Times New Roman"/>
                <w:sz w:val="13"/>
              </w:rPr>
              <w:t>E4</w:t>
            </w:r>
          </w:p>
        </w:tc>
        <w:tc>
          <w:tcPr>
            <w:tcW w:type="dxa" w:w="2054"/>
          </w:tcPr>
          <w:p>
            <w:pPr>
              <w:spacing w:after="0" w:before="0" w:line="240" w:lineRule="auto"/>
            </w:pPr>
            <w:r>
              <w:rPr>
                <w:sz w:val="13"/>
              </w:rPr>
            </w:r>
            <w:r>
              <w:rPr>
                <w:rFonts w:ascii="Times New Roman" w:hAnsi="Times New Roman" w:eastAsia="Times New Roman"/>
                <w:sz w:val="13"/>
              </w:rPr>
              <w:t>Typical interest rate charged by informal lenders</w:t>
            </w:r>
          </w:p>
        </w:tc>
        <w:tc>
          <w:tcPr>
            <w:tcW w:type="dxa" w:w="2511"/>
          </w:tcPr>
          <w:p>
            <w:pPr>
              <w:spacing w:after="0" w:before="0" w:line="240" w:lineRule="auto"/>
            </w:pPr>
            <w:r>
              <w:rPr>
                <w:sz w:val="13"/>
              </w:rPr>
            </w:r>
            <w:r>
              <w:rPr>
                <w:b/>
                <w:rFonts w:ascii="Times New Roman" w:hAnsi="Times New Roman" w:eastAsia="Times New Roman"/>
                <w:sz w:val="13"/>
              </w:rPr>
              <w:t>5% to 10%</w:t>
            </w:r>
            <w:r>
              <w:rPr>
                <w:rFonts w:ascii="Times New Roman" w:hAnsi="Times New Roman" w:eastAsia="Times New Roman"/>
                <w:sz w:val="13"/>
              </w:rPr>
              <w:t xml:space="preserve"> flat interest charged by local moneylenders, India</w:t>
            </w:r>
          </w:p>
        </w:tc>
        <w:tc>
          <w:tcPr>
            <w:tcW w:type="dxa" w:w="2682"/>
          </w:tcPr>
          <w:p>
            <w:pPr>
              <w:spacing w:after="0" w:before="0" w:line="240" w:lineRule="auto"/>
            </w:pPr>
            <w:r>
              <w:rPr>
                <w:sz w:val="13"/>
              </w:rPr>
            </w:r>
            <w:r>
              <w:rPr>
                <w:rFonts w:ascii="Times New Roman" w:hAnsi="Times New Roman" w:eastAsia="Times New Roman"/>
                <w:sz w:val="13"/>
              </w:rPr>
              <w:t xml:space="preserve">MFIN and NCAER, </w:t>
            </w:r>
            <w:r>
              <w:rPr>
                <w:i/>
                <w:rFonts w:ascii="Times New Roman" w:hAnsi="Times New Roman" w:eastAsia="Times New Roman"/>
                <w:sz w:val="13"/>
              </w:rPr>
              <w:t>Assessing the Effectiveness of Regulated Small Borrowing in India</w:t>
            </w:r>
          </w:p>
        </w:tc>
        <w:tc>
          <w:tcPr>
            <w:tcW w:type="dxa" w:w="1084"/>
          </w:tcPr>
          <w:p>
            <w:pPr>
              <w:spacing w:after="0" w:before="0" w:line="240" w:lineRule="auto"/>
            </w:pPr>
            <w:r>
              <w:rPr>
                <w:sz w:val="13"/>
              </w:rPr>
            </w:r>
            <w:r>
              <w:rPr>
                <w:rFonts w:ascii="Times New Roman" w:hAnsi="Times New Roman" w:eastAsia="Times New Roman"/>
                <w:sz w:val="13"/>
              </w:rPr>
              <w:t>Verified</w:t>
            </w:r>
          </w:p>
        </w:tc>
      </w:tr>
      <w:tr>
        <w:tc>
          <w:tcPr>
            <w:tcW w:type="dxa" w:w="456"/>
          </w:tcPr>
          <w:p>
            <w:pPr>
              <w:spacing w:after="0" w:before="0" w:line="240" w:lineRule="auto"/>
            </w:pPr>
            <w:r>
              <w:rPr>
                <w:sz w:val="13"/>
              </w:rPr>
            </w:r>
            <w:r>
              <w:rPr>
                <w:rFonts w:ascii="Times New Roman" w:hAnsi="Times New Roman" w:eastAsia="Times New Roman"/>
                <w:sz w:val="13"/>
              </w:rPr>
              <w:t>E5</w:t>
            </w:r>
          </w:p>
        </w:tc>
        <w:tc>
          <w:tcPr>
            <w:tcW w:type="dxa" w:w="2054"/>
          </w:tcPr>
          <w:p>
            <w:pPr>
              <w:spacing w:after="0" w:before="0" w:line="240" w:lineRule="auto"/>
            </w:pPr>
            <w:r>
              <w:rPr>
                <w:sz w:val="13"/>
              </w:rPr>
            </w:r>
            <w:r>
              <w:rPr>
                <w:rFonts w:ascii="Times New Roman" w:hAnsi="Times New Roman" w:eastAsia="Times New Roman"/>
                <w:sz w:val="13"/>
              </w:rPr>
              <w:t>Microfinance repayment and default rates</w:t>
            </w:r>
          </w:p>
        </w:tc>
        <w:tc>
          <w:tcPr>
            <w:tcW w:type="dxa" w:w="2511"/>
          </w:tcPr>
          <w:p>
            <w:pPr>
              <w:spacing w:after="0" w:before="0" w:line="240" w:lineRule="auto"/>
            </w:pPr>
            <w:r>
              <w:rPr>
                <w:sz w:val="13"/>
              </w:rPr>
            </w:r>
            <w:r>
              <w:rPr>
                <w:rFonts w:ascii="Times New Roman" w:hAnsi="Times New Roman" w:eastAsia="Times New Roman"/>
                <w:sz w:val="13"/>
              </w:rPr>
              <w:t xml:space="preserve">Portfolio at risk, 30+ days, rose from </w:t>
            </w:r>
            <w:r>
              <w:rPr>
                <w:b/>
                <w:rFonts w:ascii="Times New Roman" w:hAnsi="Times New Roman" w:eastAsia="Times New Roman"/>
                <w:sz w:val="13"/>
              </w:rPr>
              <w:t>0.8%</w:t>
            </w:r>
            <w:r>
              <w:rPr>
                <w:rFonts w:ascii="Times New Roman" w:hAnsi="Times New Roman" w:eastAsia="Times New Roman"/>
                <w:sz w:val="13"/>
              </w:rPr>
              <w:t xml:space="preserve"> to about </w:t>
            </w:r>
            <w:r>
              <w:rPr>
                <w:b/>
                <w:rFonts w:ascii="Times New Roman" w:hAnsi="Times New Roman" w:eastAsia="Times New Roman"/>
                <w:sz w:val="13"/>
              </w:rPr>
              <w:t>2.1%</w:t>
            </w:r>
            <w:r>
              <w:rPr>
                <w:rFonts w:ascii="Times New Roman" w:hAnsi="Times New Roman" w:eastAsia="Times New Roman"/>
                <w:sz w:val="13"/>
              </w:rPr>
              <w:t xml:space="preserve"> through FY2024-25; the 31-180 day bucket was reported at </w:t>
            </w:r>
            <w:r>
              <w:rPr>
                <w:b/>
                <w:rFonts w:ascii="Times New Roman" w:hAnsi="Times New Roman" w:eastAsia="Times New Roman"/>
                <w:sz w:val="13"/>
              </w:rPr>
              <w:t>6.4%</w:t>
            </w:r>
          </w:p>
        </w:tc>
        <w:tc>
          <w:tcPr>
            <w:tcW w:type="dxa" w:w="2682"/>
          </w:tcPr>
          <w:p>
            <w:pPr>
              <w:spacing w:after="0" w:before="0" w:line="240" w:lineRule="auto"/>
            </w:pPr>
            <w:r>
              <w:rPr>
                <w:sz w:val="13"/>
              </w:rPr>
            </w:r>
            <w:r>
              <w:rPr>
                <w:rFonts w:ascii="Times New Roman" w:hAnsi="Times New Roman" w:eastAsia="Times New Roman"/>
                <w:sz w:val="13"/>
              </w:rPr>
              <w:t xml:space="preserve">MFIN, </w:t>
            </w:r>
            <w:r>
              <w:rPr>
                <w:i/>
                <w:rFonts w:ascii="Times New Roman" w:hAnsi="Times New Roman" w:eastAsia="Times New Roman"/>
                <w:sz w:val="13"/>
              </w:rPr>
              <w:t>Micro Matters Macro View 2024-25</w:t>
            </w:r>
            <w:r>
              <w:rPr>
                <w:rFonts w:ascii="Times New Roman" w:hAnsi="Times New Roman" w:eastAsia="Times New Roman"/>
                <w:sz w:val="13"/>
              </w:rPr>
              <w:t>; CareEdge Ratings via Moneycontrol</w:t>
            </w:r>
          </w:p>
        </w:tc>
        <w:tc>
          <w:tcPr>
            <w:tcW w:type="dxa" w:w="1084"/>
          </w:tcPr>
          <w:p>
            <w:pPr>
              <w:spacing w:after="0" w:before="0" w:line="240" w:lineRule="auto"/>
            </w:pPr>
            <w:r>
              <w:rPr>
                <w:sz w:val="13"/>
              </w:rPr>
            </w:r>
            <w:r>
              <w:rPr>
                <w:rFonts w:ascii="Times New Roman" w:hAnsi="Times New Roman" w:eastAsia="Times New Roman"/>
                <w:sz w:val="13"/>
              </w:rPr>
              <w:t>Verified</w:t>
            </w:r>
          </w:p>
        </w:tc>
      </w:tr>
      <w:tr>
        <w:tc>
          <w:tcPr>
            <w:tcW w:type="dxa" w:w="456"/>
          </w:tcPr>
          <w:p>
            <w:pPr>
              <w:spacing w:after="0" w:before="0" w:line="240" w:lineRule="auto"/>
            </w:pPr>
            <w:r>
              <w:rPr>
                <w:sz w:val="13"/>
              </w:rPr>
            </w:r>
            <w:r>
              <w:rPr>
                <w:rFonts w:ascii="Times New Roman" w:hAnsi="Times New Roman" w:eastAsia="Times New Roman"/>
                <w:sz w:val="13"/>
              </w:rPr>
              <w:t>E6</w:t>
            </w:r>
          </w:p>
        </w:tc>
        <w:tc>
          <w:tcPr>
            <w:tcW w:type="dxa" w:w="2054"/>
          </w:tcPr>
          <w:p>
            <w:pPr>
              <w:spacing w:after="0" w:before="0" w:line="240" w:lineRule="auto"/>
            </w:pPr>
            <w:r>
              <w:rPr>
                <w:sz w:val="13"/>
              </w:rPr>
            </w:r>
            <w:r>
              <w:rPr>
                <w:rFonts w:ascii="Times New Roman" w:hAnsi="Times New Roman" w:eastAsia="Times New Roman"/>
                <w:sz w:val="13"/>
              </w:rPr>
              <w:t>Mobile-money adoption</w:t>
            </w:r>
          </w:p>
        </w:tc>
        <w:tc>
          <w:tcPr>
            <w:tcW w:type="dxa" w:w="2511"/>
          </w:tcPr>
          <w:p>
            <w:pPr>
              <w:spacing w:after="0" w:before="0" w:line="240" w:lineRule="auto"/>
            </w:pPr>
            <w:r>
              <w:rPr>
                <w:sz w:val="13"/>
              </w:rPr>
            </w:r>
            <w:r>
              <w:rPr>
                <w:b/>
                <w:rFonts w:ascii="Times New Roman" w:hAnsi="Times New Roman" w:eastAsia="Times New Roman"/>
                <w:sz w:val="13"/>
              </w:rPr>
              <w:t>2 billion</w:t>
            </w:r>
            <w:r>
              <w:rPr>
                <w:rFonts w:ascii="Times New Roman" w:hAnsi="Times New Roman" w:eastAsia="Times New Roman"/>
                <w:sz w:val="13"/>
              </w:rPr>
              <w:t xml:space="preserve"> registered accounts and over </w:t>
            </w:r>
            <w:r>
              <w:rPr>
                <w:b/>
                <w:rFonts w:ascii="Times New Roman" w:hAnsi="Times New Roman" w:eastAsia="Times New Roman"/>
                <w:sz w:val="13"/>
              </w:rPr>
              <w:t>500 million</w:t>
            </w:r>
            <w:r>
              <w:rPr>
                <w:rFonts w:ascii="Times New Roman" w:hAnsi="Times New Roman" w:eastAsia="Times New Roman"/>
                <w:sz w:val="13"/>
              </w:rPr>
              <w:t xml:space="preserve"> monthly active users; </w:t>
            </w:r>
            <w:r>
              <w:rPr>
                <w:b/>
                <w:rFonts w:ascii="Times New Roman" w:hAnsi="Times New Roman" w:eastAsia="Times New Roman"/>
                <w:sz w:val="13"/>
              </w:rPr>
              <w:t>108 billion</w:t>
            </w:r>
            <w:r>
              <w:rPr>
                <w:rFonts w:ascii="Times New Roman" w:hAnsi="Times New Roman" w:eastAsia="Times New Roman"/>
                <w:sz w:val="13"/>
              </w:rPr>
              <w:t xml:space="preserve"> transactions worth </w:t>
            </w:r>
            <w:r>
              <w:rPr>
                <w:b/>
                <w:rFonts w:ascii="Times New Roman" w:hAnsi="Times New Roman" w:eastAsia="Times New Roman"/>
                <w:sz w:val="13"/>
              </w:rPr>
              <w:t>$1.68 trillion</w:t>
            </w:r>
            <w:r>
              <w:rPr>
                <w:rFonts w:ascii="Times New Roman" w:hAnsi="Times New Roman" w:eastAsia="Times New Roman"/>
                <w:sz w:val="13"/>
              </w:rPr>
              <w:t xml:space="preserve"> in 2024</w:t>
            </w:r>
          </w:p>
        </w:tc>
        <w:tc>
          <w:tcPr>
            <w:tcW w:type="dxa" w:w="2682"/>
          </w:tcPr>
          <w:p>
            <w:pPr>
              <w:spacing w:after="0" w:before="0" w:line="240" w:lineRule="auto"/>
            </w:pPr>
            <w:r>
              <w:rPr>
                <w:sz w:val="13"/>
              </w:rPr>
            </w:r>
            <w:r>
              <w:rPr>
                <w:rFonts w:ascii="Times New Roman" w:hAnsi="Times New Roman" w:eastAsia="Times New Roman"/>
                <w:sz w:val="13"/>
              </w:rPr>
              <w:t xml:space="preserve">GSMA, </w:t>
            </w:r>
            <w:r>
              <w:rPr>
                <w:i/>
                <w:rFonts w:ascii="Times New Roman" w:hAnsi="Times New Roman" w:eastAsia="Times New Roman"/>
                <w:sz w:val="13"/>
              </w:rPr>
              <w:t>State of the Industry Report on Mobile Money 2025</w:t>
            </w:r>
          </w:p>
        </w:tc>
        <w:tc>
          <w:tcPr>
            <w:tcW w:type="dxa" w:w="1084"/>
          </w:tcPr>
          <w:p>
            <w:pPr>
              <w:spacing w:after="0" w:before="0" w:line="240" w:lineRule="auto"/>
            </w:pPr>
            <w:r>
              <w:rPr>
                <w:sz w:val="13"/>
              </w:rPr>
            </w:r>
            <w:r>
              <w:rPr>
                <w:rFonts w:ascii="Times New Roman" w:hAnsi="Times New Roman" w:eastAsia="Times New Roman"/>
                <w:sz w:val="13"/>
              </w:rPr>
              <w:t>Verified</w:t>
            </w:r>
          </w:p>
        </w:tc>
      </w:tr>
      <w:tr>
        <w:tc>
          <w:tcPr>
            <w:tcW w:type="dxa" w:w="456"/>
          </w:tcPr>
          <w:p>
            <w:pPr>
              <w:spacing w:after="0" w:before="0" w:line="240" w:lineRule="auto"/>
            </w:pPr>
            <w:r>
              <w:rPr>
                <w:sz w:val="13"/>
              </w:rPr>
            </w:r>
            <w:r>
              <w:rPr>
                <w:rFonts w:ascii="Times New Roman" w:hAnsi="Times New Roman" w:eastAsia="Times New Roman"/>
                <w:sz w:val="13"/>
              </w:rPr>
              <w:t>E7</w:t>
            </w:r>
          </w:p>
        </w:tc>
        <w:tc>
          <w:tcPr>
            <w:tcW w:type="dxa" w:w="2054"/>
          </w:tcPr>
          <w:p>
            <w:pPr>
              <w:spacing w:after="0" w:before="0" w:line="240" w:lineRule="auto"/>
            </w:pPr>
            <w:r>
              <w:rPr>
                <w:sz w:val="13"/>
              </w:rPr>
            </w:r>
            <w:r>
              <w:rPr>
                <w:rFonts w:ascii="Times New Roman" w:hAnsi="Times New Roman" w:eastAsia="Times New Roman"/>
                <w:sz w:val="13"/>
              </w:rPr>
              <w:t>Whether real, thin-file respondents recognise the problem and the proposed direction</w:t>
            </w:r>
          </w:p>
        </w:tc>
        <w:tc>
          <w:tcPr>
            <w:tcW w:type="dxa" w:w="2511"/>
          </w:tcPr>
          <w:p>
            <w:pPr>
              <w:spacing w:after="0" w:before="0" w:line="240" w:lineRule="auto"/>
            </w:pPr>
            <w:r>
              <w:rPr>
                <w:sz w:val="13"/>
              </w:rPr>
            </w:r>
            <w:r>
              <w:rPr>
                <w:rFonts w:ascii="Times New Roman" w:hAnsi="Times New Roman" w:eastAsia="Times New Roman"/>
                <w:sz w:val="13"/>
              </w:rPr>
              <w:t>7 responses</w:t>
            </w:r>
          </w:p>
        </w:tc>
        <w:tc>
          <w:tcPr>
            <w:tcW w:type="dxa" w:w="2682"/>
          </w:tcPr>
          <w:p>
            <w:pPr>
              <w:spacing w:after="0" w:before="0" w:line="240" w:lineRule="auto"/>
            </w:pPr>
            <w:r>
              <w:rPr>
                <w:sz w:val="13"/>
              </w:rPr>
            </w:r>
            <w:r>
              <w:rPr>
                <w:rFonts w:ascii="Times New Roman" w:hAnsi="Times New Roman" w:eastAsia="Times New Roman"/>
                <w:sz w:val="13"/>
              </w:rPr>
              <w:t>Primary: the MicroLend problem-validation questionnaire, summarised in Section 9.7 and tabulated in Appendix B</w:t>
            </w:r>
          </w:p>
        </w:tc>
        <w:tc>
          <w:tcPr>
            <w:tcW w:type="dxa" w:w="1084"/>
          </w:tcPr>
          <w:p>
            <w:pPr>
              <w:spacing w:after="0" w:before="0" w:line="240" w:lineRule="auto"/>
            </w:pPr>
            <w:r>
              <w:rPr>
                <w:sz w:val="13"/>
              </w:rPr>
            </w:r>
            <w:r>
              <w:rPr>
                <w:rFonts w:ascii="Times New Roman" w:hAnsi="Times New Roman" w:eastAsia="Times New Roman"/>
                <w:sz w:val="13"/>
              </w:rPr>
              <w:t>Verified</w:t>
            </w:r>
          </w:p>
        </w:tc>
      </w:tr>
    </w:tbl>
    <w:p>
      <w:pPr>
        <w:spacing w:after="0" w:before="0"/>
      </w:pPr>
    </w:p>
    <w:p>
      <w:r>
        <w:rPr>
          <w:b/>
          <w:rFonts w:ascii="Times New Roman" w:hAnsi="Times New Roman" w:eastAsia="Times New Roman"/>
        </w:rPr>
        <w:t>Target market.</w:t>
      </w:r>
      <w:r>
        <w:rPr>
          <w:rFonts w:ascii="Times New Roman" w:hAnsi="Times New Roman" w:eastAsia="Times New Roman"/>
        </w:rPr>
        <w:t xml:space="preserve"> The prototype is designed for the urban informal-sector micro-entrepreneur (market traders, gig and transport workers, and smallholders) in a mobile-money-mature economy in South or Southeast Asia, together with the individual, donor and institutional lenders who would fund them. The reference borrower used in the scoring demonstration has a monthly income of USD 280, 35 mobile-money transactions per month and 14 months of mobile-money history, which is representative of that segment. The final submission must still fix one market: rows E4 and E5 are currently sourced to India, where informal-lending and microfinance data are best documented, and must be re-sourced if the team selects a different market. Primary validation (Section 9.7) used a proxy sample of seven respondents aged 22 to 24, so it supports the direction of the problem rather than demand among micro-entrepreneurs.</w:t>
      </w:r>
    </w:p>
    <w:p>
      <w:pPr>
        <w:pStyle w:val="Heading2"/>
      </w:pPr>
      <w:r>
        <w:t>1.3 What exists today, and why it is not enough</w:t>
      </w:r>
    </w:p>
    <w:p>
      <w:pPr>
        <w:keepNext/>
        <w:spacing w:after="40" w:before="80"/>
      </w:pPr>
      <w:r>
        <w:rPr>
          <w:b/>
          <w:color w:val="1F4E79"/>
          <w:sz w:val="16"/>
        </w:rPr>
        <w:t>Table 2. Competitive landscape.</w:t>
      </w:r>
    </w:p>
    <w:tbl>
      <w:tblPr>
        <w:tblStyle w:val="TableGrid"/>
        <w:tblW w:type="auto" w:w="0"/>
        <w:jc w:val="center"/>
        <w:tblLook w:firstColumn="1" w:firstRow="1" w:lastColumn="0" w:lastRow="0" w:noHBand="0" w:noVBand="1" w:val="04A0"/>
      </w:tblPr>
      <w:tblGrid>
        <w:gridCol w:w="4394"/>
        <w:gridCol w:w="4394"/>
      </w:tblGrid>
      <w:tr>
        <w:tc>
          <w:tcPr>
            <w:tcW w:type="dxa" w:w="2494"/>
            <w:shd w:val="clear" w:color="auto" w:fill="1F4E79"/>
          </w:tcPr>
          <w:p>
            <w:pPr>
              <w:spacing w:after="0" w:line="240" w:lineRule="auto"/>
            </w:pPr>
            <w:r/>
            <w:r>
              <w:rPr>
                <w:b/>
                <w:color w:val="FFFFFF"/>
                <w:sz w:val="14"/>
                <w:rFonts w:ascii="Times New Roman" w:hAnsi="Times New Roman" w:eastAsia="Times New Roman"/>
              </w:rPr>
              <w:t>Existing solution</w:t>
            </w:r>
          </w:p>
        </w:tc>
        <w:tc>
          <w:tcPr>
            <w:tcW w:type="dxa" w:w="6293"/>
            <w:shd w:val="clear" w:color="auto" w:fill="1F4E79"/>
          </w:tcPr>
          <w:p>
            <w:pPr>
              <w:spacing w:after="0" w:line="240" w:lineRule="auto"/>
            </w:pPr>
            <w:r/>
            <w:r>
              <w:rPr>
                <w:b/>
                <w:color w:val="FFFFFF"/>
                <w:sz w:val="14"/>
                <w:rFonts w:ascii="Times New Roman" w:hAnsi="Times New Roman" w:eastAsia="Times New Roman"/>
              </w:rPr>
              <w:t>Why it excludes or disappoints the target user</w:t>
            </w:r>
          </w:p>
        </w:tc>
      </w:tr>
      <w:tr>
        <w:tc>
          <w:tcPr>
            <w:tcW w:type="dxa" w:w="2494"/>
          </w:tcPr>
          <w:p>
            <w:pPr>
              <w:spacing w:after="0" w:before="0" w:line="240" w:lineRule="auto"/>
            </w:pPr>
            <w:r>
              <w:rPr>
                <w:sz w:val="14"/>
              </w:rPr>
            </w:r>
            <w:r>
              <w:rPr>
                <w:rFonts w:ascii="Times New Roman" w:hAnsi="Times New Roman" w:eastAsia="Times New Roman"/>
                <w:sz w:val="14"/>
              </w:rPr>
              <w:t>Banks</w:t>
            </w:r>
          </w:p>
        </w:tc>
        <w:tc>
          <w:tcPr>
            <w:tcW w:type="dxa" w:w="6293"/>
          </w:tcPr>
          <w:p>
            <w:pPr>
              <w:spacing w:after="0" w:before="0" w:line="240" w:lineRule="auto"/>
            </w:pPr>
            <w:r>
              <w:rPr>
                <w:sz w:val="14"/>
              </w:rPr>
            </w:r>
            <w:r>
              <w:rPr>
                <w:rFonts w:ascii="Times New Roman" w:hAnsi="Times New Roman" w:eastAsia="Times New Roman"/>
                <w:sz w:val="14"/>
              </w:rPr>
              <w:t>Require identity documents, a formal income record and collateral. The unbanked have none of the three, so the application never reaches credit assessment.</w:t>
            </w:r>
          </w:p>
        </w:tc>
      </w:tr>
      <w:tr>
        <w:tc>
          <w:tcPr>
            <w:tcW w:type="dxa" w:w="2494"/>
          </w:tcPr>
          <w:p>
            <w:pPr>
              <w:spacing w:after="0" w:before="0" w:line="240" w:lineRule="auto"/>
            </w:pPr>
            <w:r>
              <w:rPr>
                <w:sz w:val="14"/>
              </w:rPr>
            </w:r>
            <w:r>
              <w:rPr>
                <w:rFonts w:ascii="Times New Roman" w:hAnsi="Times New Roman" w:eastAsia="Times New Roman"/>
                <w:sz w:val="14"/>
              </w:rPr>
              <w:t>Microfinance institutions</w:t>
            </w:r>
          </w:p>
        </w:tc>
        <w:tc>
          <w:tcPr>
            <w:tcW w:type="dxa" w:w="6293"/>
          </w:tcPr>
          <w:p>
            <w:pPr>
              <w:spacing w:after="0" w:before="0" w:line="240" w:lineRule="auto"/>
            </w:pPr>
            <w:r>
              <w:rPr>
                <w:sz w:val="14"/>
              </w:rPr>
            </w:r>
            <w:r>
              <w:rPr>
                <w:rFonts w:ascii="Times New Roman" w:hAnsi="Times New Roman" w:eastAsia="Times New Roman"/>
                <w:sz w:val="14"/>
              </w:rPr>
              <w:t>Reach further, but have a high operating cost per small loan, often require group guarantees, and keep the resulting record in their own system.</w:t>
            </w:r>
          </w:p>
        </w:tc>
      </w:tr>
      <w:tr>
        <w:tc>
          <w:tcPr>
            <w:tcW w:type="dxa" w:w="2494"/>
          </w:tcPr>
          <w:p>
            <w:pPr>
              <w:spacing w:after="0" w:before="0" w:line="240" w:lineRule="auto"/>
            </w:pPr>
            <w:r>
              <w:rPr>
                <w:sz w:val="14"/>
              </w:rPr>
            </w:r>
            <w:r>
              <w:rPr>
                <w:rFonts w:ascii="Times New Roman" w:hAnsi="Times New Roman" w:eastAsia="Times New Roman"/>
                <w:sz w:val="14"/>
              </w:rPr>
              <w:t>Informal lenders</w:t>
            </w:r>
          </w:p>
        </w:tc>
        <w:tc>
          <w:tcPr>
            <w:tcW w:type="dxa" w:w="6293"/>
          </w:tcPr>
          <w:p>
            <w:pPr>
              <w:spacing w:after="0" w:before="0" w:line="240" w:lineRule="auto"/>
            </w:pPr>
            <w:r>
              <w:rPr>
                <w:sz w:val="14"/>
              </w:rPr>
            </w:r>
            <w:r>
              <w:rPr>
                <w:rFonts w:ascii="Times New Roman" w:hAnsi="Times New Roman" w:eastAsia="Times New Roman"/>
                <w:sz w:val="14"/>
              </w:rPr>
              <w:t>Fast and administratively light, but charge rates that can consume the margin of the business being financed, and their terms are neither documented nor auditable.</w:t>
            </w:r>
          </w:p>
        </w:tc>
      </w:tr>
      <w:tr>
        <w:tc>
          <w:tcPr>
            <w:tcW w:type="dxa" w:w="2494"/>
          </w:tcPr>
          <w:p>
            <w:pPr>
              <w:spacing w:after="0" w:before="0" w:line="240" w:lineRule="auto"/>
            </w:pPr>
            <w:r>
              <w:rPr>
                <w:sz w:val="14"/>
              </w:rPr>
            </w:r>
            <w:r>
              <w:rPr>
                <w:rFonts w:ascii="Times New Roman" w:hAnsi="Times New Roman" w:eastAsia="Times New Roman"/>
                <w:sz w:val="14"/>
              </w:rPr>
              <w:t>Mobile-money lending and BNPL</w:t>
            </w:r>
          </w:p>
        </w:tc>
        <w:tc>
          <w:tcPr>
            <w:tcW w:type="dxa" w:w="6293"/>
          </w:tcPr>
          <w:p>
            <w:pPr>
              <w:spacing w:after="0" w:before="0" w:line="240" w:lineRule="auto"/>
            </w:pPr>
            <w:r>
              <w:rPr>
                <w:sz w:val="14"/>
              </w:rPr>
            </w:r>
            <w:r>
              <w:rPr>
                <w:rFonts w:ascii="Times New Roman" w:hAnsi="Times New Roman" w:eastAsia="Times New Roman"/>
                <w:sz w:val="14"/>
              </w:rPr>
              <w:t>Data-driven and convenient, but the data are platform-owned, so the customer is locked into one provider and cannot carry a record elsewhere.</w:t>
            </w:r>
          </w:p>
        </w:tc>
      </w:tr>
      <w:tr>
        <w:tc>
          <w:tcPr>
            <w:tcW w:type="dxa" w:w="2494"/>
          </w:tcPr>
          <w:p>
            <w:pPr>
              <w:spacing w:after="0" w:before="0" w:line="240" w:lineRule="auto"/>
            </w:pPr>
            <w:r>
              <w:rPr>
                <w:sz w:val="14"/>
              </w:rPr>
            </w:r>
            <w:r>
              <w:rPr>
                <w:rFonts w:ascii="Times New Roman" w:hAnsi="Times New Roman" w:eastAsia="Times New Roman"/>
                <w:sz w:val="14"/>
              </w:rPr>
              <w:t>Existing crypto lending</w:t>
            </w:r>
          </w:p>
        </w:tc>
        <w:tc>
          <w:tcPr>
            <w:tcW w:type="dxa" w:w="6293"/>
          </w:tcPr>
          <w:p>
            <w:pPr>
              <w:spacing w:after="0" w:before="0" w:line="240" w:lineRule="auto"/>
            </w:pPr>
            <w:r>
              <w:rPr>
                <w:sz w:val="14"/>
              </w:rPr>
            </w:r>
            <w:r>
              <w:rPr>
                <w:rFonts w:ascii="Times New Roman" w:hAnsi="Times New Roman" w:eastAsia="Times New Roman"/>
                <w:sz w:val="14"/>
              </w:rPr>
              <w:t>Almost always over-collateralised, which by construction excludes borrowers who lack assets. It solves leverage for the already banked, not access for the unbanked.</w:t>
            </w:r>
          </w:p>
        </w:tc>
      </w:tr>
    </w:tbl>
    <w:p>
      <w:pPr>
        <w:spacing w:after="0" w:before="0"/>
      </w:pPr>
    </w:p>
    <w:p>
      <w:pPr>
        <w:pStyle w:val="Heading2"/>
      </w:pPr>
      <w:r>
        <w:t>1.4 Why a blockchain, and when it is not needed</w:t>
      </w:r>
    </w:p>
    <w:p>
      <w:r>
        <w:rPr>
          <w:b/>
          <w:rFonts w:ascii="Times New Roman" w:hAnsi="Times New Roman" w:eastAsia="Times New Roman"/>
        </w:rPr>
        <w:t>Where the blockchain earns its place.</w:t>
      </w:r>
      <w:r>
        <w:rPr>
          <w:rFonts w:ascii="Times New Roman" w:hAnsi="Times New Roman" w:eastAsia="Times New Roman"/>
        </w:rPr>
        <w:t xml:space="preserve"> Three properties of this problem map onto on-chain execution. First, </w:t>
      </w:r>
      <w:r>
        <w:rPr>
          <w:i/>
          <w:rFonts w:ascii="Times New Roman" w:hAnsi="Times New Roman" w:eastAsia="Times New Roman"/>
        </w:rPr>
        <w:t>shared, tamper-evident history</w:t>
      </w:r>
      <w:r>
        <w:rPr>
          <w:rFonts w:ascii="Times New Roman" w:hAnsi="Times New Roman" w:eastAsia="Times New Roman"/>
        </w:rPr>
        <w:t xml:space="preserve">: a repayment record that must be trusted by lenders who do not trust each other is exactly what a public ledger provides, and because the record is keyed by wallet address it is portable by construction. Second, </w:t>
      </w:r>
      <w:r>
        <w:rPr>
          <w:i/>
          <w:rFonts w:ascii="Times New Roman" w:hAnsi="Times New Roman" w:eastAsia="Times New Roman"/>
        </w:rPr>
        <w:t>public, rules-based pool accounting</w:t>
      </w:r>
      <w:r>
        <w:rPr>
          <w:rFonts w:ascii="Times New Roman" w:hAnsi="Times New Roman" w:eastAsia="Times New Roman"/>
        </w:rPr>
        <w:t xml:space="preserve">: deposits, disbursements, interest, reserve and losses are all visible, and the loss waterfall executes identically for every loan. Third, </w:t>
      </w:r>
      <w:r>
        <w:rPr>
          <w:i/>
          <w:rFonts w:ascii="Times New Roman" w:hAnsi="Times New Roman" w:eastAsia="Times New Roman"/>
        </w:rPr>
        <w:t>permissionless enforcement</w:t>
      </w:r>
      <w:r>
        <w:rPr>
          <w:rFonts w:ascii="Times New Roman" w:hAnsi="Times New Roman" w:eastAsia="Times New Roman"/>
        </w:rPr>
        <w:t>: once a loan is past due plus the grace period, any wallet can trigger the default and the waterfall, so the outcome does not depend on an operator choosing to act.</w:t>
      </w:r>
    </w:p>
    <w:p>
      <w:r>
        <w:rPr>
          <w:b/>
          <w:rFonts w:ascii="Times New Roman" w:hAnsi="Times New Roman" w:eastAsia="Times New Roman"/>
        </w:rPr>
        <w:t>Where it does not.</w:t>
      </w:r>
      <w:r>
        <w:rPr>
          <w:rFonts w:ascii="Times New Roman" w:hAnsi="Times New Roman" w:eastAsia="Times New Roman"/>
        </w:rPr>
        <w:t xml:space="preserve"> A single lender with its own borrowers needs no blockchain: an ordinary database would be faster, cheaper and easier to change. The advantage appears only when several parties must trust the same record without sharing an owner. The costs are real too: gas on every state change, key management for users who may be new to it, and the privacy consequences of linking an address to a person. MicroLend is therefore deliberately hybrid, with only the score, its expiry and a model-version hash on-chain.</w:t>
      </w:r>
    </w:p>
    <w:p>
      <w:pPr>
        <w:pStyle w:val="Heading1"/>
      </w:pPr>
      <w:r>
        <w:t>2. Stakeholders and requirements</w:t>
      </w:r>
    </w:p>
    <w:p>
      <w:pPr>
        <w:pStyle w:val="Heading2"/>
      </w:pPr>
      <w:r>
        <w:t>2.1 Stakeholders</w:t>
      </w:r>
    </w:p>
    <w:p>
      <w:pPr>
        <w:keepNext/>
        <w:spacing w:after="40" w:before="80"/>
      </w:pPr>
      <w:r>
        <w:rPr>
          <w:b/>
          <w:color w:val="1F4E79"/>
          <w:sz w:val="16"/>
        </w:rPr>
        <w:t>Table 3. Stakeholder analysis.</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201"/>
            <w:shd w:val="clear" w:color="auto" w:fill="1F4E79"/>
          </w:tcPr>
          <w:p>
            <w:pPr>
              <w:spacing w:after="0" w:line="240" w:lineRule="auto"/>
            </w:pPr>
            <w:r/>
            <w:r>
              <w:rPr>
                <w:b/>
                <w:color w:val="FFFFFF"/>
                <w:sz w:val="14"/>
                <w:rFonts w:ascii="Times New Roman" w:hAnsi="Times New Roman" w:eastAsia="Times New Roman"/>
              </w:rPr>
              <w:t>Stakeholder</w:t>
            </w:r>
          </w:p>
        </w:tc>
        <w:tc>
          <w:tcPr>
            <w:tcW w:type="dxa" w:w="1801"/>
            <w:shd w:val="clear" w:color="auto" w:fill="1F4E79"/>
          </w:tcPr>
          <w:p>
            <w:pPr>
              <w:spacing w:after="0" w:line="240" w:lineRule="auto"/>
            </w:pPr>
            <w:r/>
            <w:r>
              <w:rPr>
                <w:b/>
                <w:color w:val="FFFFFF"/>
                <w:sz w:val="14"/>
                <w:rFonts w:ascii="Times New Roman" w:hAnsi="Times New Roman" w:eastAsia="Times New Roman"/>
              </w:rPr>
              <w:t>Need</w:t>
            </w:r>
          </w:p>
        </w:tc>
        <w:tc>
          <w:tcPr>
            <w:tcW w:type="dxa" w:w="1692"/>
            <w:shd w:val="clear" w:color="auto" w:fill="1F4E79"/>
          </w:tcPr>
          <w:p>
            <w:pPr>
              <w:spacing w:after="0" w:line="240" w:lineRule="auto"/>
            </w:pPr>
            <w:r/>
            <w:r>
              <w:rPr>
                <w:b/>
                <w:color w:val="FFFFFF"/>
                <w:sz w:val="14"/>
                <w:rFonts w:ascii="Times New Roman" w:hAnsi="Times New Roman" w:eastAsia="Times New Roman"/>
              </w:rPr>
              <w:t>Pain point today</w:t>
            </w:r>
          </w:p>
        </w:tc>
        <w:tc>
          <w:tcPr>
            <w:tcW w:type="dxa" w:w="2456"/>
            <w:shd w:val="clear" w:color="auto" w:fill="1F4E79"/>
          </w:tcPr>
          <w:p>
            <w:pPr>
              <w:spacing w:after="0" w:line="240" w:lineRule="auto"/>
            </w:pPr>
            <w:r/>
            <w:r>
              <w:rPr>
                <w:b/>
                <w:color w:val="FFFFFF"/>
                <w:sz w:val="14"/>
                <w:rFonts w:ascii="Times New Roman" w:hAnsi="Times New Roman" w:eastAsia="Times New Roman"/>
              </w:rPr>
              <w:t>What MicroLend gives them</w:t>
            </w:r>
          </w:p>
        </w:tc>
        <w:tc>
          <w:tcPr>
            <w:tcW w:type="dxa" w:w="1637"/>
            <w:shd w:val="clear" w:color="auto" w:fill="1F4E79"/>
          </w:tcPr>
          <w:p>
            <w:pPr>
              <w:spacing w:after="0" w:line="240" w:lineRule="auto"/>
            </w:pPr>
            <w:r/>
            <w:r>
              <w:rPr>
                <w:b/>
                <w:color w:val="FFFFFF"/>
                <w:sz w:val="14"/>
                <w:rFonts w:ascii="Times New Roman" w:hAnsi="Times New Roman" w:eastAsia="Times New Roman"/>
              </w:rPr>
              <w:t>Residual risk</w:t>
            </w:r>
          </w:p>
        </w:tc>
      </w:tr>
      <w:tr>
        <w:tc>
          <w:tcPr>
            <w:tcW w:type="dxa" w:w="1201"/>
          </w:tcPr>
          <w:p>
            <w:pPr>
              <w:spacing w:after="0" w:before="0" w:line="240" w:lineRule="auto"/>
            </w:pPr>
            <w:r>
              <w:rPr>
                <w:sz w:val="14"/>
              </w:rPr>
            </w:r>
            <w:r>
              <w:rPr>
                <w:rFonts w:ascii="Times New Roman" w:hAnsi="Times New Roman" w:eastAsia="Times New Roman"/>
                <w:sz w:val="14"/>
              </w:rPr>
              <w:t>Borrower</w:t>
            </w:r>
          </w:p>
        </w:tc>
        <w:tc>
          <w:tcPr>
            <w:tcW w:type="dxa" w:w="1801"/>
          </w:tcPr>
          <w:p>
            <w:pPr>
              <w:spacing w:after="0" w:before="0" w:line="240" w:lineRule="auto"/>
            </w:pPr>
            <w:r>
              <w:rPr>
                <w:sz w:val="14"/>
              </w:rPr>
            </w:r>
            <w:r>
              <w:rPr>
                <w:rFonts w:ascii="Times New Roman" w:hAnsi="Times New Roman" w:eastAsia="Times New Roman"/>
                <w:sz w:val="14"/>
              </w:rPr>
              <w:t>Credit without collateral or a bank record</w:t>
            </w:r>
          </w:p>
        </w:tc>
        <w:tc>
          <w:tcPr>
            <w:tcW w:type="dxa" w:w="1692"/>
          </w:tcPr>
          <w:p>
            <w:pPr>
              <w:spacing w:after="0" w:before="0" w:line="240" w:lineRule="auto"/>
            </w:pPr>
            <w:r>
              <w:rPr>
                <w:sz w:val="14"/>
              </w:rPr>
            </w:r>
            <w:r>
              <w:rPr>
                <w:rFonts w:ascii="Times New Roman" w:hAnsi="Times New Roman" w:eastAsia="Times New Roman"/>
                <w:sz w:val="14"/>
              </w:rPr>
              <w:t>No formal record, so no loan</w:t>
            </w:r>
          </w:p>
        </w:tc>
        <w:tc>
          <w:tcPr>
            <w:tcW w:type="dxa" w:w="2456"/>
          </w:tcPr>
          <w:p>
            <w:pPr>
              <w:spacing w:after="0" w:before="0" w:line="240" w:lineRule="auto"/>
            </w:pPr>
            <w:r>
              <w:rPr>
                <w:sz w:val="14"/>
              </w:rPr>
            </w:r>
            <w:r>
              <w:rPr>
                <w:rFonts w:ascii="Times New Roman" w:hAnsi="Times New Roman" w:eastAsia="Times New Roman"/>
                <w:sz w:val="14"/>
              </w:rPr>
              <w:t>A portable on-chain score; lower collateral and a higher limit at higher tiers</w:t>
            </w:r>
          </w:p>
        </w:tc>
        <w:tc>
          <w:tcPr>
            <w:tcW w:type="dxa" w:w="1637"/>
          </w:tcPr>
          <w:p>
            <w:pPr>
              <w:spacing w:after="0" w:before="0" w:line="240" w:lineRule="auto"/>
            </w:pPr>
            <w:r>
              <w:rPr>
                <w:sz w:val="14"/>
              </w:rPr>
            </w:r>
            <w:r>
              <w:rPr>
                <w:rFonts w:ascii="Times New Roman" w:hAnsi="Times New Roman" w:eastAsia="Times New Roman"/>
                <w:sz w:val="14"/>
              </w:rPr>
              <w:t>Self-reported inputs; over-indebtedness</w:t>
            </w:r>
          </w:p>
        </w:tc>
      </w:tr>
      <w:tr>
        <w:tc>
          <w:tcPr>
            <w:tcW w:type="dxa" w:w="1201"/>
          </w:tcPr>
          <w:p>
            <w:pPr>
              <w:spacing w:after="0" w:before="0" w:line="240" w:lineRule="auto"/>
            </w:pPr>
            <w:r>
              <w:rPr>
                <w:sz w:val="14"/>
              </w:rPr>
            </w:r>
            <w:r>
              <w:rPr>
                <w:rFonts w:ascii="Times New Roman" w:hAnsi="Times New Roman" w:eastAsia="Times New Roman"/>
                <w:sz w:val="14"/>
              </w:rPr>
              <w:t>Lender or donor</w:t>
            </w:r>
          </w:p>
        </w:tc>
        <w:tc>
          <w:tcPr>
            <w:tcW w:type="dxa" w:w="1801"/>
          </w:tcPr>
          <w:p>
            <w:pPr>
              <w:spacing w:after="0" w:before="0" w:line="240" w:lineRule="auto"/>
            </w:pPr>
            <w:r>
              <w:rPr>
                <w:sz w:val="14"/>
              </w:rPr>
            </w:r>
            <w:r>
              <w:rPr>
                <w:rFonts w:ascii="Times New Roman" w:hAnsi="Times New Roman" w:eastAsia="Times New Roman"/>
                <w:sz w:val="14"/>
              </w:rPr>
              <w:t>A return commensurate with risk; verifiable fair treatment</w:t>
            </w:r>
          </w:p>
        </w:tc>
        <w:tc>
          <w:tcPr>
            <w:tcW w:type="dxa" w:w="1692"/>
          </w:tcPr>
          <w:p>
            <w:pPr>
              <w:spacing w:after="0" w:before="0" w:line="240" w:lineRule="auto"/>
            </w:pPr>
            <w:r>
              <w:rPr>
                <w:sz w:val="14"/>
              </w:rPr>
            </w:r>
            <w:r>
              <w:rPr>
                <w:rFonts w:ascii="Times New Roman" w:hAnsi="Times New Roman" w:eastAsia="Times New Roman"/>
                <w:sz w:val="14"/>
              </w:rPr>
              <w:t>Opaque accounting in informal lending</w:t>
            </w:r>
          </w:p>
        </w:tc>
        <w:tc>
          <w:tcPr>
            <w:tcW w:type="dxa" w:w="2456"/>
          </w:tcPr>
          <w:p>
            <w:pPr>
              <w:spacing w:after="0" w:before="0" w:line="240" w:lineRule="auto"/>
            </w:pPr>
            <w:r>
              <w:rPr>
                <w:sz w:val="14"/>
              </w:rPr>
            </w:r>
            <w:r>
              <w:rPr>
                <w:rFonts w:ascii="Times New Roman" w:hAnsi="Times New Roman" w:eastAsia="Times New Roman"/>
                <w:sz w:val="14"/>
              </w:rPr>
              <w:t>Public pool accounting, share-based claims and a documented loss waterfall</w:t>
            </w:r>
          </w:p>
        </w:tc>
        <w:tc>
          <w:tcPr>
            <w:tcW w:type="dxa" w:w="1637"/>
          </w:tcPr>
          <w:p>
            <w:pPr>
              <w:spacing w:after="0" w:before="0" w:line="240" w:lineRule="auto"/>
            </w:pPr>
            <w:r>
              <w:rPr>
                <w:sz w:val="14"/>
              </w:rPr>
            </w:r>
            <w:r>
              <w:rPr>
                <w:rFonts w:ascii="Times New Roman" w:hAnsi="Times New Roman" w:eastAsia="Times New Roman"/>
                <w:sz w:val="14"/>
              </w:rPr>
              <w:t>Loss beyond the reserve is shared pro rata</w:t>
            </w:r>
          </w:p>
        </w:tc>
      </w:tr>
      <w:tr>
        <w:tc>
          <w:tcPr>
            <w:tcW w:type="dxa" w:w="1201"/>
          </w:tcPr>
          <w:p>
            <w:pPr>
              <w:spacing w:after="0" w:before="0" w:line="240" w:lineRule="auto"/>
            </w:pPr>
            <w:r>
              <w:rPr>
                <w:sz w:val="14"/>
              </w:rPr>
            </w:r>
            <w:r>
              <w:rPr>
                <w:rFonts w:ascii="Times New Roman" w:hAnsi="Times New Roman" w:eastAsia="Times New Roman"/>
                <w:sz w:val="14"/>
              </w:rPr>
              <w:t>Credit officer</w:t>
            </w:r>
          </w:p>
        </w:tc>
        <w:tc>
          <w:tcPr>
            <w:tcW w:type="dxa" w:w="1801"/>
          </w:tcPr>
          <w:p>
            <w:pPr>
              <w:spacing w:after="0" w:before="0" w:line="240" w:lineRule="auto"/>
            </w:pPr>
            <w:r>
              <w:rPr>
                <w:sz w:val="14"/>
              </w:rPr>
            </w:r>
            <w:r>
              <w:rPr>
                <w:rFonts w:ascii="Times New Roman" w:hAnsi="Times New Roman" w:eastAsia="Times New Roman"/>
                <w:sz w:val="14"/>
              </w:rPr>
              <w:t>Enough information for a defensible decision</w:t>
            </w:r>
          </w:p>
        </w:tc>
        <w:tc>
          <w:tcPr>
            <w:tcW w:type="dxa" w:w="1692"/>
          </w:tcPr>
          <w:p>
            <w:pPr>
              <w:spacing w:after="0" w:before="0" w:line="240" w:lineRule="auto"/>
            </w:pPr>
            <w:r>
              <w:rPr>
                <w:sz w:val="14"/>
              </w:rPr>
            </w:r>
            <w:r>
              <w:rPr>
                <w:rFonts w:ascii="Times New Roman" w:hAnsi="Times New Roman" w:eastAsia="Times New Roman"/>
                <w:sz w:val="14"/>
              </w:rPr>
              <w:t>Intuition and paper</w:t>
            </w:r>
          </w:p>
        </w:tc>
        <w:tc>
          <w:tcPr>
            <w:tcW w:type="dxa" w:w="2456"/>
          </w:tcPr>
          <w:p>
            <w:pPr>
              <w:spacing w:after="0" w:before="0" w:line="240" w:lineRule="auto"/>
            </w:pPr>
            <w:r>
              <w:rPr>
                <w:sz w:val="14"/>
              </w:rPr>
            </w:r>
            <w:r>
              <w:rPr>
                <w:rFonts w:ascii="Times New Roman" w:hAnsi="Times New Roman" w:eastAsia="Times New Roman"/>
                <w:sz w:val="14"/>
              </w:rPr>
              <w:t>Score, probability of default, inputs and past-loan history in one queue</w:t>
            </w:r>
          </w:p>
        </w:tc>
        <w:tc>
          <w:tcPr>
            <w:tcW w:type="dxa" w:w="1637"/>
          </w:tcPr>
          <w:p>
            <w:pPr>
              <w:spacing w:after="0" w:before="0" w:line="240" w:lineRule="auto"/>
            </w:pPr>
            <w:r>
              <w:rPr>
                <w:sz w:val="14"/>
              </w:rPr>
            </w:r>
            <w:r>
              <w:rPr>
                <w:rFonts w:ascii="Times New Roman" w:hAnsi="Times New Roman" w:eastAsia="Times New Roman"/>
                <w:sz w:val="14"/>
              </w:rPr>
              <w:t>The officer can still be wrong or corrupt</w:t>
            </w:r>
          </w:p>
        </w:tc>
      </w:tr>
      <w:tr>
        <w:tc>
          <w:tcPr>
            <w:tcW w:type="dxa" w:w="1201"/>
          </w:tcPr>
          <w:p>
            <w:pPr>
              <w:spacing w:after="0" w:before="0" w:line="240" w:lineRule="auto"/>
            </w:pPr>
            <w:r>
              <w:rPr>
                <w:sz w:val="14"/>
              </w:rPr>
            </w:r>
            <w:r>
              <w:rPr>
                <w:rFonts w:ascii="Times New Roman" w:hAnsi="Times New Roman" w:eastAsia="Times New Roman"/>
                <w:sz w:val="14"/>
              </w:rPr>
              <w:t>Auditor or regulator</w:t>
            </w:r>
          </w:p>
        </w:tc>
        <w:tc>
          <w:tcPr>
            <w:tcW w:type="dxa" w:w="1801"/>
          </w:tcPr>
          <w:p>
            <w:pPr>
              <w:spacing w:after="0" w:before="0" w:line="240" w:lineRule="auto"/>
            </w:pPr>
            <w:r>
              <w:rPr>
                <w:sz w:val="14"/>
              </w:rPr>
            </w:r>
            <w:r>
              <w:rPr>
                <w:rFonts w:ascii="Times New Roman" w:hAnsi="Times New Roman" w:eastAsia="Times New Roman"/>
                <w:sz w:val="14"/>
              </w:rPr>
              <w:t>Complete, unalterable evidence</w:t>
            </w:r>
          </w:p>
        </w:tc>
        <w:tc>
          <w:tcPr>
            <w:tcW w:type="dxa" w:w="1692"/>
          </w:tcPr>
          <w:p>
            <w:pPr>
              <w:spacing w:after="0" w:before="0" w:line="240" w:lineRule="auto"/>
            </w:pPr>
            <w:r>
              <w:rPr>
                <w:sz w:val="14"/>
              </w:rPr>
            </w:r>
            <w:r>
              <w:rPr>
                <w:rFonts w:ascii="Times New Roman" w:hAnsi="Times New Roman" w:eastAsia="Times New Roman"/>
                <w:sz w:val="14"/>
              </w:rPr>
              <w:t>Records can be edited after the fact</w:t>
            </w:r>
          </w:p>
        </w:tc>
        <w:tc>
          <w:tcPr>
            <w:tcW w:type="dxa" w:w="2456"/>
          </w:tcPr>
          <w:p>
            <w:pPr>
              <w:spacing w:after="0" w:before="0" w:line="240" w:lineRule="auto"/>
            </w:pPr>
            <w:r>
              <w:rPr>
                <w:sz w:val="14"/>
              </w:rPr>
            </w:r>
            <w:r>
              <w:rPr>
                <w:rFonts w:ascii="Times New Roman" w:hAnsi="Times New Roman" w:eastAsia="Times New Roman"/>
                <w:sz w:val="14"/>
              </w:rPr>
              <w:t>Full event log with transaction hashes, CSV export and hashed audit notes</w:t>
            </w:r>
          </w:p>
        </w:tc>
        <w:tc>
          <w:tcPr>
            <w:tcW w:type="dxa" w:w="1637"/>
          </w:tcPr>
          <w:p>
            <w:pPr>
              <w:spacing w:after="0" w:before="0" w:line="240" w:lineRule="auto"/>
            </w:pPr>
            <w:r>
              <w:rPr>
                <w:sz w:val="14"/>
              </w:rPr>
            </w:r>
            <w:r>
              <w:rPr>
                <w:rFonts w:ascii="Times New Roman" w:hAnsi="Times New Roman" w:eastAsia="Times New Roman"/>
                <w:sz w:val="14"/>
              </w:rPr>
              <w:t>Does not by itself satisfy KYC and AML</w:t>
            </w:r>
          </w:p>
        </w:tc>
      </w:tr>
      <w:tr>
        <w:tc>
          <w:tcPr>
            <w:tcW w:type="dxa" w:w="1201"/>
          </w:tcPr>
          <w:p>
            <w:pPr>
              <w:spacing w:after="0" w:before="0" w:line="240" w:lineRule="auto"/>
            </w:pPr>
            <w:r>
              <w:rPr>
                <w:sz w:val="14"/>
              </w:rPr>
            </w:r>
            <w:r>
              <w:rPr>
                <w:rFonts w:ascii="Times New Roman" w:hAnsi="Times New Roman" w:eastAsia="Times New Roman"/>
                <w:sz w:val="14"/>
              </w:rPr>
              <w:t>Platform operator</w:t>
            </w:r>
          </w:p>
        </w:tc>
        <w:tc>
          <w:tcPr>
            <w:tcW w:type="dxa" w:w="1801"/>
          </w:tcPr>
          <w:p>
            <w:pPr>
              <w:spacing w:after="0" w:before="0" w:line="240" w:lineRule="auto"/>
            </w:pPr>
            <w:r>
              <w:rPr>
                <w:sz w:val="14"/>
              </w:rPr>
            </w:r>
            <w:r>
              <w:rPr>
                <w:rFonts w:ascii="Times New Roman" w:hAnsi="Times New Roman" w:eastAsia="Times New Roman"/>
                <w:sz w:val="14"/>
              </w:rPr>
              <w:t>A maintainable system that can be stopped safely</w:t>
            </w:r>
          </w:p>
        </w:tc>
        <w:tc>
          <w:tcPr>
            <w:tcW w:type="dxa" w:w="1692"/>
          </w:tcPr>
          <w:p>
            <w:pPr>
              <w:spacing w:after="0" w:before="0" w:line="240" w:lineRule="auto"/>
            </w:pPr>
            <w:r>
              <w:rPr>
                <w:sz w:val="14"/>
              </w:rPr>
            </w:r>
            <w:r>
              <w:rPr>
                <w:rFonts w:ascii="Times New Roman" w:hAnsi="Times New Roman" w:eastAsia="Times New Roman"/>
                <w:sz w:val="14"/>
              </w:rPr>
              <w:t>Not applicable</w:t>
            </w:r>
          </w:p>
        </w:tc>
        <w:tc>
          <w:tcPr>
            <w:tcW w:type="dxa" w:w="2456"/>
          </w:tcPr>
          <w:p>
            <w:pPr>
              <w:spacing w:after="0" w:before="0" w:line="240" w:lineRule="auto"/>
            </w:pPr>
            <w:r>
              <w:rPr>
                <w:sz w:val="14"/>
              </w:rPr>
            </w:r>
            <w:r>
              <w:rPr>
                <w:rFonts w:ascii="Times New Roman" w:hAnsi="Times New Roman" w:eastAsia="Times New Roman"/>
                <w:sz w:val="14"/>
              </w:rPr>
              <w:t>Pause controls that never block repayment or withdrawal; role and tier administration</w:t>
            </w:r>
          </w:p>
        </w:tc>
        <w:tc>
          <w:tcPr>
            <w:tcW w:type="dxa" w:w="1637"/>
          </w:tcPr>
          <w:p>
            <w:pPr>
              <w:spacing w:after="0" w:before="0" w:line="240" w:lineRule="auto"/>
            </w:pPr>
            <w:r>
              <w:rPr>
                <w:sz w:val="14"/>
              </w:rPr>
            </w:r>
            <w:r>
              <w:rPr>
                <w:rFonts w:ascii="Times New Roman" w:hAnsi="Times New Roman" w:eastAsia="Times New Roman"/>
                <w:sz w:val="14"/>
              </w:rPr>
              <w:t>Single admin key with no multisig</w:t>
            </w:r>
          </w:p>
        </w:tc>
      </w:tr>
      <w:tr>
        <w:tc>
          <w:tcPr>
            <w:tcW w:type="dxa" w:w="1201"/>
          </w:tcPr>
          <w:p>
            <w:pPr>
              <w:spacing w:after="0" w:before="0" w:line="240" w:lineRule="auto"/>
            </w:pPr>
            <w:r>
              <w:rPr>
                <w:sz w:val="14"/>
              </w:rPr>
            </w:r>
            <w:r>
              <w:rPr>
                <w:rFonts w:ascii="Times New Roman" w:hAnsi="Times New Roman" w:eastAsia="Times New Roman"/>
                <w:sz w:val="14"/>
              </w:rPr>
              <w:t>Local community</w:t>
            </w:r>
          </w:p>
        </w:tc>
        <w:tc>
          <w:tcPr>
            <w:tcW w:type="dxa" w:w="1801"/>
          </w:tcPr>
          <w:p>
            <w:pPr>
              <w:spacing w:after="0" w:before="0" w:line="240" w:lineRule="auto"/>
            </w:pPr>
            <w:r>
              <w:rPr>
                <w:sz w:val="14"/>
              </w:rPr>
            </w:r>
            <w:r>
              <w:rPr>
                <w:rFonts w:ascii="Times New Roman" w:hAnsi="Times New Roman" w:eastAsia="Times New Roman"/>
                <w:sz w:val="14"/>
              </w:rPr>
              <w:t>That credit does not become a debt trap</w:t>
            </w:r>
          </w:p>
        </w:tc>
        <w:tc>
          <w:tcPr>
            <w:tcW w:type="dxa" w:w="1692"/>
          </w:tcPr>
          <w:p>
            <w:pPr>
              <w:spacing w:after="0" w:before="0" w:line="240" w:lineRule="auto"/>
            </w:pPr>
            <w:r>
              <w:rPr>
                <w:sz w:val="14"/>
              </w:rPr>
            </w:r>
            <w:r>
              <w:rPr>
                <w:rFonts w:ascii="Times New Roman" w:hAnsi="Times New Roman" w:eastAsia="Times New Roman"/>
                <w:sz w:val="14"/>
              </w:rPr>
              <w:t>Predatory rates</w:t>
            </w:r>
          </w:p>
        </w:tc>
        <w:tc>
          <w:tcPr>
            <w:tcW w:type="dxa" w:w="2456"/>
          </w:tcPr>
          <w:p>
            <w:pPr>
              <w:spacing w:after="0" w:before="0" w:line="240" w:lineRule="auto"/>
            </w:pPr>
            <w:r>
              <w:rPr>
                <w:sz w:val="14"/>
              </w:rPr>
            </w:r>
            <w:r>
              <w:rPr>
                <w:rFonts w:ascii="Times New Roman" w:hAnsi="Times New Roman" w:eastAsia="Times New Roman"/>
                <w:sz w:val="14"/>
              </w:rPr>
              <w:t>Interest visible up front, one open loan per wallet, an enforced grace period</w:t>
            </w:r>
          </w:p>
        </w:tc>
        <w:tc>
          <w:tcPr>
            <w:tcW w:type="dxa" w:w="1637"/>
          </w:tcPr>
          <w:p>
            <w:pPr>
              <w:spacing w:after="0" w:before="0" w:line="240" w:lineRule="auto"/>
            </w:pPr>
            <w:r>
              <w:rPr>
                <w:sz w:val="14"/>
              </w:rPr>
            </w:r>
            <w:r>
              <w:rPr>
                <w:rFonts w:ascii="Times New Roman" w:hAnsi="Times New Roman" w:eastAsia="Times New Roman"/>
                <w:sz w:val="14"/>
              </w:rPr>
              <w:t>No financial-literacy support</w:t>
            </w:r>
          </w:p>
        </w:tc>
      </w:tr>
    </w:tbl>
    <w:p>
      <w:pPr>
        <w:spacing w:after="0" w:before="0"/>
      </w:pPr>
    </w:p>
    <w:p>
      <w:pPr>
        <w:pStyle w:val="Heading2"/>
      </w:pPr>
      <w:r>
        <w:t>2.2 Functional requirements and traceability</w:t>
      </w:r>
    </w:p>
    <w:p>
      <w:r>
        <w:rPr>
          <w:rFonts w:ascii="Times New Roman" w:hAnsi="Times New Roman" w:eastAsia="Times New Roman"/>
        </w:rPr>
        <w:t>The course brief requires at least three interacting contracts, at least ten transaction types, at least three roles, a REST API, a persistent database, a visualisation dashboard, gas analysis, testing and cloud deployment. Each requirement carries an identifier and is linked to where it is implemented and where it is tested.</w:t>
      </w:r>
    </w:p>
    <w:p>
      <w:pPr>
        <w:keepNext/>
        <w:spacing w:after="40" w:before="80"/>
      </w:pPr>
      <w:r>
        <w:rPr>
          <w:b/>
          <w:color w:val="1F4E79"/>
          <w:sz w:val="16"/>
        </w:rPr>
        <w:t>Table 4. Functional requirements traceability.</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624"/>
            <w:shd w:val="clear" w:color="auto" w:fill="1F4E79"/>
          </w:tcPr>
          <w:p>
            <w:pPr>
              <w:spacing w:after="0" w:line="240" w:lineRule="auto"/>
            </w:pPr>
            <w:r/>
            <w:r>
              <w:rPr>
                <w:b/>
                <w:color w:val="FFFFFF"/>
                <w:sz w:val="14"/>
                <w:rFonts w:ascii="Times New Roman" w:hAnsi="Times New Roman" w:eastAsia="Times New Roman"/>
              </w:rPr>
              <w:t>ID</w:t>
            </w:r>
          </w:p>
        </w:tc>
        <w:tc>
          <w:tcPr>
            <w:tcW w:type="dxa" w:w="2381"/>
            <w:shd w:val="clear" w:color="auto" w:fill="1F4E79"/>
          </w:tcPr>
          <w:p>
            <w:pPr>
              <w:spacing w:after="0" w:line="240" w:lineRule="auto"/>
            </w:pPr>
            <w:r/>
            <w:r>
              <w:rPr>
                <w:b/>
                <w:color w:val="FFFFFF"/>
                <w:sz w:val="14"/>
                <w:rFonts w:ascii="Times New Roman" w:hAnsi="Times New Roman" w:eastAsia="Times New Roman"/>
              </w:rPr>
              <w:t>Requirement</w:t>
            </w:r>
          </w:p>
        </w:tc>
        <w:tc>
          <w:tcPr>
            <w:tcW w:type="dxa" w:w="3515"/>
            <w:shd w:val="clear" w:color="auto" w:fill="1F4E79"/>
          </w:tcPr>
          <w:p>
            <w:pPr>
              <w:spacing w:after="0" w:line="240" w:lineRule="auto"/>
            </w:pPr>
            <w:r/>
            <w:r>
              <w:rPr>
                <w:b/>
                <w:color w:val="FFFFFF"/>
                <w:sz w:val="14"/>
                <w:rFonts w:ascii="Times New Roman" w:hAnsi="Times New Roman" w:eastAsia="Times New Roman"/>
              </w:rPr>
              <w:t>Implementation</w:t>
            </w:r>
          </w:p>
        </w:tc>
        <w:tc>
          <w:tcPr>
            <w:tcW w:type="dxa" w:w="2268"/>
            <w:shd w:val="clear" w:color="auto" w:fill="1F4E79"/>
          </w:tcPr>
          <w:p>
            <w:pPr>
              <w:spacing w:after="0" w:line="240" w:lineRule="auto"/>
            </w:pPr>
            <w:r/>
            <w:r>
              <w:rPr>
                <w:b/>
                <w:color w:val="FFFFFF"/>
                <w:sz w:val="14"/>
                <w:rFonts w:ascii="Times New Roman" w:hAnsi="Times New Roman" w:eastAsia="Times New Roman"/>
              </w:rPr>
              <w:t>Test or evidence</w:t>
            </w:r>
          </w:p>
        </w:tc>
      </w:tr>
      <w:tr>
        <w:tc>
          <w:tcPr>
            <w:tcW w:type="dxa" w:w="624"/>
          </w:tcPr>
          <w:p>
            <w:pPr>
              <w:spacing w:after="0" w:before="0" w:line="240" w:lineRule="auto"/>
            </w:pPr>
            <w:r>
              <w:rPr>
                <w:sz w:val="14"/>
              </w:rPr>
            </w:r>
            <w:r>
              <w:rPr>
                <w:rFonts w:ascii="Times New Roman" w:hAnsi="Times New Roman" w:eastAsia="Times New Roman"/>
                <w:sz w:val="14"/>
              </w:rPr>
              <w:t>FR-01</w:t>
            </w:r>
          </w:p>
        </w:tc>
        <w:tc>
          <w:tcPr>
            <w:tcW w:type="dxa" w:w="2381"/>
          </w:tcPr>
          <w:p>
            <w:pPr>
              <w:spacing w:after="0" w:before="0" w:line="240" w:lineRule="auto"/>
            </w:pPr>
            <w:r>
              <w:rPr>
                <w:sz w:val="14"/>
              </w:rPr>
            </w:r>
            <w:r>
              <w:rPr>
                <w:rFonts w:ascii="Times New Roman" w:hAnsi="Times New Roman" w:eastAsia="Times New Roman"/>
                <w:sz w:val="14"/>
              </w:rPr>
              <w:t>Role-based access control with at least three roles</w:t>
            </w:r>
          </w:p>
        </w:tc>
        <w:tc>
          <w:tcPr>
            <w:tcW w:type="dxa" w:w="3515"/>
          </w:tcPr>
          <w:p>
            <w:pPr>
              <w:spacing w:after="0" w:before="0" w:line="240" w:lineRule="auto"/>
            </w:pPr>
            <w:r>
              <w:rPr>
                <w:sz w:val="14"/>
              </w:rPr>
            </w:r>
            <w:r>
              <w:rPr>
                <w:rFonts w:ascii="Times New Roman" w:hAnsi="Times New Roman" w:eastAsia="Times New Roman"/>
                <w:sz w:val="14"/>
              </w:rPr>
              <w:t>AccessControl on all contracts: admin, officer, auditor, scorer and pauser; wallet-signature login returns roles read from the chain</w:t>
            </w:r>
          </w:p>
        </w:tc>
        <w:tc>
          <w:tcPr>
            <w:tcW w:type="dxa" w:w="2268"/>
          </w:tcPr>
          <w:p>
            <w:pPr>
              <w:spacing w:after="0" w:before="0" w:line="240" w:lineRule="auto"/>
            </w:pPr>
            <w:r>
              <w:rPr>
                <w:sz w:val="14"/>
              </w:rPr>
            </w:r>
            <w:r>
              <w:rPr>
                <w:rFonts w:ascii="Times New Roman" w:hAnsi="Times New Roman" w:eastAsia="Times New Roman"/>
                <w:sz w:val="14"/>
              </w:rPr>
              <w:t>Contract access-control tests; API role gating; scenario S9</w:t>
            </w:r>
          </w:p>
        </w:tc>
      </w:tr>
      <w:tr>
        <w:tc>
          <w:tcPr>
            <w:tcW w:type="dxa" w:w="624"/>
          </w:tcPr>
          <w:p>
            <w:pPr>
              <w:spacing w:after="0" w:before="0" w:line="240" w:lineRule="auto"/>
            </w:pPr>
            <w:r>
              <w:rPr>
                <w:sz w:val="14"/>
              </w:rPr>
            </w:r>
            <w:r>
              <w:rPr>
                <w:rFonts w:ascii="Times New Roman" w:hAnsi="Times New Roman" w:eastAsia="Times New Roman"/>
                <w:sz w:val="14"/>
              </w:rPr>
              <w:t>FR-02</w:t>
            </w:r>
          </w:p>
        </w:tc>
        <w:tc>
          <w:tcPr>
            <w:tcW w:type="dxa" w:w="2381"/>
          </w:tcPr>
          <w:p>
            <w:pPr>
              <w:spacing w:after="0" w:before="0" w:line="240" w:lineRule="auto"/>
            </w:pPr>
            <w:r>
              <w:rPr>
                <w:sz w:val="14"/>
              </w:rPr>
            </w:r>
            <w:r>
              <w:rPr>
                <w:rFonts w:ascii="Times New Roman" w:hAnsi="Times New Roman" w:eastAsia="Times New Roman"/>
                <w:sz w:val="14"/>
              </w:rPr>
              <w:t>MetaMask integration and wallet transaction signing</w:t>
            </w:r>
          </w:p>
        </w:tc>
        <w:tc>
          <w:tcPr>
            <w:tcW w:type="dxa" w:w="3515"/>
          </w:tcPr>
          <w:p>
            <w:pPr>
              <w:spacing w:after="0" w:before="0" w:line="240" w:lineRule="auto"/>
            </w:pPr>
            <w:r>
              <w:rPr>
                <w:sz w:val="14"/>
              </w:rPr>
            </w:r>
            <w:r>
              <w:rPr>
                <w:rFonts w:ascii="Times New Roman" w:hAnsi="Times New Roman" w:eastAsia="Times New Roman"/>
                <w:sz w:val="14"/>
              </w:rPr>
              <w:t>AppContext: connect, network switch, personal_sign, every write through the signer</w:t>
            </w:r>
          </w:p>
        </w:tc>
        <w:tc>
          <w:tcPr>
            <w:tcW w:type="dxa" w:w="2268"/>
          </w:tcPr>
          <w:p>
            <w:pPr>
              <w:spacing w:after="0" w:before="0" w:line="240" w:lineRule="auto"/>
            </w:pPr>
            <w:r>
              <w:rPr>
                <w:sz w:val="14"/>
              </w:rPr>
            </w:r>
            <w:r>
              <w:rPr>
                <w:rFonts w:ascii="Times New Roman" w:hAnsi="Times New Roman" w:eastAsia="Times New Roman"/>
                <w:sz w:val="14"/>
              </w:rPr>
              <w:t>Functional cases F1 to F11 executed in the browser</w:t>
            </w:r>
          </w:p>
        </w:tc>
      </w:tr>
      <w:tr>
        <w:tc>
          <w:tcPr>
            <w:tcW w:type="dxa" w:w="624"/>
          </w:tcPr>
          <w:p>
            <w:pPr>
              <w:spacing w:after="0" w:before="0" w:line="240" w:lineRule="auto"/>
            </w:pPr>
            <w:r>
              <w:rPr>
                <w:sz w:val="14"/>
              </w:rPr>
            </w:r>
            <w:r>
              <w:rPr>
                <w:rFonts w:ascii="Times New Roman" w:hAnsi="Times New Roman" w:eastAsia="Times New Roman"/>
                <w:sz w:val="14"/>
              </w:rPr>
              <w:t>FR-03</w:t>
            </w:r>
          </w:p>
        </w:tc>
        <w:tc>
          <w:tcPr>
            <w:tcW w:type="dxa" w:w="2381"/>
          </w:tcPr>
          <w:p>
            <w:pPr>
              <w:spacing w:after="0" w:before="0" w:line="240" w:lineRule="auto"/>
            </w:pPr>
            <w:r>
              <w:rPr>
                <w:sz w:val="14"/>
              </w:rPr>
            </w:r>
            <w:r>
              <w:rPr>
                <w:rFonts w:ascii="Times New Roman" w:hAnsi="Times New Roman" w:eastAsia="Times New Roman"/>
                <w:sz w:val="14"/>
              </w:rPr>
              <w:t>At least three contracts that call each other</w:t>
            </w:r>
          </w:p>
        </w:tc>
        <w:tc>
          <w:tcPr>
            <w:tcW w:type="dxa" w:w="3515"/>
          </w:tcPr>
          <w:p>
            <w:pPr>
              <w:spacing w:after="0" w:before="0" w:line="240" w:lineRule="auto"/>
            </w:pPr>
            <w:r>
              <w:rPr>
                <w:sz w:val="14"/>
              </w:rPr>
            </w:r>
            <w:r>
              <w:rPr>
                <w:rFonts w:ascii="Times New Roman" w:hAnsi="Times New Roman" w:eastAsia="Times New Roman"/>
                <w:sz w:val="14"/>
              </w:rPr>
              <w:t>LoanManager calls CreditRegistry, LendingPool and CollateralVault, and is the only holder of LOAN_MANAGER_ROLE on the other three</w:t>
            </w:r>
          </w:p>
        </w:tc>
        <w:tc>
          <w:tcPr>
            <w:tcW w:type="dxa" w:w="2268"/>
          </w:tcPr>
          <w:p>
            <w:pPr>
              <w:spacing w:after="0" w:before="0" w:line="240" w:lineRule="auto"/>
            </w:pPr>
            <w:r>
              <w:rPr>
                <w:sz w:val="14"/>
              </w:rPr>
            </w:r>
            <w:r>
              <w:rPr>
                <w:rFonts w:ascii="Times New Roman" w:hAnsi="Times New Roman" w:eastAsia="Times New Roman"/>
                <w:sz w:val="14"/>
              </w:rPr>
              <w:t>All 49 contract tests</w:t>
            </w:r>
          </w:p>
        </w:tc>
      </w:tr>
      <w:tr>
        <w:tc>
          <w:tcPr>
            <w:tcW w:type="dxa" w:w="624"/>
          </w:tcPr>
          <w:p>
            <w:pPr>
              <w:spacing w:after="0" w:before="0" w:line="240" w:lineRule="auto"/>
            </w:pPr>
            <w:r>
              <w:rPr>
                <w:sz w:val="14"/>
              </w:rPr>
            </w:r>
            <w:r>
              <w:rPr>
                <w:rFonts w:ascii="Times New Roman" w:hAnsi="Times New Roman" w:eastAsia="Times New Roman"/>
                <w:sz w:val="14"/>
              </w:rPr>
              <w:t>FR-04</w:t>
            </w:r>
          </w:p>
        </w:tc>
        <w:tc>
          <w:tcPr>
            <w:tcW w:type="dxa" w:w="2381"/>
          </w:tcPr>
          <w:p>
            <w:pPr>
              <w:spacing w:after="0" w:before="0" w:line="240" w:lineRule="auto"/>
            </w:pPr>
            <w:r>
              <w:rPr>
                <w:sz w:val="14"/>
              </w:rPr>
            </w:r>
            <w:r>
              <w:rPr>
                <w:rFonts w:ascii="Times New Roman" w:hAnsi="Times New Roman" w:eastAsia="Times New Roman"/>
                <w:sz w:val="14"/>
              </w:rPr>
              <w:t>At least ten distinct transaction types</w:t>
            </w:r>
          </w:p>
        </w:tc>
        <w:tc>
          <w:tcPr>
            <w:tcW w:type="dxa" w:w="3515"/>
          </w:tcPr>
          <w:p>
            <w:pPr>
              <w:spacing w:after="0" w:before="0" w:line="240" w:lineRule="auto"/>
            </w:pPr>
            <w:r>
              <w:rPr>
                <w:sz w:val="14"/>
              </w:rPr>
            </w:r>
            <w:r>
              <w:rPr>
                <w:rFonts w:ascii="Times New Roman" w:hAnsi="Times New Roman" w:eastAsia="Times New Roman"/>
                <w:sz w:val="14"/>
              </w:rPr>
              <w:t>19 types enumerated in Table 15, and the main lifecycle executed end to end on Sepolia and recorded in the demonstration video</w:t>
            </w:r>
          </w:p>
        </w:tc>
        <w:tc>
          <w:tcPr>
            <w:tcW w:type="dxa" w:w="2268"/>
          </w:tcPr>
          <w:p>
            <w:pPr>
              <w:spacing w:after="0" w:before="0" w:line="240" w:lineRule="auto"/>
            </w:pPr>
            <w:r>
              <w:rPr>
                <w:sz w:val="14"/>
              </w:rPr>
            </w:r>
            <w:r>
              <w:rPr>
                <w:rFonts w:ascii="Times New Roman" w:hAnsi="Times New Roman" w:eastAsia="Times New Roman"/>
                <w:sz w:val="14"/>
              </w:rPr>
              <w:t>Contract tests, plus the Sepolia run of 13 October 2026</w:t>
            </w:r>
          </w:p>
        </w:tc>
      </w:tr>
      <w:tr>
        <w:tc>
          <w:tcPr>
            <w:tcW w:type="dxa" w:w="624"/>
          </w:tcPr>
          <w:p>
            <w:pPr>
              <w:spacing w:after="0" w:before="0" w:line="240" w:lineRule="auto"/>
            </w:pPr>
            <w:r>
              <w:rPr>
                <w:sz w:val="14"/>
              </w:rPr>
            </w:r>
            <w:r>
              <w:rPr>
                <w:rFonts w:ascii="Times New Roman" w:hAnsi="Times New Roman" w:eastAsia="Times New Roman"/>
                <w:sz w:val="14"/>
              </w:rPr>
              <w:t>FR-05</w:t>
            </w:r>
          </w:p>
        </w:tc>
        <w:tc>
          <w:tcPr>
            <w:tcW w:type="dxa" w:w="2381"/>
          </w:tcPr>
          <w:p>
            <w:pPr>
              <w:spacing w:after="0" w:before="0" w:line="240" w:lineRule="auto"/>
            </w:pPr>
            <w:r>
              <w:rPr>
                <w:sz w:val="14"/>
              </w:rPr>
            </w:r>
            <w:r>
              <w:rPr>
                <w:rFonts w:ascii="Times New Roman" w:hAnsi="Times New Roman" w:eastAsia="Times New Roman"/>
                <w:sz w:val="14"/>
              </w:rPr>
              <w:t>Backend REST API</w:t>
            </w:r>
          </w:p>
        </w:tc>
        <w:tc>
          <w:tcPr>
            <w:tcW w:type="dxa" w:w="3515"/>
          </w:tcPr>
          <w:p>
            <w:pPr>
              <w:spacing w:after="0" w:before="0" w:line="240" w:lineRule="auto"/>
            </w:pPr>
            <w:r>
              <w:rPr>
                <w:sz w:val="14"/>
              </w:rPr>
            </w:r>
            <w:r>
              <w:rPr>
                <w:rFonts w:ascii="Times New Roman" w:hAnsi="Times New Roman" w:eastAsia="Times New Roman"/>
                <w:sz w:val="14"/>
              </w:rPr>
              <w:t>Express routers: public, session, ledger, score and staff (Table 19)</w:t>
            </w:r>
          </w:p>
        </w:tc>
        <w:tc>
          <w:tcPr>
            <w:tcW w:type="dxa" w:w="2268"/>
          </w:tcPr>
          <w:p>
            <w:pPr>
              <w:spacing w:after="0" w:before="0" w:line="240" w:lineRule="auto"/>
            </w:pPr>
            <w:r>
              <w:rPr>
                <w:sz w:val="14"/>
              </w:rPr>
            </w:r>
            <w:r>
              <w:rPr>
                <w:rFonts w:ascii="Times New Roman" w:hAnsi="Times New Roman" w:eastAsia="Times New Roman"/>
                <w:sz w:val="14"/>
              </w:rPr>
              <w:t>API tests 1 to 10</w:t>
            </w:r>
          </w:p>
        </w:tc>
      </w:tr>
      <w:tr>
        <w:tc>
          <w:tcPr>
            <w:tcW w:type="dxa" w:w="624"/>
          </w:tcPr>
          <w:p>
            <w:pPr>
              <w:spacing w:after="0" w:before="0" w:line="240" w:lineRule="auto"/>
            </w:pPr>
            <w:r>
              <w:rPr>
                <w:sz w:val="14"/>
              </w:rPr>
            </w:r>
            <w:r>
              <w:rPr>
                <w:rFonts w:ascii="Times New Roman" w:hAnsi="Times New Roman" w:eastAsia="Times New Roman"/>
                <w:sz w:val="14"/>
              </w:rPr>
              <w:t>FR-06</w:t>
            </w:r>
          </w:p>
        </w:tc>
        <w:tc>
          <w:tcPr>
            <w:tcW w:type="dxa" w:w="2381"/>
          </w:tcPr>
          <w:p>
            <w:pPr>
              <w:spacing w:after="0" w:before="0" w:line="240" w:lineRule="auto"/>
            </w:pPr>
            <w:r>
              <w:rPr>
                <w:sz w:val="14"/>
              </w:rPr>
            </w:r>
            <w:r>
              <w:rPr>
                <w:rFonts w:ascii="Times New Roman" w:hAnsi="Times New Roman" w:eastAsia="Times New Roman"/>
                <w:sz w:val="14"/>
              </w:rPr>
              <w:t>Persistent data storage</w:t>
            </w:r>
          </w:p>
        </w:tc>
        <w:tc>
          <w:tcPr>
            <w:tcW w:type="dxa" w:w="3515"/>
          </w:tcPr>
          <w:p>
            <w:pPr>
              <w:spacing w:after="0" w:before="0" w:line="240" w:lineRule="auto"/>
            </w:pPr>
            <w:r>
              <w:rPr>
                <w:sz w:val="14"/>
              </w:rPr>
            </w:r>
            <w:r>
              <w:rPr>
                <w:rFonts w:ascii="Times New Roman" w:hAnsi="Times New Roman" w:eastAsia="Times New Roman"/>
                <w:sz w:val="14"/>
              </w:rPr>
              <w:t>knex with SQLite in development and PostgreSQL in the cloud; seven tables</w:t>
            </w:r>
          </w:p>
        </w:tc>
        <w:tc>
          <w:tcPr>
            <w:tcW w:type="dxa" w:w="2268"/>
          </w:tcPr>
          <w:p>
            <w:pPr>
              <w:spacing w:after="0" w:before="0" w:line="240" w:lineRule="auto"/>
            </w:pPr>
            <w:r>
              <w:rPr>
                <w:sz w:val="14"/>
              </w:rPr>
            </w:r>
            <w:r>
              <w:rPr>
                <w:rFonts w:ascii="Times New Roman" w:hAnsi="Times New Roman" w:eastAsia="Times New Roman"/>
                <w:sz w:val="14"/>
              </w:rPr>
              <w:t>Backend tests; the Docker and PostgreSQL pre-deployment run</w:t>
            </w:r>
          </w:p>
        </w:tc>
      </w:tr>
      <w:tr>
        <w:tc>
          <w:tcPr>
            <w:tcW w:type="dxa" w:w="624"/>
          </w:tcPr>
          <w:p>
            <w:pPr>
              <w:spacing w:after="0" w:before="0" w:line="240" w:lineRule="auto"/>
            </w:pPr>
            <w:r>
              <w:rPr>
                <w:sz w:val="14"/>
              </w:rPr>
            </w:r>
            <w:r>
              <w:rPr>
                <w:rFonts w:ascii="Times New Roman" w:hAnsi="Times New Roman" w:eastAsia="Times New Roman"/>
                <w:sz w:val="14"/>
              </w:rPr>
              <w:t>FR-07</w:t>
            </w:r>
          </w:p>
        </w:tc>
        <w:tc>
          <w:tcPr>
            <w:tcW w:type="dxa" w:w="2381"/>
          </w:tcPr>
          <w:p>
            <w:pPr>
              <w:spacing w:after="0" w:before="0" w:line="240" w:lineRule="auto"/>
            </w:pPr>
            <w:r>
              <w:rPr>
                <w:sz w:val="14"/>
              </w:rPr>
            </w:r>
            <w:r>
              <w:rPr>
                <w:rFonts w:ascii="Times New Roman" w:hAnsi="Times New Roman" w:eastAsia="Times New Roman"/>
                <w:sz w:val="14"/>
              </w:rPr>
              <w:t>Comprehensive exception handling</w:t>
            </w:r>
          </w:p>
        </w:tc>
        <w:tc>
          <w:tcPr>
            <w:tcW w:type="dxa" w:w="3515"/>
          </w:tcPr>
          <w:p>
            <w:pPr>
              <w:spacing w:after="0" w:before="0" w:line="240" w:lineRule="auto"/>
            </w:pPr>
            <w:r>
              <w:rPr>
                <w:sz w:val="14"/>
              </w:rPr>
            </w:r>
            <w:r>
              <w:rPr>
                <w:rFonts w:ascii="Times New Roman" w:hAnsi="Times New Roman" w:eastAsia="Times New Roman"/>
                <w:sz w:val="14"/>
              </w:rPr>
              <w:t>Custom Solidity errors; the error module maps validation and chain failures to HTTP codes</w:t>
            </w:r>
          </w:p>
        </w:tc>
        <w:tc>
          <w:tcPr>
            <w:tcW w:type="dxa" w:w="2268"/>
          </w:tcPr>
          <w:p>
            <w:pPr>
              <w:spacing w:after="0" w:before="0" w:line="240" w:lineRule="auto"/>
            </w:pPr>
            <w:r>
              <w:rPr>
                <w:sz w:val="14"/>
              </w:rPr>
            </w:r>
            <w:r>
              <w:rPr>
                <w:rFonts w:ascii="Times New Roman" w:hAnsi="Times New Roman" w:eastAsia="Times New Roman"/>
                <w:sz w:val="14"/>
              </w:rPr>
              <w:t>Backend error-path tests; defect BUG-03</w:t>
            </w:r>
          </w:p>
        </w:tc>
      </w:tr>
      <w:tr>
        <w:tc>
          <w:tcPr>
            <w:tcW w:type="dxa" w:w="624"/>
          </w:tcPr>
          <w:p>
            <w:pPr>
              <w:spacing w:after="0" w:before="0" w:line="240" w:lineRule="auto"/>
            </w:pPr>
            <w:r>
              <w:rPr>
                <w:sz w:val="14"/>
              </w:rPr>
            </w:r>
            <w:r>
              <w:rPr>
                <w:rFonts w:ascii="Times New Roman" w:hAnsi="Times New Roman" w:eastAsia="Times New Roman"/>
                <w:sz w:val="14"/>
              </w:rPr>
              <w:t>FR-08</w:t>
            </w:r>
          </w:p>
        </w:tc>
        <w:tc>
          <w:tcPr>
            <w:tcW w:type="dxa" w:w="2381"/>
          </w:tcPr>
          <w:p>
            <w:pPr>
              <w:spacing w:after="0" w:before="0" w:line="240" w:lineRule="auto"/>
            </w:pPr>
            <w:r>
              <w:rPr>
                <w:sz w:val="14"/>
              </w:rPr>
            </w:r>
            <w:r>
              <w:rPr>
                <w:rFonts w:ascii="Times New Roman" w:hAnsi="Times New Roman" w:eastAsia="Times New Roman"/>
                <w:sz w:val="14"/>
              </w:rPr>
              <w:t>Responsive dashboard with history, logs and charts</w:t>
            </w:r>
          </w:p>
        </w:tc>
        <w:tc>
          <w:tcPr>
            <w:tcW w:type="dxa" w:w="3515"/>
          </w:tcPr>
          <w:p>
            <w:pPr>
              <w:spacing w:after="0" w:before="0" w:line="240" w:lineRule="auto"/>
            </w:pPr>
            <w:r>
              <w:rPr>
                <w:sz w:val="14"/>
              </w:rPr>
            </w:r>
            <w:r>
              <w:rPr>
                <w:rFonts w:ascii="Times New Roman" w:hAnsi="Times New Roman" w:eastAsia="Times New Roman"/>
                <w:sz w:val="14"/>
              </w:rPr>
              <w:t>Six role-based pages; pool and status charts; filterable, paginated event log with CSV export; verified at a 390-pixel viewport (Figure 9)</w:t>
            </w:r>
          </w:p>
        </w:tc>
        <w:tc>
          <w:tcPr>
            <w:tcW w:type="dxa" w:w="2268"/>
          </w:tcPr>
          <w:p>
            <w:pPr>
              <w:spacing w:after="0" w:before="0" w:line="240" w:lineRule="auto"/>
            </w:pPr>
            <w:r>
              <w:rPr>
                <w:sz w:val="14"/>
              </w:rPr>
            </w:r>
            <w:r>
              <w:rPr>
                <w:rFonts w:ascii="Times New Roman" w:hAnsi="Times New Roman" w:eastAsia="Times New Roman"/>
                <w:sz w:val="14"/>
              </w:rPr>
              <w:t>F11 and S3; Figures 8 and 9</w:t>
            </w:r>
          </w:p>
        </w:tc>
      </w:tr>
      <w:tr>
        <w:tc>
          <w:tcPr>
            <w:tcW w:type="dxa" w:w="624"/>
          </w:tcPr>
          <w:p>
            <w:pPr>
              <w:spacing w:after="0" w:before="0" w:line="240" w:lineRule="auto"/>
            </w:pPr>
            <w:r>
              <w:rPr>
                <w:sz w:val="14"/>
              </w:rPr>
            </w:r>
            <w:r>
              <w:rPr>
                <w:rFonts w:ascii="Times New Roman" w:hAnsi="Times New Roman" w:eastAsia="Times New Roman"/>
                <w:sz w:val="14"/>
              </w:rPr>
              <w:t>FR-09</w:t>
            </w:r>
          </w:p>
        </w:tc>
        <w:tc>
          <w:tcPr>
            <w:tcW w:type="dxa" w:w="2381"/>
          </w:tcPr>
          <w:p>
            <w:pPr>
              <w:spacing w:after="0" w:before="0" w:line="240" w:lineRule="auto"/>
            </w:pPr>
            <w:r>
              <w:rPr>
                <w:sz w:val="14"/>
              </w:rPr>
            </w:r>
            <w:r>
              <w:rPr>
                <w:rFonts w:ascii="Times New Roman" w:hAnsi="Times New Roman" w:eastAsia="Times New Roman"/>
                <w:sz w:val="14"/>
              </w:rPr>
              <w:t>Gas estimation and optimisation analysis</w:t>
            </w:r>
          </w:p>
        </w:tc>
        <w:tc>
          <w:tcPr>
            <w:tcW w:type="dxa" w:w="3515"/>
          </w:tcPr>
          <w:p>
            <w:pPr>
              <w:spacing w:after="0" w:before="0" w:line="240" w:lineRule="auto"/>
            </w:pPr>
            <w:r>
              <w:rPr>
                <w:sz w:val="14"/>
              </w:rPr>
            </w:r>
            <w:r>
              <w:rPr>
                <w:rFonts w:ascii="Times New Roman" w:hAnsi="Times New Roman" w:eastAsia="Times New Roman"/>
                <w:sz w:val="14"/>
              </w:rPr>
              <w:t>hardhat-gas-reporter; Section 9.4</w:t>
            </w:r>
          </w:p>
        </w:tc>
        <w:tc>
          <w:tcPr>
            <w:tcW w:type="dxa" w:w="2268"/>
          </w:tcPr>
          <w:p>
            <w:pPr>
              <w:spacing w:after="0" w:before="0" w:line="240" w:lineRule="auto"/>
            </w:pPr>
            <w:r>
              <w:rPr>
                <w:sz w:val="14"/>
              </w:rPr>
            </w:r>
            <w:r>
              <w:rPr>
                <w:rFonts w:ascii="Times New Roman" w:hAnsi="Times New Roman" w:eastAsia="Times New Roman"/>
                <w:sz w:val="14"/>
              </w:rPr>
              <w:t>docs/gas-report.txt</w:t>
            </w:r>
          </w:p>
        </w:tc>
      </w:tr>
      <w:tr>
        <w:tc>
          <w:tcPr>
            <w:tcW w:type="dxa" w:w="624"/>
          </w:tcPr>
          <w:p>
            <w:pPr>
              <w:spacing w:after="0" w:before="0" w:line="240" w:lineRule="auto"/>
            </w:pPr>
            <w:r>
              <w:rPr>
                <w:sz w:val="14"/>
              </w:rPr>
            </w:r>
            <w:r>
              <w:rPr>
                <w:rFonts w:ascii="Times New Roman" w:hAnsi="Times New Roman" w:eastAsia="Times New Roman"/>
                <w:sz w:val="14"/>
              </w:rPr>
              <w:t>FR-10</w:t>
            </w:r>
          </w:p>
        </w:tc>
        <w:tc>
          <w:tcPr>
            <w:tcW w:type="dxa" w:w="2381"/>
          </w:tcPr>
          <w:p>
            <w:pPr>
              <w:spacing w:after="0" w:before="0" w:line="240" w:lineRule="auto"/>
            </w:pPr>
            <w:r>
              <w:rPr>
                <w:sz w:val="14"/>
              </w:rPr>
            </w:r>
            <w:r>
              <w:rPr>
                <w:rFonts w:ascii="Times New Roman" w:hAnsi="Times New Roman" w:eastAsia="Times New Roman"/>
                <w:sz w:val="14"/>
              </w:rPr>
              <w:t>Smart-contract testing</w:t>
            </w:r>
          </w:p>
        </w:tc>
        <w:tc>
          <w:tcPr>
            <w:tcW w:type="dxa" w:w="3515"/>
          </w:tcPr>
          <w:p>
            <w:pPr>
              <w:spacing w:after="0" w:before="0" w:line="240" w:lineRule="auto"/>
            </w:pPr>
            <w:r>
              <w:rPr>
                <w:sz w:val="14"/>
              </w:rPr>
            </w:r>
            <w:r>
              <w:rPr>
                <w:rFonts w:ascii="Times New Roman" w:hAnsi="Times New Roman" w:eastAsia="Times New Roman"/>
                <w:sz w:val="14"/>
              </w:rPr>
              <w:t>49 Hardhat tests; 97.1% statement coverage</w:t>
            </w:r>
          </w:p>
        </w:tc>
        <w:tc>
          <w:tcPr>
            <w:tcW w:type="dxa" w:w="2268"/>
          </w:tcPr>
          <w:p>
            <w:pPr>
              <w:spacing w:after="0" w:before="0" w:line="240" w:lineRule="auto"/>
            </w:pPr>
            <w:r>
              <w:rPr>
                <w:sz w:val="14"/>
              </w:rPr>
            </w:r>
            <w:r>
              <w:rPr>
                <w:rFonts w:ascii="Times New Roman" w:hAnsi="Times New Roman" w:eastAsia="Times New Roman"/>
                <w:sz w:val="14"/>
              </w:rPr>
              <w:t>Section 9.1</w:t>
            </w:r>
          </w:p>
        </w:tc>
      </w:tr>
      <w:tr>
        <w:tc>
          <w:tcPr>
            <w:tcW w:type="dxa" w:w="624"/>
          </w:tcPr>
          <w:p>
            <w:pPr>
              <w:spacing w:after="0" w:before="0" w:line="240" w:lineRule="auto"/>
            </w:pPr>
            <w:r>
              <w:rPr>
                <w:sz w:val="14"/>
              </w:rPr>
            </w:r>
            <w:r>
              <w:rPr>
                <w:rFonts w:ascii="Times New Roman" w:hAnsi="Times New Roman" w:eastAsia="Times New Roman"/>
                <w:sz w:val="14"/>
              </w:rPr>
              <w:t>FR-11</w:t>
            </w:r>
          </w:p>
        </w:tc>
        <w:tc>
          <w:tcPr>
            <w:tcW w:type="dxa" w:w="2381"/>
          </w:tcPr>
          <w:p>
            <w:pPr>
              <w:spacing w:after="0" w:before="0" w:line="240" w:lineRule="auto"/>
            </w:pPr>
            <w:r>
              <w:rPr>
                <w:sz w:val="14"/>
              </w:rPr>
            </w:r>
            <w:r>
              <w:rPr>
                <w:rFonts w:ascii="Times New Roman" w:hAnsi="Times New Roman" w:eastAsia="Times New Roman"/>
                <w:sz w:val="14"/>
              </w:rPr>
              <w:t>Public cloud deployment</w:t>
            </w:r>
          </w:p>
        </w:tc>
        <w:tc>
          <w:tcPr>
            <w:tcW w:type="dxa" w:w="3515"/>
          </w:tcPr>
          <w:p>
            <w:pPr>
              <w:spacing w:after="0" w:before="0" w:line="240" w:lineRule="auto"/>
            </w:pPr>
            <w:r>
              <w:rPr>
                <w:sz w:val="14"/>
              </w:rPr>
            </w:r>
            <w:r>
              <w:rPr>
                <w:rFonts w:ascii="Times New Roman" w:hAnsi="Times New Roman" w:eastAsia="Times New Roman"/>
                <w:sz w:val="14"/>
              </w:rPr>
              <w:t>Docker and a Render blueprint (API, static site, PostgreSQL); GitHub Actions CI</w:t>
            </w:r>
          </w:p>
        </w:tc>
        <w:tc>
          <w:tcPr>
            <w:tcW w:type="dxa" w:w="2268"/>
          </w:tcPr>
          <w:p>
            <w:pPr>
              <w:spacing w:after="0" w:before="0" w:line="240" w:lineRule="auto"/>
            </w:pPr>
            <w:r>
              <w:rPr>
                <w:sz w:val="14"/>
              </w:rPr>
            </w:r>
            <w:r>
              <w:rPr>
                <w:rFonts w:ascii="Times New Roman" w:hAnsi="Times New Roman" w:eastAsia="Times New Roman"/>
                <w:sz w:val="14"/>
              </w:rPr>
              <w:t>Section 10; live URLs</w:t>
            </w:r>
          </w:p>
        </w:tc>
      </w:tr>
    </w:tbl>
    <w:p>
      <w:pPr>
        <w:spacing w:after="0" w:before="0"/>
      </w:pPr>
    </w:p>
    <w:p>
      <w:pPr>
        <w:pStyle w:val="Heading2"/>
      </w:pPr>
      <w:r>
        <w:t>2.3 Non-functional requirements</w:t>
      </w:r>
    </w:p>
    <w:p>
      <w:pPr>
        <w:keepNext/>
        <w:spacing w:after="40" w:before="80"/>
      </w:pPr>
      <w:r>
        <w:rPr>
          <w:b/>
          <w:color w:val="1F4E79"/>
          <w:sz w:val="16"/>
        </w:rPr>
        <w:t>Table 5. Non-functional requirements.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742"/>
            <w:shd w:val="clear" w:color="auto" w:fill="1F4E79"/>
          </w:tcPr>
          <w:p>
            <w:pPr>
              <w:spacing w:after="0" w:line="240" w:lineRule="auto"/>
            </w:pPr>
            <w:r/>
            <w:r>
              <w:rPr>
                <w:b/>
                <w:color w:val="FFFFFF"/>
                <w:sz w:val="14"/>
                <w:rFonts w:ascii="Times New Roman" w:hAnsi="Times New Roman" w:eastAsia="Times New Roman"/>
              </w:rPr>
              <w:t>ID</w:t>
            </w:r>
          </w:p>
        </w:tc>
        <w:tc>
          <w:tcPr>
            <w:tcW w:type="dxa" w:w="2340"/>
            <w:shd w:val="clear" w:color="auto" w:fill="1F4E79"/>
          </w:tcPr>
          <w:p>
            <w:pPr>
              <w:spacing w:after="0" w:line="240" w:lineRule="auto"/>
            </w:pPr>
            <w:r/>
            <w:r>
              <w:rPr>
                <w:b/>
                <w:color w:val="FFFFFF"/>
                <w:sz w:val="14"/>
                <w:rFonts w:ascii="Times New Roman" w:hAnsi="Times New Roman" w:eastAsia="Times New Roman"/>
              </w:rPr>
              <w:t>Requirement</w:t>
            </w:r>
          </w:p>
        </w:tc>
        <w:tc>
          <w:tcPr>
            <w:tcW w:type="dxa" w:w="2910"/>
            <w:shd w:val="clear" w:color="auto" w:fill="1F4E79"/>
          </w:tcPr>
          <w:p>
            <w:pPr>
              <w:spacing w:after="0" w:line="240" w:lineRule="auto"/>
            </w:pPr>
            <w:r/>
            <w:r>
              <w:rPr>
                <w:b/>
                <w:color w:val="FFFFFF"/>
                <w:sz w:val="14"/>
                <w:rFonts w:ascii="Times New Roman" w:hAnsi="Times New Roman" w:eastAsia="Times New Roman"/>
              </w:rPr>
              <w:t>Target</w:t>
            </w:r>
          </w:p>
        </w:tc>
        <w:tc>
          <w:tcPr>
            <w:tcW w:type="dxa" w:w="2796"/>
            <w:shd w:val="clear" w:color="auto" w:fill="1F4E79"/>
          </w:tcPr>
          <w:p>
            <w:pPr>
              <w:spacing w:after="0" w:line="240" w:lineRule="auto"/>
            </w:pPr>
            <w:r/>
            <w:r>
              <w:rPr>
                <w:b/>
                <w:color w:val="FFFFFF"/>
                <w:sz w:val="14"/>
                <w:rFonts w:ascii="Times New Roman" w:hAnsi="Times New Roman" w:eastAsia="Times New Roman"/>
              </w:rPr>
              <w:t>Measured or status</w:t>
            </w:r>
          </w:p>
        </w:tc>
      </w:tr>
      <w:tr>
        <w:tc>
          <w:tcPr>
            <w:tcW w:type="dxa" w:w="742"/>
          </w:tcPr>
          <w:p>
            <w:pPr>
              <w:spacing w:after="0" w:before="0" w:line="240" w:lineRule="auto"/>
            </w:pPr>
            <w:r>
              <w:rPr>
                <w:sz w:val="14"/>
              </w:rPr>
            </w:r>
            <w:r>
              <w:rPr>
                <w:rFonts w:ascii="Times New Roman" w:hAnsi="Times New Roman" w:eastAsia="Times New Roman"/>
                <w:sz w:val="14"/>
              </w:rPr>
              <w:t>NFR-01</w:t>
            </w:r>
          </w:p>
        </w:tc>
        <w:tc>
          <w:tcPr>
            <w:tcW w:type="dxa" w:w="2340"/>
          </w:tcPr>
          <w:p>
            <w:pPr>
              <w:spacing w:after="0" w:before="0" w:line="240" w:lineRule="auto"/>
            </w:pPr>
            <w:r>
              <w:rPr>
                <w:sz w:val="14"/>
              </w:rPr>
            </w:r>
            <w:r>
              <w:rPr>
                <w:rFonts w:ascii="Times New Roman" w:hAnsi="Times New Roman" w:eastAsia="Times New Roman"/>
                <w:sz w:val="14"/>
              </w:rPr>
              <w:t>Availability of the public demo</w:t>
            </w:r>
          </w:p>
        </w:tc>
        <w:tc>
          <w:tcPr>
            <w:tcW w:type="dxa" w:w="2910"/>
          </w:tcPr>
          <w:p>
            <w:pPr>
              <w:spacing w:after="0" w:before="0" w:line="240" w:lineRule="auto"/>
            </w:pPr>
            <w:r>
              <w:rPr>
                <w:sz w:val="14"/>
              </w:rPr>
            </w:r>
            <w:r>
              <w:rPr>
                <w:rFonts w:ascii="Times New Roman" w:hAnsi="Times New Roman" w:eastAsia="Times New Roman"/>
                <w:sz w:val="14"/>
              </w:rPr>
              <w:t>Reachable with no local install</w:t>
            </w:r>
          </w:p>
        </w:tc>
        <w:tc>
          <w:tcPr>
            <w:tcW w:type="dxa" w:w="2796"/>
          </w:tcPr>
          <w:p>
            <w:pPr>
              <w:spacing w:after="0" w:before="0" w:line="240" w:lineRule="auto"/>
            </w:pPr>
            <w:r>
              <w:rPr>
                <w:sz w:val="14"/>
              </w:rPr>
            </w:r>
            <w:r>
              <w:rPr>
                <w:rFonts w:ascii="Times New Roman" w:hAnsi="Times New Roman" w:eastAsia="Times New Roman"/>
                <w:sz w:val="14"/>
              </w:rPr>
              <w:t>Live; the free tier sleeps after about 15 minutes and the first request takes 60 to 90 seconds</w:t>
            </w:r>
          </w:p>
        </w:tc>
      </w:tr>
      <w:tr>
        <w:tc>
          <w:tcPr>
            <w:tcW w:type="dxa" w:w="742"/>
          </w:tcPr>
          <w:p>
            <w:pPr>
              <w:spacing w:after="0" w:before="0" w:line="240" w:lineRule="auto"/>
            </w:pPr>
            <w:r>
              <w:rPr>
                <w:sz w:val="14"/>
              </w:rPr>
            </w:r>
            <w:r>
              <w:rPr>
                <w:rFonts w:ascii="Times New Roman" w:hAnsi="Times New Roman" w:eastAsia="Times New Roman"/>
                <w:sz w:val="14"/>
              </w:rPr>
              <w:t>NFR-02</w:t>
            </w:r>
          </w:p>
        </w:tc>
        <w:tc>
          <w:tcPr>
            <w:tcW w:type="dxa" w:w="2340"/>
          </w:tcPr>
          <w:p>
            <w:pPr>
              <w:spacing w:after="0" w:before="0" w:line="240" w:lineRule="auto"/>
            </w:pPr>
            <w:r>
              <w:rPr>
                <w:sz w:val="14"/>
              </w:rPr>
            </w:r>
            <w:r>
              <w:rPr>
                <w:rFonts w:ascii="Times New Roman" w:hAnsi="Times New Roman" w:eastAsia="Times New Roman"/>
                <w:sz w:val="14"/>
              </w:rPr>
              <w:t>Event visibility latency</w:t>
            </w:r>
          </w:p>
        </w:tc>
        <w:tc>
          <w:tcPr>
            <w:tcW w:type="dxa" w:w="2910"/>
          </w:tcPr>
          <w:p>
            <w:pPr>
              <w:spacing w:after="0" w:before="0" w:line="240" w:lineRule="auto"/>
            </w:pPr>
            <w:r>
              <w:rPr>
                <w:sz w:val="14"/>
              </w:rPr>
            </w:r>
            <w:r>
              <w:rPr>
                <w:rFonts w:ascii="Times New Roman" w:hAnsi="Times New Roman" w:eastAsia="Times New Roman"/>
                <w:sz w:val="14"/>
              </w:rPr>
              <w:t>New on-chain events appear within seconds</w:t>
            </w:r>
          </w:p>
        </w:tc>
        <w:tc>
          <w:tcPr>
            <w:tcW w:type="dxa" w:w="2796"/>
          </w:tcPr>
          <w:p>
            <w:pPr>
              <w:spacing w:after="0" w:before="0" w:line="240" w:lineRule="auto"/>
            </w:pPr>
            <w:r>
              <w:rPr>
                <w:sz w:val="14"/>
              </w:rPr>
            </w:r>
            <w:r>
              <w:rPr>
                <w:rFonts w:ascii="Times New Roman" w:hAnsi="Times New Roman" w:eastAsia="Times New Roman"/>
                <w:sz w:val="14"/>
              </w:rPr>
              <w:t>Indexer polls every 4 s; observed lag of 2 blocks in production health output</w:t>
            </w:r>
          </w:p>
        </w:tc>
      </w:tr>
      <w:tr>
        <w:tc>
          <w:tcPr>
            <w:tcW w:type="dxa" w:w="742"/>
          </w:tcPr>
          <w:p>
            <w:pPr>
              <w:spacing w:after="0" w:before="0" w:line="240" w:lineRule="auto"/>
            </w:pPr>
            <w:r>
              <w:rPr>
                <w:sz w:val="14"/>
              </w:rPr>
            </w:r>
            <w:r>
              <w:rPr>
                <w:rFonts w:ascii="Times New Roman" w:hAnsi="Times New Roman" w:eastAsia="Times New Roman"/>
                <w:sz w:val="14"/>
              </w:rPr>
              <w:t>NFR-03</w:t>
            </w:r>
          </w:p>
        </w:tc>
        <w:tc>
          <w:tcPr>
            <w:tcW w:type="dxa" w:w="2340"/>
          </w:tcPr>
          <w:p>
            <w:pPr>
              <w:spacing w:after="0" w:before="0" w:line="240" w:lineRule="auto"/>
            </w:pPr>
            <w:r>
              <w:rPr>
                <w:sz w:val="14"/>
              </w:rPr>
            </w:r>
            <w:r>
              <w:rPr>
                <w:rFonts w:ascii="Times New Roman" w:hAnsi="Times New Roman" w:eastAsia="Times New Roman"/>
                <w:sz w:val="14"/>
              </w:rPr>
              <w:t>Confidentiality of questionnaire data</w:t>
            </w:r>
          </w:p>
        </w:tc>
        <w:tc>
          <w:tcPr>
            <w:tcW w:type="dxa" w:w="2910"/>
          </w:tcPr>
          <w:p>
            <w:pPr>
              <w:spacing w:after="0" w:before="0" w:line="240" w:lineRule="auto"/>
            </w:pPr>
            <w:r>
              <w:rPr>
                <w:sz w:val="14"/>
              </w:rPr>
            </w:r>
            <w:r>
              <w:rPr>
                <w:rFonts w:ascii="Times New Roman" w:hAnsi="Times New Roman" w:eastAsia="Times New Roman"/>
                <w:sz w:val="14"/>
              </w:rPr>
              <w:t>Raw answers never on-chain</w:t>
            </w:r>
          </w:p>
        </w:tc>
        <w:tc>
          <w:tcPr>
            <w:tcW w:type="dxa" w:w="2796"/>
          </w:tcPr>
          <w:p>
            <w:pPr>
              <w:spacing w:after="0" w:before="0" w:line="240" w:lineRule="auto"/>
            </w:pPr>
            <w:r>
              <w:rPr>
                <w:sz w:val="14"/>
              </w:rPr>
            </w:r>
            <w:r>
              <w:rPr>
                <w:rFonts w:ascii="Times New Roman" w:hAnsi="Times New Roman" w:eastAsia="Times New Roman"/>
                <w:sz w:val="14"/>
              </w:rPr>
              <w:t>Only score, expiry and model hash are stored on-chain</w:t>
            </w:r>
          </w:p>
        </w:tc>
      </w:tr>
      <w:tr>
        <w:tc>
          <w:tcPr>
            <w:tcW w:type="dxa" w:w="742"/>
          </w:tcPr>
          <w:p>
            <w:pPr>
              <w:spacing w:after="0" w:before="0" w:line="240" w:lineRule="auto"/>
            </w:pPr>
            <w:r>
              <w:rPr>
                <w:sz w:val="14"/>
              </w:rPr>
            </w:r>
            <w:r>
              <w:rPr>
                <w:rFonts w:ascii="Times New Roman" w:hAnsi="Times New Roman" w:eastAsia="Times New Roman"/>
                <w:sz w:val="14"/>
              </w:rPr>
              <w:t>NFR-04</w:t>
            </w:r>
          </w:p>
        </w:tc>
        <w:tc>
          <w:tcPr>
            <w:tcW w:type="dxa" w:w="2340"/>
          </w:tcPr>
          <w:p>
            <w:pPr>
              <w:spacing w:after="0" w:before="0" w:line="240" w:lineRule="auto"/>
            </w:pPr>
            <w:r>
              <w:rPr>
                <w:sz w:val="14"/>
              </w:rPr>
            </w:r>
            <w:r>
              <w:rPr>
                <w:rFonts w:ascii="Times New Roman" w:hAnsi="Times New Roman" w:eastAsia="Times New Roman"/>
                <w:sz w:val="14"/>
              </w:rPr>
              <w:t>Auditability</w:t>
            </w:r>
          </w:p>
        </w:tc>
        <w:tc>
          <w:tcPr>
            <w:tcW w:type="dxa" w:w="2910"/>
          </w:tcPr>
          <w:p>
            <w:pPr>
              <w:spacing w:after="0" w:before="0" w:line="240" w:lineRule="auto"/>
            </w:pPr>
            <w:r>
              <w:rPr>
                <w:sz w:val="14"/>
              </w:rPr>
            </w:r>
            <w:r>
              <w:rPr>
                <w:rFonts w:ascii="Times New Roman" w:hAnsi="Times New Roman" w:eastAsia="Times New Roman"/>
                <w:sz w:val="14"/>
              </w:rPr>
              <w:t>Every state change traceable to a transaction</w:t>
            </w:r>
          </w:p>
        </w:tc>
        <w:tc>
          <w:tcPr>
            <w:tcW w:type="dxa" w:w="2796"/>
          </w:tcPr>
          <w:p>
            <w:pPr>
              <w:spacing w:after="0" w:before="0" w:line="240" w:lineRule="auto"/>
            </w:pPr>
            <w:r>
              <w:rPr>
                <w:sz w:val="14"/>
              </w:rPr>
            </w:r>
            <w:r>
              <w:rPr>
                <w:rFonts w:ascii="Times New Roman" w:hAnsi="Times New Roman" w:eastAsia="Times New Roman"/>
                <w:sz w:val="14"/>
              </w:rPr>
              <w:t>Every state change emits an event carrying a transaction hash</w:t>
            </w:r>
          </w:p>
        </w:tc>
      </w:tr>
      <w:tr>
        <w:tc>
          <w:tcPr>
            <w:tcW w:type="dxa" w:w="742"/>
          </w:tcPr>
          <w:p>
            <w:pPr>
              <w:spacing w:after="0" w:before="0" w:line="240" w:lineRule="auto"/>
            </w:pPr>
            <w:r>
              <w:rPr>
                <w:sz w:val="14"/>
              </w:rPr>
            </w:r>
            <w:r>
              <w:rPr>
                <w:rFonts w:ascii="Times New Roman" w:hAnsi="Times New Roman" w:eastAsia="Times New Roman"/>
                <w:sz w:val="14"/>
              </w:rPr>
              <w:t>NFR-05</w:t>
            </w:r>
          </w:p>
        </w:tc>
        <w:tc>
          <w:tcPr>
            <w:tcW w:type="dxa" w:w="2340"/>
          </w:tcPr>
          <w:p>
            <w:pPr>
              <w:spacing w:after="0" w:before="0" w:line="240" w:lineRule="auto"/>
            </w:pPr>
            <w:r>
              <w:rPr>
                <w:sz w:val="14"/>
              </w:rPr>
            </w:r>
            <w:r>
              <w:rPr>
                <w:rFonts w:ascii="Times New Roman" w:hAnsi="Times New Roman" w:eastAsia="Times New Roman"/>
                <w:sz w:val="14"/>
              </w:rPr>
              <w:t>Cost per operation</w:t>
            </w:r>
          </w:p>
        </w:tc>
        <w:tc>
          <w:tcPr>
            <w:tcW w:type="dxa" w:w="2910"/>
          </w:tcPr>
          <w:p>
            <w:pPr>
              <w:spacing w:after="0" w:before="0" w:line="240" w:lineRule="auto"/>
            </w:pPr>
            <w:r>
              <w:rPr>
                <w:sz w:val="14"/>
              </w:rPr>
            </w:r>
            <w:r>
              <w:rPr>
                <w:rFonts w:ascii="Times New Roman" w:hAnsi="Times New Roman" w:eastAsia="Times New Roman"/>
                <w:sz w:val="14"/>
              </w:rPr>
              <w:t>Affordable at micro-loan scale</w:t>
            </w:r>
          </w:p>
        </w:tc>
        <w:tc>
          <w:tcPr>
            <w:tcW w:type="dxa" w:w="2796"/>
          </w:tcPr>
          <w:p>
            <w:pPr>
              <w:spacing w:after="0" w:before="0" w:line="240" w:lineRule="auto"/>
            </w:pPr>
            <w:r>
              <w:rPr>
                <w:sz w:val="14"/>
              </w:rPr>
            </w:r>
            <w:r>
              <w:rPr>
                <w:rFonts w:ascii="Times New Roman" w:hAnsi="Times New Roman" w:eastAsia="Times New Roman"/>
                <w:sz w:val="14"/>
              </w:rPr>
              <w:t>Table 16; roughly 0.10 to 0.24 million gas per operation</w:t>
            </w:r>
          </w:p>
        </w:tc>
      </w:tr>
      <w:tr>
        <w:tc>
          <w:tcPr>
            <w:tcW w:type="dxa" w:w="742"/>
          </w:tcPr>
          <w:p>
            <w:pPr>
              <w:spacing w:after="0" w:before="0" w:line="240" w:lineRule="auto"/>
            </w:pPr>
            <w:r>
              <w:rPr>
                <w:sz w:val="14"/>
              </w:rPr>
            </w:r>
            <w:r>
              <w:rPr>
                <w:rFonts w:ascii="Times New Roman" w:hAnsi="Times New Roman" w:eastAsia="Times New Roman"/>
                <w:sz w:val="14"/>
              </w:rPr>
              <w:t>NFR-06</w:t>
            </w:r>
          </w:p>
        </w:tc>
        <w:tc>
          <w:tcPr>
            <w:tcW w:type="dxa" w:w="2340"/>
          </w:tcPr>
          <w:p>
            <w:pPr>
              <w:spacing w:after="0" w:before="0" w:line="240" w:lineRule="auto"/>
            </w:pPr>
            <w:r>
              <w:rPr>
                <w:sz w:val="14"/>
              </w:rPr>
            </w:r>
            <w:r>
              <w:rPr>
                <w:rFonts w:ascii="Times New Roman" w:hAnsi="Times New Roman" w:eastAsia="Times New Roman"/>
                <w:sz w:val="14"/>
              </w:rPr>
              <w:t>Safety of lender funds</w:t>
            </w:r>
          </w:p>
        </w:tc>
        <w:tc>
          <w:tcPr>
            <w:tcW w:type="dxa" w:w="2910"/>
          </w:tcPr>
          <w:p>
            <w:pPr>
              <w:spacing w:after="0" w:before="0" w:line="240" w:lineRule="auto"/>
            </w:pPr>
            <w:r>
              <w:rPr>
                <w:sz w:val="14"/>
              </w:rPr>
            </w:r>
            <w:r>
              <w:rPr>
                <w:rFonts w:ascii="Times New Roman" w:hAnsi="Times New Roman" w:eastAsia="Times New Roman"/>
                <w:sz w:val="14"/>
              </w:rPr>
              <w:t>Losses bounded and ordered</w:t>
            </w:r>
          </w:p>
        </w:tc>
        <w:tc>
          <w:tcPr>
            <w:tcW w:type="dxa" w:w="2796"/>
          </w:tcPr>
          <w:p>
            <w:pPr>
              <w:spacing w:after="0" w:before="0" w:line="240" w:lineRule="auto"/>
            </w:pPr>
            <w:r>
              <w:rPr>
                <w:sz w:val="14"/>
              </w:rPr>
            </w:r>
            <w:r>
              <w:rPr>
                <w:rFonts w:ascii="Times New Roman" w:hAnsi="Times New Roman" w:eastAsia="Times New Roman"/>
                <w:sz w:val="14"/>
              </w:rPr>
              <w:t>Collateral, then reserve, then lenders; enforced in markDefault</w:t>
            </w:r>
          </w:p>
        </w:tc>
      </w:tr>
      <w:tr>
        <w:tc>
          <w:tcPr>
            <w:tcW w:type="dxa" w:w="742"/>
          </w:tcPr>
          <w:p>
            <w:pPr>
              <w:spacing w:after="0" w:before="0" w:line="240" w:lineRule="auto"/>
            </w:pPr>
            <w:r>
              <w:rPr>
                <w:sz w:val="14"/>
              </w:rPr>
            </w:r>
            <w:r>
              <w:rPr>
                <w:rFonts w:ascii="Times New Roman" w:hAnsi="Times New Roman" w:eastAsia="Times New Roman"/>
                <w:sz w:val="14"/>
              </w:rPr>
              <w:t>NFR-07</w:t>
            </w:r>
          </w:p>
        </w:tc>
        <w:tc>
          <w:tcPr>
            <w:tcW w:type="dxa" w:w="2340"/>
          </w:tcPr>
          <w:p>
            <w:pPr>
              <w:spacing w:after="0" w:before="0" w:line="240" w:lineRule="auto"/>
            </w:pPr>
            <w:r>
              <w:rPr>
                <w:sz w:val="14"/>
              </w:rPr>
            </w:r>
            <w:r>
              <w:rPr>
                <w:rFonts w:ascii="Times New Roman" w:hAnsi="Times New Roman" w:eastAsia="Times New Roman"/>
                <w:sz w:val="14"/>
              </w:rPr>
              <w:t>Deployability</w:t>
            </w:r>
          </w:p>
        </w:tc>
        <w:tc>
          <w:tcPr>
            <w:tcW w:type="dxa" w:w="2910"/>
          </w:tcPr>
          <w:p>
            <w:pPr>
              <w:spacing w:after="0" w:before="0" w:line="240" w:lineRule="auto"/>
            </w:pPr>
            <w:r>
              <w:rPr>
                <w:sz w:val="14"/>
              </w:rPr>
            </w:r>
            <w:r>
              <w:rPr>
                <w:rFonts w:ascii="Times New Roman" w:hAnsi="Times New Roman" w:eastAsia="Times New Roman"/>
                <w:sz w:val="14"/>
              </w:rPr>
              <w:t>Reproducible cloud deployment</w:t>
            </w:r>
          </w:p>
        </w:tc>
        <w:tc>
          <w:tcPr>
            <w:tcW w:type="dxa" w:w="2796"/>
          </w:tcPr>
          <w:p>
            <w:pPr>
              <w:spacing w:after="0" w:before="0" w:line="240" w:lineRule="auto"/>
            </w:pPr>
            <w:r>
              <w:rPr>
                <w:sz w:val="14"/>
              </w:rPr>
            </w:r>
            <w:r>
              <w:rPr>
                <w:rFonts w:ascii="Times New Roman" w:hAnsi="Times New Roman" w:eastAsia="Times New Roman"/>
                <w:sz w:val="14"/>
              </w:rPr>
              <w:t>Render blueprint, Docker image and CI workflow</w:t>
            </w:r>
          </w:p>
        </w:tc>
      </w:tr>
    </w:tbl>
    <w:p>
      <w:pPr>
        <w:spacing w:after="0" w:before="0"/>
      </w:pPr>
    </w:p>
    <w:p>
      <w:pPr>
        <w:pStyle w:val="Heading1"/>
      </w:pPr>
      <w:r>
        <w:t>3. System architecture</w:t>
      </w:r>
    </w:p>
    <w:p>
      <w:r>
        <w:rPr>
          <w:rFonts w:ascii="Times New Roman" w:hAnsi="Times New Roman" w:eastAsia="Times New Roman"/>
        </w:rPr>
        <w:t>MicroLend is a three-tier hybrid: a browser client that holds the user's keys, a cloud tier that runs the off-chain services, and the Sepolia chain that holds money, permissions and the record of truth. The three design rules below are what keep the boundary honest.</w:t>
      </w:r>
    </w:p>
    <w:p>
      <w:pPr>
        <w:keepNext/>
        <w:spacing w:before="60" w:after="20"/>
        <w:jc w:val="center"/>
      </w:pPr>
      <w:r>
        <w:drawing>
          <wp:inline xmlns:a="http://schemas.openxmlformats.org/drawingml/2006/main" xmlns:pic="http://schemas.openxmlformats.org/drawingml/2006/picture">
            <wp:extent cx="5256000" cy="3003429"/>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256000" cy="3003429"/>
                    </a:xfrm>
                    <a:prstGeom prst="rect"/>
                  </pic:spPr>
                </pic:pic>
              </a:graphicData>
            </a:graphic>
          </wp:inline>
        </w:drawing>
      </w:r>
    </w:p>
    <w:p>
      <w:pPr>
        <w:keepLines/>
        <w:spacing w:after="120" w:line="240" w:lineRule="auto"/>
        <w:jc w:val="center"/>
      </w:pPr>
      <w:r>
        <w:rPr>
          <w:i/>
          <w:color w:val="595959"/>
          <w:sz w:val="15"/>
        </w:rPr>
        <w:t>Figure 1. System architecture. The cloud tier never holds user funds and cannot move them; its only on-chain authority is signing score attestations with a revocable SCORER key.</w:t>
      </w:r>
    </w:p>
    <w:p>
      <w:pPr>
        <w:pStyle w:val="ListBullet"/>
        <w:spacing w:after="40"/>
      </w:pPr>
      <w:r>
        <w:rPr>
          <w:b/>
          <w:rFonts w:ascii="Times New Roman" w:hAnsi="Times New Roman" w:eastAsia="Times New Roman"/>
        </w:rPr>
        <w:t>Money and permissions live on-chain.</w:t>
      </w:r>
      <w:r>
        <w:rPr>
          <w:rFonts w:ascii="Times New Roman" w:hAnsi="Times New Roman" w:eastAsia="Times New Roman"/>
        </w:rPr>
        <w:t xml:space="preserve"> The API never custodies funds. Its single privileged capability is signing credit-score attestations with a key that holds SCORER_ROLE, and the admin can revoke that role at any time.</w:t>
      </w:r>
    </w:p>
    <w:p>
      <w:pPr>
        <w:pStyle w:val="ListBullet"/>
        <w:spacing w:after="40"/>
      </w:pPr>
      <w:r>
        <w:rPr>
          <w:b/>
          <w:rFonts w:ascii="Times New Roman" w:hAnsi="Times New Roman" w:eastAsia="Times New Roman"/>
        </w:rPr>
        <w:t>The database is a read model.</w:t>
      </w:r>
      <w:r>
        <w:rPr>
          <w:rFonts w:ascii="Times New Roman" w:hAnsi="Times New Roman" w:eastAsia="Times New Roman"/>
        </w:rPr>
        <w:t xml:space="preserve"> Rows in the events, loans and pool snapshots tables are rebuilt from the chain by the indexer. Only genuinely off-chain data (profiles, score requests and sign-in nonces) is authoritative in the database.</w:t>
      </w:r>
    </w:p>
    <w:p>
      <w:pPr>
        <w:pStyle w:val="ListBullet"/>
        <w:spacing w:after="40"/>
      </w:pPr>
      <w:r>
        <w:rPr>
          <w:b/>
          <w:rFonts w:ascii="Times New Roman" w:hAnsi="Times New Roman" w:eastAsia="Times New Roman"/>
        </w:rPr>
        <w:t>Roles come from the chain.</w:t>
      </w:r>
      <w:r>
        <w:rPr>
          <w:rFonts w:ascii="Times New Roman" w:hAnsi="Times New Roman" w:eastAsia="Times New Roman"/>
        </w:rPr>
        <w:t xml:space="preserve"> Admin, officer and auditor are read from LoanManager at sign-in and re-checked every 30 seconds, so revoking a role takes effect almost immediately even while a valid token is still in the browser.</w:t>
      </w:r>
    </w:p>
    <w:p>
      <w:pPr>
        <w:pStyle w:val="Heading2"/>
      </w:pPr>
      <w:r>
        <w:t>3.1 Component technologies</w:t>
      </w:r>
    </w:p>
    <w:p>
      <w:pPr>
        <w:keepNext/>
        <w:spacing w:after="40" w:before="80"/>
      </w:pPr>
      <w:r>
        <w:rPr>
          <w:b/>
          <w:color w:val="1F4E79"/>
          <w:sz w:val="16"/>
        </w:rPr>
        <w:t>Table 6. Component technologies.</w:t>
      </w:r>
    </w:p>
    <w:tbl>
      <w:tblPr>
        <w:tblStyle w:val="TableGrid"/>
        <w:tblW w:type="auto" w:w="0"/>
        <w:jc w:val="center"/>
        <w:tblLook w:firstColumn="1" w:firstRow="1" w:lastColumn="0" w:lastRow="0" w:noHBand="0" w:noVBand="1" w:val="04A0"/>
      </w:tblPr>
      <w:tblGrid>
        <w:gridCol w:w="2929"/>
        <w:gridCol w:w="2929"/>
        <w:gridCol w:w="2929"/>
      </w:tblGrid>
      <w:tr>
        <w:tc>
          <w:tcPr>
            <w:tcW w:type="dxa" w:w="1361"/>
            <w:shd w:val="clear" w:color="auto" w:fill="1F4E79"/>
          </w:tcPr>
          <w:p>
            <w:pPr>
              <w:spacing w:after="0" w:line="240" w:lineRule="auto"/>
            </w:pPr>
            <w:r/>
            <w:r>
              <w:rPr>
                <w:b/>
                <w:color w:val="FFFFFF"/>
                <w:sz w:val="14"/>
                <w:rFonts w:ascii="Times New Roman" w:hAnsi="Times New Roman" w:eastAsia="Times New Roman"/>
              </w:rPr>
              <w:t>Layer</w:t>
            </w:r>
          </w:p>
        </w:tc>
        <w:tc>
          <w:tcPr>
            <w:tcW w:type="dxa" w:w="3628"/>
            <w:shd w:val="clear" w:color="auto" w:fill="1F4E79"/>
          </w:tcPr>
          <w:p>
            <w:pPr>
              <w:spacing w:after="0" w:line="240" w:lineRule="auto"/>
            </w:pPr>
            <w:r/>
            <w:r>
              <w:rPr>
                <w:b/>
                <w:color w:val="FFFFFF"/>
                <w:sz w:val="14"/>
                <w:rFonts w:ascii="Times New Roman" w:hAnsi="Times New Roman" w:eastAsia="Times New Roman"/>
              </w:rPr>
              <w:t>Technology</w:t>
            </w:r>
          </w:p>
        </w:tc>
        <w:tc>
          <w:tcPr>
            <w:tcW w:type="dxa" w:w="3798"/>
            <w:shd w:val="clear" w:color="auto" w:fill="1F4E79"/>
          </w:tcPr>
          <w:p>
            <w:pPr>
              <w:spacing w:after="0" w:line="240" w:lineRule="auto"/>
            </w:pPr>
            <w:r/>
            <w:r>
              <w:rPr>
                <w:b/>
                <w:color w:val="FFFFFF"/>
                <w:sz w:val="14"/>
                <w:rFonts w:ascii="Times New Roman" w:hAnsi="Times New Roman" w:eastAsia="Times New Roman"/>
              </w:rPr>
              <w:t>Responsibility</w:t>
            </w:r>
          </w:p>
        </w:tc>
      </w:tr>
      <w:tr>
        <w:tc>
          <w:tcPr>
            <w:tcW w:type="dxa" w:w="1361"/>
          </w:tcPr>
          <w:p>
            <w:pPr>
              <w:spacing w:after="0" w:before="0" w:line="240" w:lineRule="auto"/>
            </w:pPr>
            <w:r>
              <w:rPr>
                <w:sz w:val="14"/>
              </w:rPr>
            </w:r>
            <w:r>
              <w:rPr>
                <w:rFonts w:ascii="Times New Roman" w:hAnsi="Times New Roman" w:eastAsia="Times New Roman"/>
                <w:sz w:val="14"/>
              </w:rPr>
              <w:t>Smart contracts</w:t>
            </w:r>
          </w:p>
        </w:tc>
        <w:tc>
          <w:tcPr>
            <w:tcW w:type="dxa" w:w="3628"/>
          </w:tcPr>
          <w:p>
            <w:pPr>
              <w:spacing w:after="0" w:before="0" w:line="240" w:lineRule="auto"/>
            </w:pPr>
            <w:r>
              <w:rPr>
                <w:sz w:val="14"/>
              </w:rPr>
            </w:r>
            <w:r>
              <w:rPr>
                <w:rFonts w:ascii="Times New Roman" w:hAnsi="Times New Roman" w:eastAsia="Times New Roman"/>
                <w:sz w:val="14"/>
              </w:rPr>
              <w:t>Solidity 0.8.24, OpenZeppelin 5, Hardhat, optimiser 200 runs with viaIR</w:t>
            </w:r>
          </w:p>
        </w:tc>
        <w:tc>
          <w:tcPr>
            <w:tcW w:type="dxa" w:w="3798"/>
          </w:tcPr>
          <w:p>
            <w:pPr>
              <w:spacing w:after="0" w:before="0" w:line="240" w:lineRule="auto"/>
            </w:pPr>
            <w:r>
              <w:rPr>
                <w:sz w:val="14"/>
              </w:rPr>
            </w:r>
            <w:r>
              <w:rPr>
                <w:rFonts w:ascii="Times New Roman" w:hAnsi="Times New Roman" w:eastAsia="Times New Roman"/>
                <w:sz w:val="14"/>
              </w:rPr>
              <w:t>Money, permissions, credit record and the loan state machine</w:t>
            </w:r>
          </w:p>
        </w:tc>
      </w:tr>
      <w:tr>
        <w:tc>
          <w:tcPr>
            <w:tcW w:type="dxa" w:w="1361"/>
          </w:tcPr>
          <w:p>
            <w:pPr>
              <w:spacing w:after="0" w:before="0" w:line="240" w:lineRule="auto"/>
            </w:pPr>
            <w:r>
              <w:rPr>
                <w:sz w:val="14"/>
              </w:rPr>
            </w:r>
            <w:r>
              <w:rPr>
                <w:rFonts w:ascii="Times New Roman" w:hAnsi="Times New Roman" w:eastAsia="Times New Roman"/>
                <w:sz w:val="14"/>
              </w:rPr>
              <w:t>Backend</w:t>
            </w:r>
          </w:p>
        </w:tc>
        <w:tc>
          <w:tcPr>
            <w:tcW w:type="dxa" w:w="3628"/>
          </w:tcPr>
          <w:p>
            <w:pPr>
              <w:spacing w:after="0" w:before="0" w:line="240" w:lineRule="auto"/>
            </w:pPr>
            <w:r>
              <w:rPr>
                <w:sz w:val="14"/>
              </w:rPr>
            </w:r>
            <w:r>
              <w:rPr>
                <w:rFonts w:ascii="Times New Roman" w:hAnsi="Times New Roman" w:eastAsia="Times New Roman"/>
                <w:sz w:val="14"/>
              </w:rPr>
              <w:t>Node 20, Express 4, knex 3, PostgreSQL 16 or SQLite, ethers v6, zod, JWT, helmet</w:t>
            </w:r>
          </w:p>
        </w:tc>
        <w:tc>
          <w:tcPr>
            <w:tcW w:type="dxa" w:w="3798"/>
          </w:tcPr>
          <w:p>
            <w:pPr>
              <w:spacing w:after="0" w:before="0" w:line="240" w:lineRule="auto"/>
            </w:pPr>
            <w:r>
              <w:rPr>
                <w:sz w:val="14"/>
              </w:rPr>
            </w:r>
            <w:r>
              <w:rPr>
                <w:rFonts w:ascii="Times New Roman" w:hAnsi="Times New Roman" w:eastAsia="Times New Roman"/>
                <w:sz w:val="14"/>
              </w:rPr>
              <w:t>REST API, wallet login, scoring, EIP-712 attestations and the event indexer</w:t>
            </w:r>
          </w:p>
        </w:tc>
      </w:tr>
      <w:tr>
        <w:tc>
          <w:tcPr>
            <w:tcW w:type="dxa" w:w="1361"/>
          </w:tcPr>
          <w:p>
            <w:pPr>
              <w:spacing w:after="0" w:before="0" w:line="240" w:lineRule="auto"/>
            </w:pPr>
            <w:r>
              <w:rPr>
                <w:sz w:val="14"/>
              </w:rPr>
            </w:r>
            <w:r>
              <w:rPr>
                <w:rFonts w:ascii="Times New Roman" w:hAnsi="Times New Roman" w:eastAsia="Times New Roman"/>
                <w:sz w:val="14"/>
              </w:rPr>
              <w:t>Frontend</w:t>
            </w:r>
          </w:p>
        </w:tc>
        <w:tc>
          <w:tcPr>
            <w:tcW w:type="dxa" w:w="3628"/>
          </w:tcPr>
          <w:p>
            <w:pPr>
              <w:spacing w:after="0" w:before="0" w:line="240" w:lineRule="auto"/>
            </w:pPr>
            <w:r>
              <w:rPr>
                <w:sz w:val="14"/>
              </w:rPr>
            </w:r>
            <w:r>
              <w:rPr>
                <w:rFonts w:ascii="Times New Roman" w:hAnsi="Times New Roman" w:eastAsia="Times New Roman"/>
                <w:sz w:val="14"/>
              </w:rPr>
              <w:t>React 18, Vite, ethers v6, Recharts, MetaMask</w:t>
            </w:r>
          </w:p>
        </w:tc>
        <w:tc>
          <w:tcPr>
            <w:tcW w:type="dxa" w:w="3798"/>
          </w:tcPr>
          <w:p>
            <w:pPr>
              <w:spacing w:after="0" w:before="0" w:line="240" w:lineRule="auto"/>
            </w:pPr>
            <w:r>
              <w:rPr>
                <w:sz w:val="14"/>
              </w:rPr>
            </w:r>
            <w:r>
              <w:rPr>
                <w:rFonts w:ascii="Times New Roman" w:hAnsi="Times New Roman" w:eastAsia="Times New Roman"/>
                <w:sz w:val="14"/>
              </w:rPr>
              <w:t>Six role-based pages, transaction signing and visualisation</w:t>
            </w:r>
          </w:p>
        </w:tc>
      </w:tr>
      <w:tr>
        <w:tc>
          <w:tcPr>
            <w:tcW w:type="dxa" w:w="1361"/>
          </w:tcPr>
          <w:p>
            <w:pPr>
              <w:spacing w:after="0" w:before="0" w:line="240" w:lineRule="auto"/>
            </w:pPr>
            <w:r>
              <w:rPr>
                <w:sz w:val="14"/>
              </w:rPr>
            </w:r>
            <w:r>
              <w:rPr>
                <w:rFonts w:ascii="Times New Roman" w:hAnsi="Times New Roman" w:eastAsia="Times New Roman"/>
                <w:sz w:val="14"/>
              </w:rPr>
              <w:t>Data science</w:t>
            </w:r>
          </w:p>
        </w:tc>
        <w:tc>
          <w:tcPr>
            <w:tcW w:type="dxa" w:w="3628"/>
          </w:tcPr>
          <w:p>
            <w:pPr>
              <w:spacing w:after="0" w:before="0" w:line="240" w:lineRule="auto"/>
            </w:pPr>
            <w:r>
              <w:rPr>
                <w:sz w:val="14"/>
              </w:rPr>
            </w:r>
            <w:r>
              <w:rPr>
                <w:rFonts w:ascii="Times New Roman" w:hAnsi="Times New Roman" w:eastAsia="Times New Roman"/>
                <w:sz w:val="14"/>
              </w:rPr>
              <w:t>Python, numpy, pandas, scikit-learn</w:t>
            </w:r>
          </w:p>
        </w:tc>
        <w:tc>
          <w:tcPr>
            <w:tcW w:type="dxa" w:w="3798"/>
          </w:tcPr>
          <w:p>
            <w:pPr>
              <w:spacing w:after="0" w:before="0" w:line="240" w:lineRule="auto"/>
            </w:pPr>
            <w:r>
              <w:rPr>
                <w:sz w:val="14"/>
              </w:rPr>
            </w:r>
            <w:r>
              <w:rPr>
                <w:rFonts w:ascii="Times New Roman" w:hAnsi="Times New Roman" w:eastAsia="Times New Roman"/>
                <w:sz w:val="14"/>
              </w:rPr>
              <w:t>Synthetic data generation, model training, fairness checks and portfolio simulation</w:t>
            </w:r>
          </w:p>
        </w:tc>
      </w:tr>
      <w:tr>
        <w:tc>
          <w:tcPr>
            <w:tcW w:type="dxa" w:w="1361"/>
          </w:tcPr>
          <w:p>
            <w:pPr>
              <w:spacing w:after="0" w:before="0" w:line="240" w:lineRule="auto"/>
            </w:pPr>
            <w:r>
              <w:rPr>
                <w:sz w:val="14"/>
              </w:rPr>
            </w:r>
            <w:r>
              <w:rPr>
                <w:rFonts w:ascii="Times New Roman" w:hAnsi="Times New Roman" w:eastAsia="Times New Roman"/>
                <w:sz w:val="14"/>
              </w:rPr>
              <w:t>Infrastructure</w:t>
            </w:r>
          </w:p>
        </w:tc>
        <w:tc>
          <w:tcPr>
            <w:tcW w:type="dxa" w:w="3628"/>
          </w:tcPr>
          <w:p>
            <w:pPr>
              <w:spacing w:after="0" w:before="0" w:line="240" w:lineRule="auto"/>
            </w:pPr>
            <w:r>
              <w:rPr>
                <w:sz w:val="14"/>
              </w:rPr>
            </w:r>
            <w:r>
              <w:rPr>
                <w:rFonts w:ascii="Times New Roman" w:hAnsi="Times New Roman" w:eastAsia="Times New Roman"/>
                <w:sz w:val="14"/>
              </w:rPr>
              <w:t>Docker, Render (web service, static site, managed PostgreSQL), GitHub Actions</w:t>
            </w:r>
          </w:p>
        </w:tc>
        <w:tc>
          <w:tcPr>
            <w:tcW w:type="dxa" w:w="3798"/>
          </w:tcPr>
          <w:p>
            <w:pPr>
              <w:spacing w:after="0" w:before="0" w:line="240" w:lineRule="auto"/>
            </w:pPr>
            <w:r>
              <w:rPr>
                <w:sz w:val="14"/>
              </w:rPr>
            </w:r>
            <w:r>
              <w:rPr>
                <w:rFonts w:ascii="Times New Roman" w:hAnsi="Times New Roman" w:eastAsia="Times New Roman"/>
                <w:sz w:val="14"/>
              </w:rPr>
              <w:t>Build, deploy and continuous integration</w:t>
            </w:r>
          </w:p>
        </w:tc>
      </w:tr>
    </w:tbl>
    <w:p>
      <w:pPr>
        <w:spacing w:after="0" w:before="0"/>
      </w:pPr>
    </w:p>
    <w:p>
      <w:pPr>
        <w:pStyle w:val="Heading2"/>
      </w:pPr>
      <w:r>
        <w:t>3.2 Off-chain data model</w:t>
      </w:r>
    </w:p>
    <w:p>
      <w:r>
        <w:rPr>
          <w:rFonts w:ascii="Times New Roman" w:hAnsi="Times New Roman" w:eastAsia="Times New Roman"/>
        </w:rPr>
        <w:t>Seven tables are created on first start. Only three of them are authoritative: profiles, score requests and sign-in nonces cannot be rebuilt from the chain. The rest are a projection, regenerated by the indexer, which is what allows the database to be dropped and rebuilt without losing the record of truth. Token amounts are stored as decimal strings because a 6-decimal amount can exceed the safe integer range of JavaScript.</w:t>
      </w:r>
    </w:p>
    <w:p>
      <w:pPr>
        <w:keepNext/>
        <w:spacing w:before="60" w:after="20"/>
        <w:jc w:val="center"/>
      </w:pPr>
      <w:r>
        <w:drawing>
          <wp:inline xmlns:a="http://schemas.openxmlformats.org/drawingml/2006/main" xmlns:pic="http://schemas.openxmlformats.org/drawingml/2006/picture">
            <wp:extent cx="5256000" cy="3360086"/>
            <wp:docPr id="2" name="Picture 2"/>
            <wp:cNvGraphicFramePr>
              <a:graphicFrameLocks noChangeAspect="1"/>
            </wp:cNvGraphicFramePr>
            <a:graphic>
              <a:graphicData uri="http://schemas.openxmlformats.org/drawingml/2006/picture">
                <pic:pic>
                  <pic:nvPicPr>
                    <pic:cNvPr id="0" name="fig_datamodel.png"/>
                    <pic:cNvPicPr/>
                  </pic:nvPicPr>
                  <pic:blipFill>
                    <a:blip r:embed="rId11"/>
                    <a:stretch>
                      <a:fillRect/>
                    </a:stretch>
                  </pic:blipFill>
                  <pic:spPr>
                    <a:xfrm>
                      <a:off x="0" y="0"/>
                      <a:ext cx="5256000" cy="3360086"/>
                    </a:xfrm>
                    <a:prstGeom prst="rect"/>
                  </pic:spPr>
                </pic:pic>
              </a:graphicData>
            </a:graphic>
          </wp:inline>
        </w:drawing>
      </w:r>
    </w:p>
    <w:p>
      <w:pPr>
        <w:keepLines/>
        <w:spacing w:after="120" w:line="240" w:lineRule="auto"/>
        <w:jc w:val="center"/>
      </w:pPr>
      <w:r>
        <w:rPr>
          <w:i/>
          <w:color w:val="595959"/>
          <w:sz w:val="15"/>
        </w:rPr>
        <w:t>Figure 2. The off-chain data model. Boxes on the lower row are supporting tables or, in the case of sync_state, the indexer checkpoint. The three relationships are enforced in application code rather than by database foreign keys, because rows arrive from the chain in block order.</w:t>
      </w:r>
    </w:p>
    <w:p>
      <w:pPr>
        <w:keepNext/>
        <w:spacing w:after="40" w:before="80"/>
      </w:pPr>
      <w:r>
        <w:rPr>
          <w:b/>
          <w:color w:val="1F4E79"/>
          <w:sz w:val="16"/>
        </w:rPr>
        <w:t>Table 7. Database schema, with the full column list for each table.</w:t>
      </w:r>
    </w:p>
    <w:tbl>
      <w:tblPr>
        <w:tblStyle w:val="TableGrid"/>
        <w:tblW w:type="auto" w:w="0"/>
        <w:jc w:val="center"/>
        <w:tblLook w:firstColumn="1" w:firstRow="1" w:lastColumn="0" w:lastRow="0" w:noHBand="0" w:noVBand="1" w:val="04A0"/>
      </w:tblPr>
      <w:tblGrid>
        <w:gridCol w:w="2929"/>
        <w:gridCol w:w="2929"/>
        <w:gridCol w:w="2929"/>
      </w:tblGrid>
      <w:tr>
        <w:tc>
          <w:tcPr>
            <w:tcW w:type="dxa" w:w="1361"/>
            <w:shd w:val="clear" w:color="auto" w:fill="1F4E79"/>
          </w:tcPr>
          <w:p>
            <w:pPr>
              <w:spacing w:after="0" w:line="240" w:lineRule="auto"/>
            </w:pPr>
            <w:r/>
            <w:r>
              <w:rPr>
                <w:b/>
                <w:color w:val="FFFFFF"/>
                <w:sz w:val="14"/>
                <w:rFonts w:ascii="Times New Roman" w:hAnsi="Times New Roman" w:eastAsia="Times New Roman"/>
              </w:rPr>
              <w:t>Table</w:t>
            </w:r>
          </w:p>
        </w:tc>
        <w:tc>
          <w:tcPr>
            <w:tcW w:type="dxa" w:w="2551"/>
            <w:shd w:val="clear" w:color="auto" w:fill="1F4E79"/>
          </w:tcPr>
          <w:p>
            <w:pPr>
              <w:spacing w:after="0" w:line="240" w:lineRule="auto"/>
            </w:pPr>
            <w:r/>
            <w:r>
              <w:rPr>
                <w:b/>
                <w:color w:val="FFFFFF"/>
                <w:sz w:val="14"/>
                <w:rFonts w:ascii="Times New Roman" w:hAnsi="Times New Roman" w:eastAsia="Times New Roman"/>
              </w:rPr>
              <w:t>Purpose</w:t>
            </w:r>
          </w:p>
        </w:tc>
        <w:tc>
          <w:tcPr>
            <w:tcW w:type="dxa" w:w="4876"/>
            <w:shd w:val="clear" w:color="auto" w:fill="1F4E79"/>
          </w:tcPr>
          <w:p>
            <w:pPr>
              <w:spacing w:after="0" w:line="240" w:lineRule="auto"/>
            </w:pPr>
            <w:r/>
            <w:r>
              <w:rPr>
                <w:b/>
                <w:color w:val="FFFFFF"/>
                <w:sz w:val="14"/>
                <w:rFonts w:ascii="Times New Roman" w:hAnsi="Times New Roman" w:eastAsia="Times New Roman"/>
              </w:rPr>
              <w:t>Key columns</w:t>
            </w:r>
          </w:p>
        </w:tc>
      </w:tr>
      <w:tr>
        <w:tc>
          <w:tcPr>
            <w:tcW w:type="dxa" w:w="1361"/>
          </w:tcPr>
          <w:p>
            <w:pPr>
              <w:spacing w:after="0" w:before="0" w:line="240" w:lineRule="auto"/>
            </w:pPr>
            <w:r>
              <w:rPr>
                <w:sz w:val="14"/>
              </w:rPr>
            </w:r>
            <w:r>
              <w:rPr>
                <w:rFonts w:ascii="Times New Roman" w:hAnsi="Times New Roman" w:eastAsia="Times New Roman"/>
                <w:sz w:val="14"/>
              </w:rPr>
              <w:t>loans</w:t>
            </w:r>
          </w:p>
        </w:tc>
        <w:tc>
          <w:tcPr>
            <w:tcW w:type="dxa" w:w="2551"/>
          </w:tcPr>
          <w:p>
            <w:pPr>
              <w:spacing w:after="0" w:before="0" w:line="240" w:lineRule="auto"/>
            </w:pPr>
            <w:r>
              <w:rPr>
                <w:sz w:val="14"/>
              </w:rPr>
            </w:r>
            <w:r>
              <w:rPr>
                <w:rFonts w:ascii="Times New Roman" w:hAnsi="Times New Roman" w:eastAsia="Times New Roman"/>
                <w:sz w:val="14"/>
              </w:rPr>
              <w:t>Denormalised current loan struct, re-read from the chain</w:t>
            </w:r>
          </w:p>
        </w:tc>
        <w:tc>
          <w:tcPr>
            <w:tcW w:type="dxa" w:w="4876"/>
          </w:tcPr>
          <w:p>
            <w:pPr>
              <w:spacing w:after="0" w:before="0" w:line="240" w:lineRule="auto"/>
            </w:pPr>
            <w:r>
              <w:rPr>
                <w:sz w:val="14"/>
              </w:rPr>
            </w:r>
            <w:r>
              <w:rPr>
                <w:rFonts w:ascii="Times New Roman" w:hAnsi="Times New Roman" w:eastAsia="Times New Roman"/>
                <w:sz w:val="14"/>
              </w:rPr>
              <w:t>loan_id (PK), borrower, status, status_name, tier, apr_bps, term_days, principal, collateral_required, interest_total, due_at, updated_block</w:t>
            </w:r>
          </w:p>
        </w:tc>
      </w:tr>
      <w:tr>
        <w:tc>
          <w:tcPr>
            <w:tcW w:type="dxa" w:w="1361"/>
          </w:tcPr>
          <w:p>
            <w:pPr>
              <w:spacing w:after="0" w:before="0" w:line="240" w:lineRule="auto"/>
            </w:pPr>
            <w:r>
              <w:rPr>
                <w:sz w:val="14"/>
              </w:rPr>
            </w:r>
            <w:r>
              <w:rPr>
                <w:rFonts w:ascii="Times New Roman" w:hAnsi="Times New Roman" w:eastAsia="Times New Roman"/>
                <w:sz w:val="14"/>
              </w:rPr>
              <w:t>events</w:t>
            </w:r>
          </w:p>
        </w:tc>
        <w:tc>
          <w:tcPr>
            <w:tcW w:type="dxa" w:w="2551"/>
          </w:tcPr>
          <w:p>
            <w:pPr>
              <w:spacing w:after="0" w:before="0" w:line="240" w:lineRule="auto"/>
            </w:pPr>
            <w:r>
              <w:rPr>
                <w:sz w:val="14"/>
              </w:rPr>
            </w:r>
            <w:r>
              <w:rPr>
                <w:rFonts w:ascii="Times New Roman" w:hAnsi="Times New Roman" w:eastAsia="Times New Roman"/>
                <w:sz w:val="14"/>
              </w:rPr>
              <w:t>Decoded protocol events; the audit-log substrate</w:t>
            </w:r>
          </w:p>
        </w:tc>
        <w:tc>
          <w:tcPr>
            <w:tcW w:type="dxa" w:w="4876"/>
          </w:tcPr>
          <w:p>
            <w:pPr>
              <w:spacing w:after="0" w:before="0" w:line="240" w:lineRule="auto"/>
            </w:pPr>
            <w:r>
              <w:rPr>
                <w:sz w:val="14"/>
              </w:rPr>
            </w:r>
            <w:r>
              <w:rPr>
                <w:rFonts w:ascii="Times New Roman" w:hAnsi="Times New Roman" w:eastAsia="Times New Roman"/>
                <w:sz w:val="14"/>
              </w:rPr>
              <w:t>id (PK), contract, name, block_number, tx_hash, log_index, timestamp, loan_id, accounts, args; unique on (tx_hash, log_index)</w:t>
            </w:r>
          </w:p>
        </w:tc>
      </w:tr>
      <w:tr>
        <w:tc>
          <w:tcPr>
            <w:tcW w:type="dxa" w:w="1361"/>
          </w:tcPr>
          <w:p>
            <w:pPr>
              <w:spacing w:after="0" w:before="0" w:line="240" w:lineRule="auto"/>
            </w:pPr>
            <w:r>
              <w:rPr>
                <w:sz w:val="14"/>
              </w:rPr>
            </w:r>
            <w:r>
              <w:rPr>
                <w:rFonts w:ascii="Times New Roman" w:hAnsi="Times New Roman" w:eastAsia="Times New Roman"/>
                <w:sz w:val="14"/>
              </w:rPr>
              <w:t>pool_snapshots</w:t>
            </w:r>
          </w:p>
        </w:tc>
        <w:tc>
          <w:tcPr>
            <w:tcW w:type="dxa" w:w="2551"/>
          </w:tcPr>
          <w:p>
            <w:pPr>
              <w:spacing w:after="0" w:before="0" w:line="240" w:lineRule="auto"/>
            </w:pPr>
            <w:r>
              <w:rPr>
                <w:sz w:val="14"/>
              </w:rPr>
            </w:r>
            <w:r>
              <w:rPr>
                <w:rFonts w:ascii="Times New Roman" w:hAnsi="Times New Roman" w:eastAsia="Times New Roman"/>
                <w:sz w:val="14"/>
              </w:rPr>
              <w:t>Pool time series for the overview charts</w:t>
            </w:r>
          </w:p>
        </w:tc>
        <w:tc>
          <w:tcPr>
            <w:tcW w:type="dxa" w:w="4876"/>
          </w:tcPr>
          <w:p>
            <w:pPr>
              <w:spacing w:after="0" w:before="0" w:line="240" w:lineRule="auto"/>
            </w:pPr>
            <w:r>
              <w:rPr>
                <w:sz w:val="14"/>
              </w:rPr>
            </w:r>
            <w:r>
              <w:rPr>
                <w:rFonts w:ascii="Times New Roman" w:hAnsi="Times New Roman" w:eastAsia="Times New Roman"/>
                <w:sz w:val="14"/>
              </w:rPr>
              <w:t>timestamp, block_number, lender_assets, outstanding, reserve, total_shares, cash, utilization_bps, share_price</w:t>
            </w:r>
          </w:p>
        </w:tc>
      </w:tr>
      <w:tr>
        <w:tc>
          <w:tcPr>
            <w:tcW w:type="dxa" w:w="1361"/>
          </w:tcPr>
          <w:p>
            <w:pPr>
              <w:spacing w:after="0" w:before="0" w:line="240" w:lineRule="auto"/>
            </w:pPr>
            <w:r>
              <w:rPr>
                <w:sz w:val="14"/>
              </w:rPr>
            </w:r>
            <w:r>
              <w:rPr>
                <w:rFonts w:ascii="Times New Roman" w:hAnsi="Times New Roman" w:eastAsia="Times New Roman"/>
                <w:sz w:val="14"/>
              </w:rPr>
              <w:t>profiles</w:t>
            </w:r>
          </w:p>
        </w:tc>
        <w:tc>
          <w:tcPr>
            <w:tcW w:type="dxa" w:w="2551"/>
          </w:tcPr>
          <w:p>
            <w:pPr>
              <w:spacing w:after="0" w:before="0" w:line="240" w:lineRule="auto"/>
            </w:pPr>
            <w:r>
              <w:rPr>
                <w:sz w:val="14"/>
              </w:rPr>
            </w:r>
            <w:r>
              <w:rPr>
                <w:rFonts w:ascii="Times New Roman" w:hAnsi="Times New Roman" w:eastAsia="Times New Roman"/>
                <w:sz w:val="14"/>
              </w:rPr>
              <w:t>Off-chain KYC-lite metadata that never goes on-chain</w:t>
            </w:r>
          </w:p>
        </w:tc>
        <w:tc>
          <w:tcPr>
            <w:tcW w:type="dxa" w:w="4876"/>
          </w:tcPr>
          <w:p>
            <w:pPr>
              <w:spacing w:after="0" w:before="0" w:line="240" w:lineRule="auto"/>
            </w:pPr>
            <w:r>
              <w:rPr>
                <w:sz w:val="14"/>
              </w:rPr>
            </w:r>
            <w:r>
              <w:rPr>
                <w:rFonts w:ascii="Times New Roman" w:hAnsi="Times New Roman" w:eastAsia="Times New Roman"/>
                <w:sz w:val="14"/>
              </w:rPr>
              <w:t>address (PK), display_name, country, occupation</w:t>
            </w:r>
          </w:p>
        </w:tc>
      </w:tr>
      <w:tr>
        <w:tc>
          <w:tcPr>
            <w:tcW w:type="dxa" w:w="1361"/>
          </w:tcPr>
          <w:p>
            <w:pPr>
              <w:spacing w:after="0" w:before="0" w:line="240" w:lineRule="auto"/>
            </w:pPr>
            <w:r>
              <w:rPr>
                <w:sz w:val="14"/>
              </w:rPr>
            </w:r>
            <w:r>
              <w:rPr>
                <w:rFonts w:ascii="Times New Roman" w:hAnsi="Times New Roman" w:eastAsia="Times New Roman"/>
                <w:sz w:val="14"/>
              </w:rPr>
              <w:t>score_requests</w:t>
            </w:r>
          </w:p>
        </w:tc>
        <w:tc>
          <w:tcPr>
            <w:tcW w:type="dxa" w:w="2551"/>
          </w:tcPr>
          <w:p>
            <w:pPr>
              <w:spacing w:after="0" w:before="0" w:line="240" w:lineRule="auto"/>
            </w:pPr>
            <w:r>
              <w:rPr>
                <w:sz w:val="14"/>
              </w:rPr>
            </w:r>
            <w:r>
              <w:rPr>
                <w:rFonts w:ascii="Times New Roman" w:hAnsi="Times New Roman" w:eastAsia="Times New Roman"/>
                <w:sz w:val="14"/>
              </w:rPr>
              <w:t>Every scoring call, for audit and rate limiting</w:t>
            </w:r>
          </w:p>
        </w:tc>
        <w:tc>
          <w:tcPr>
            <w:tcW w:type="dxa" w:w="4876"/>
          </w:tcPr>
          <w:p>
            <w:pPr>
              <w:spacing w:after="0" w:before="0" w:line="240" w:lineRule="auto"/>
            </w:pPr>
            <w:r>
              <w:rPr>
                <w:sz w:val="14"/>
              </w:rPr>
            </w:r>
            <w:r>
              <w:rPr>
                <w:rFonts w:ascii="Times New Roman" w:hAnsi="Times New Roman" w:eastAsia="Times New Roman"/>
                <w:sz w:val="14"/>
              </w:rPr>
              <w:t>address, features, pd, score, tier, model_version, model_hash, nonce</w:t>
            </w:r>
          </w:p>
        </w:tc>
      </w:tr>
      <w:tr>
        <w:tc>
          <w:tcPr>
            <w:tcW w:type="dxa" w:w="1361"/>
          </w:tcPr>
          <w:p>
            <w:pPr>
              <w:spacing w:after="0" w:before="0" w:line="240" w:lineRule="auto"/>
            </w:pPr>
            <w:r>
              <w:rPr>
                <w:sz w:val="14"/>
              </w:rPr>
            </w:r>
            <w:r>
              <w:rPr>
                <w:rFonts w:ascii="Times New Roman" w:hAnsi="Times New Roman" w:eastAsia="Times New Roman"/>
                <w:sz w:val="14"/>
              </w:rPr>
              <w:t>auth_nonces</w:t>
            </w:r>
          </w:p>
        </w:tc>
        <w:tc>
          <w:tcPr>
            <w:tcW w:type="dxa" w:w="2551"/>
          </w:tcPr>
          <w:p>
            <w:pPr>
              <w:spacing w:after="0" w:before="0" w:line="240" w:lineRule="auto"/>
            </w:pPr>
            <w:r>
              <w:rPr>
                <w:sz w:val="14"/>
              </w:rPr>
            </w:r>
            <w:r>
              <w:rPr>
                <w:rFonts w:ascii="Times New Roman" w:hAnsi="Times New Roman" w:eastAsia="Times New Roman"/>
                <w:sz w:val="14"/>
              </w:rPr>
              <w:t>Single-use sign-in challenges</w:t>
            </w:r>
          </w:p>
        </w:tc>
        <w:tc>
          <w:tcPr>
            <w:tcW w:type="dxa" w:w="4876"/>
          </w:tcPr>
          <w:p>
            <w:pPr>
              <w:spacing w:after="0" w:before="0" w:line="240" w:lineRule="auto"/>
            </w:pPr>
            <w:r>
              <w:rPr>
                <w:sz w:val="14"/>
              </w:rPr>
            </w:r>
            <w:r>
              <w:rPr>
                <w:rFonts w:ascii="Times New Roman" w:hAnsi="Times New Roman" w:eastAsia="Times New Roman"/>
                <w:sz w:val="14"/>
              </w:rPr>
              <w:t>address (PK), message, expires_at</w:t>
            </w:r>
          </w:p>
        </w:tc>
      </w:tr>
      <w:tr>
        <w:tc>
          <w:tcPr>
            <w:tcW w:type="dxa" w:w="1361"/>
          </w:tcPr>
          <w:p>
            <w:pPr>
              <w:spacing w:after="0" w:before="0" w:line="240" w:lineRule="auto"/>
            </w:pPr>
            <w:r>
              <w:rPr>
                <w:sz w:val="14"/>
              </w:rPr>
            </w:r>
            <w:r>
              <w:rPr>
                <w:rFonts w:ascii="Times New Roman" w:hAnsi="Times New Roman" w:eastAsia="Times New Roman"/>
                <w:sz w:val="14"/>
              </w:rPr>
              <w:t>sync_state</w:t>
            </w:r>
          </w:p>
        </w:tc>
        <w:tc>
          <w:tcPr>
            <w:tcW w:type="dxa" w:w="2551"/>
          </w:tcPr>
          <w:p>
            <w:pPr>
              <w:spacing w:after="0" w:before="0" w:line="240" w:lineRule="auto"/>
            </w:pPr>
            <w:r>
              <w:rPr>
                <w:sz w:val="14"/>
              </w:rPr>
            </w:r>
            <w:r>
              <w:rPr>
                <w:rFonts w:ascii="Times New Roman" w:hAnsi="Times New Roman" w:eastAsia="Times New Roman"/>
                <w:sz w:val="14"/>
              </w:rPr>
              <w:t>Indexer checkpoint</w:t>
            </w:r>
          </w:p>
        </w:tc>
        <w:tc>
          <w:tcPr>
            <w:tcW w:type="dxa" w:w="4876"/>
          </w:tcPr>
          <w:p>
            <w:pPr>
              <w:spacing w:after="0" w:before="0" w:line="240" w:lineRule="auto"/>
            </w:pPr>
            <w:r>
              <w:rPr>
                <w:sz w:val="14"/>
              </w:rPr>
            </w:r>
            <w:r>
              <w:rPr>
                <w:rFonts w:ascii="Times New Roman" w:hAnsi="Times New Roman" w:eastAsia="Times New Roman"/>
                <w:sz w:val="14"/>
              </w:rPr>
              <w:t>key (PK; only last_block is used), value</w:t>
            </w:r>
          </w:p>
        </w:tc>
      </w:tr>
    </w:tbl>
    <w:p>
      <w:pPr>
        <w:spacing w:after="0" w:before="0"/>
      </w:pPr>
    </w:p>
    <w:p>
      <w:pPr>
        <w:pStyle w:val="Heading2"/>
      </w:pPr>
      <w:r>
        <w:t>3.3 End-to-end flow</w:t>
      </w:r>
    </w:p>
    <w:p>
      <w:r>
        <w:rPr>
          <w:rFonts w:ascii="Times New Roman" w:hAnsi="Times New Roman" w:eastAsia="Times New Roman"/>
        </w:rPr>
        <w:t>Figure 3 traces one complete loan through all three tiers. The split is worth noting: only sign-in, scoring and the signature are off-chain. Everything that moves value or changes the credit record is a transaction the borrower or an officer signs.</w:t>
      </w:r>
    </w:p>
    <w:p>
      <w:pPr>
        <w:keepNext/>
        <w:spacing w:before="60" w:after="20"/>
        <w:jc w:val="center"/>
      </w:pPr>
      <w:r>
        <w:drawing>
          <wp:inline xmlns:a="http://schemas.openxmlformats.org/drawingml/2006/main" xmlns:pic="http://schemas.openxmlformats.org/drawingml/2006/picture">
            <wp:extent cx="5544000" cy="3175920"/>
            <wp:docPr id="3" name="Picture 3"/>
            <wp:cNvGraphicFramePr>
              <a:graphicFrameLocks noChangeAspect="1"/>
            </wp:cNvGraphicFramePr>
            <a:graphic>
              <a:graphicData uri="http://schemas.openxmlformats.org/drawingml/2006/picture">
                <pic:pic>
                  <pic:nvPicPr>
                    <pic:cNvPr id="0" name="fig_flow.png"/>
                    <pic:cNvPicPr/>
                  </pic:nvPicPr>
                  <pic:blipFill>
                    <a:blip r:embed="rId12"/>
                    <a:stretch>
                      <a:fillRect/>
                    </a:stretch>
                  </pic:blipFill>
                  <pic:spPr>
                    <a:xfrm>
                      <a:off x="0" y="0"/>
                      <a:ext cx="5544000" cy="3175920"/>
                    </a:xfrm>
                    <a:prstGeom prst="rect"/>
                  </pic:spPr>
                </pic:pic>
              </a:graphicData>
            </a:graphic>
          </wp:inline>
        </w:drawing>
      </w:r>
    </w:p>
    <w:p>
      <w:pPr>
        <w:keepLines/>
        <w:spacing w:after="120" w:line="240" w:lineRule="auto"/>
        <w:jc w:val="center"/>
      </w:pPr>
      <w:r>
        <w:rPr>
          <w:i/>
          <w:color w:val="595959"/>
          <w:sz w:val="15"/>
        </w:rPr>
        <w:t>Figure 3. One complete loan, from sign-in to settlement. Steps 1 to 3 are off-chain operations; steps 4 to 8 and step 10 are on-chain transactions that each require a wallet signature and gas.</w:t>
      </w:r>
    </w:p>
    <w:p>
      <w:pPr>
        <w:pStyle w:val="Heading1"/>
      </w:pPr>
      <w:r>
        <w:t>4. Credit scoring and risk model</w:t>
      </w:r>
    </w:p>
    <w:p>
      <w:r>
        <w:rPr>
          <w:rFonts w:ascii="Times New Roman" w:hAnsi="Times New Roman" w:eastAsia="Times New Roman"/>
        </w:rPr>
        <w:t xml:space="preserve">The score is the hinge of the whole product: it decides the borrower's limit, interest rate and collateral requirement, yet it must not be trusted blindly and must not expose the borrower's personal data. The design answers both constraints by keeping the model off-chain and putting only a signed, expiring, versioned </w:t>
      </w:r>
      <w:r>
        <w:rPr>
          <w:i/>
          <w:rFonts w:ascii="Times New Roman" w:hAnsi="Times New Roman" w:eastAsia="Times New Roman"/>
        </w:rPr>
        <w:t>result</w:t>
      </w:r>
      <w:r>
        <w:rPr>
          <w:rFonts w:ascii="Times New Roman" w:hAnsi="Times New Roman" w:eastAsia="Times New Roman"/>
        </w:rPr>
        <w:t xml:space="preserve"> on-chain.</w:t>
      </w:r>
    </w:p>
    <w:p>
      <w:pPr>
        <w:keepNext/>
        <w:spacing w:after="40" w:before="80"/>
      </w:pPr>
      <w:r>
        <w:rPr>
          <w:b/>
          <w:color w:val="1F4E79"/>
          <w:sz w:val="16"/>
        </w:rPr>
        <w:t>Table 8. Model card.</w:t>
      </w:r>
    </w:p>
    <w:tbl>
      <w:tblPr>
        <w:tblStyle w:val="TableGrid"/>
        <w:tblW w:type="auto" w:w="0"/>
        <w:jc w:val="center"/>
        <w:tblLook w:firstColumn="1" w:firstRow="1" w:lastColumn="0" w:lastRow="0" w:noHBand="0" w:noVBand="1" w:val="04A0"/>
      </w:tblPr>
      <w:tblGrid>
        <w:gridCol w:w="4394"/>
        <w:gridCol w:w="4394"/>
      </w:tblGrid>
      <w:tr>
        <w:tc>
          <w:tcPr>
            <w:tcW w:type="dxa" w:w="1928"/>
            <w:shd w:val="clear" w:color="auto" w:fill="1F4E79"/>
          </w:tcPr>
          <w:p>
            <w:pPr>
              <w:spacing w:after="0" w:line="240" w:lineRule="auto"/>
            </w:pPr>
            <w:r/>
            <w:r>
              <w:rPr>
                <w:b/>
                <w:color w:val="FFFFFF"/>
                <w:sz w:val="14"/>
                <w:rFonts w:ascii="Times New Roman" w:hAnsi="Times New Roman" w:eastAsia="Times New Roman"/>
              </w:rPr>
              <w:t>Property</w:t>
            </w:r>
          </w:p>
        </w:tc>
        <w:tc>
          <w:tcPr>
            <w:tcW w:type="dxa" w:w="6860"/>
            <w:shd w:val="clear" w:color="auto" w:fill="1F4E79"/>
          </w:tcPr>
          <w:p>
            <w:pPr>
              <w:spacing w:after="0" w:line="240" w:lineRule="auto"/>
            </w:pPr>
            <w:r/>
            <w:r>
              <w:rPr>
                <w:b/>
                <w:color w:val="FFFFFF"/>
                <w:sz w:val="14"/>
                <w:rFonts w:ascii="Times New Roman" w:hAnsi="Times New Roman" w:eastAsia="Times New Roman"/>
              </w:rPr>
              <w:t>Value</w:t>
            </w:r>
          </w:p>
        </w:tc>
      </w:tr>
      <w:tr>
        <w:tc>
          <w:tcPr>
            <w:tcW w:type="dxa" w:w="1928"/>
          </w:tcPr>
          <w:p>
            <w:pPr>
              <w:spacing w:after="0" w:before="0" w:line="240" w:lineRule="auto"/>
            </w:pPr>
            <w:r>
              <w:rPr>
                <w:sz w:val="14"/>
              </w:rPr>
            </w:r>
            <w:r>
              <w:rPr>
                <w:rFonts w:ascii="Times New Roman" w:hAnsi="Times New Roman" w:eastAsia="Times New Roman"/>
                <w:sz w:val="14"/>
              </w:rPr>
              <w:t>Model</w:t>
            </w:r>
          </w:p>
        </w:tc>
        <w:tc>
          <w:tcPr>
            <w:tcW w:type="dxa" w:w="6860"/>
          </w:tcPr>
          <w:p>
            <w:pPr>
              <w:spacing w:after="0" w:before="0" w:line="240" w:lineRule="auto"/>
            </w:pPr>
            <w:r>
              <w:rPr>
                <w:sz w:val="14"/>
              </w:rPr>
            </w:r>
            <w:r>
              <w:rPr>
                <w:rFonts w:ascii="Times New Roman" w:hAnsi="Times New Roman" w:eastAsia="Times New Roman"/>
                <w:sz w:val="14"/>
              </w:rPr>
              <w:t>Logistic regression (credit-model-v1), trained in scikit-learn and exported as coefficients</w:t>
            </w:r>
          </w:p>
        </w:tc>
      </w:tr>
      <w:tr>
        <w:tc>
          <w:tcPr>
            <w:tcW w:type="dxa" w:w="1928"/>
          </w:tcPr>
          <w:p>
            <w:pPr>
              <w:spacing w:after="0" w:before="0" w:line="240" w:lineRule="auto"/>
            </w:pPr>
            <w:r>
              <w:rPr>
                <w:sz w:val="14"/>
              </w:rPr>
            </w:r>
            <w:r>
              <w:rPr>
                <w:rFonts w:ascii="Times New Roman" w:hAnsi="Times New Roman" w:eastAsia="Times New Roman"/>
                <w:sz w:val="14"/>
              </w:rPr>
              <w:t>Target</w:t>
            </w:r>
          </w:p>
        </w:tc>
        <w:tc>
          <w:tcPr>
            <w:tcW w:type="dxa" w:w="6860"/>
          </w:tcPr>
          <w:p>
            <w:pPr>
              <w:spacing w:after="0" w:before="0" w:line="240" w:lineRule="auto"/>
            </w:pPr>
            <w:r>
              <w:rPr>
                <w:sz w:val="14"/>
              </w:rPr>
            </w:r>
            <w:r>
              <w:rPr>
                <w:rFonts w:ascii="Times New Roman" w:hAnsi="Times New Roman" w:eastAsia="Times New Roman"/>
                <w:sz w:val="14"/>
              </w:rPr>
              <w:t>Probability of default within the loan term</w:t>
            </w:r>
          </w:p>
        </w:tc>
      </w:tr>
      <w:tr>
        <w:tc>
          <w:tcPr>
            <w:tcW w:type="dxa" w:w="1928"/>
          </w:tcPr>
          <w:p>
            <w:pPr>
              <w:spacing w:after="0" w:before="0" w:line="240" w:lineRule="auto"/>
            </w:pPr>
            <w:r>
              <w:rPr>
                <w:sz w:val="14"/>
              </w:rPr>
            </w:r>
            <w:r>
              <w:rPr>
                <w:rFonts w:ascii="Times New Roman" w:hAnsi="Times New Roman" w:eastAsia="Times New Roman"/>
                <w:sz w:val="14"/>
              </w:rPr>
              <w:t>Training data</w:t>
            </w:r>
          </w:p>
        </w:tc>
        <w:tc>
          <w:tcPr>
            <w:tcW w:type="dxa" w:w="6860"/>
          </w:tcPr>
          <w:p>
            <w:pPr>
              <w:spacing w:after="0" w:before="0" w:line="240" w:lineRule="auto"/>
            </w:pPr>
            <w:r>
              <w:rPr>
                <w:sz w:val="14"/>
              </w:rPr>
            </w:r>
            <w:r>
              <w:rPr>
                <w:b/>
                <w:rFonts w:ascii="Times New Roman" w:hAnsi="Times New Roman" w:eastAsia="Times New Roman"/>
                <w:sz w:val="14"/>
              </w:rPr>
              <w:t>Synthetic</w:t>
            </w:r>
            <w:r>
              <w:rPr>
                <w:rFonts w:ascii="Times New Roman" w:hAnsi="Times New Roman" w:eastAsia="Times New Roman"/>
                <w:sz w:val="14"/>
              </w:rPr>
              <w:t>: 20,000 borrowers generated from a documented latent risk process (seed 42), target default rate 8.5%</w:t>
            </w:r>
          </w:p>
        </w:tc>
      </w:tr>
      <w:tr>
        <w:tc>
          <w:tcPr>
            <w:tcW w:type="dxa" w:w="1928"/>
          </w:tcPr>
          <w:p>
            <w:pPr>
              <w:spacing w:after="0" w:before="0" w:line="240" w:lineRule="auto"/>
            </w:pPr>
            <w:r>
              <w:rPr>
                <w:sz w:val="14"/>
              </w:rPr>
            </w:r>
            <w:r>
              <w:rPr>
                <w:rFonts w:ascii="Times New Roman" w:hAnsi="Times New Roman" w:eastAsia="Times New Roman"/>
                <w:sz w:val="14"/>
              </w:rPr>
              <w:t>Split</w:t>
            </w:r>
          </w:p>
        </w:tc>
        <w:tc>
          <w:tcPr>
            <w:tcW w:type="dxa" w:w="6860"/>
          </w:tcPr>
          <w:p>
            <w:pPr>
              <w:spacing w:after="0" w:before="0" w:line="240" w:lineRule="auto"/>
            </w:pPr>
            <w:r>
              <w:rPr>
                <w:sz w:val="14"/>
              </w:rPr>
            </w:r>
            <w:r>
              <w:rPr>
                <w:rFonts w:ascii="Times New Roman" w:hAnsi="Times New Roman" w:eastAsia="Times New Roman"/>
                <w:sz w:val="14"/>
              </w:rPr>
              <w:t>14,000 training and 6,000 test rows, stratified on the default label</w:t>
            </w:r>
          </w:p>
        </w:tc>
      </w:tr>
      <w:tr>
        <w:tc>
          <w:tcPr>
            <w:tcW w:type="dxa" w:w="1928"/>
          </w:tcPr>
          <w:p>
            <w:pPr>
              <w:spacing w:after="0" w:before="0" w:line="240" w:lineRule="auto"/>
            </w:pPr>
            <w:r>
              <w:rPr>
                <w:sz w:val="14"/>
              </w:rPr>
            </w:r>
            <w:r>
              <w:rPr>
                <w:rFonts w:ascii="Times New Roman" w:hAnsi="Times New Roman" w:eastAsia="Times New Roman"/>
                <w:sz w:val="14"/>
              </w:rPr>
              <w:t>Features</w:t>
            </w:r>
          </w:p>
        </w:tc>
        <w:tc>
          <w:tcPr>
            <w:tcW w:type="dxa" w:w="6860"/>
          </w:tcPr>
          <w:p>
            <w:pPr>
              <w:spacing w:after="0" w:before="0" w:line="240" w:lineRule="auto"/>
            </w:pPr>
            <w:r>
              <w:rPr>
                <w:sz w:val="14"/>
              </w:rPr>
            </w:r>
            <w:r>
              <w:rPr>
                <w:rFonts w:ascii="Times New Roman" w:hAnsi="Times New Roman" w:eastAsia="Times New Roman"/>
                <w:sz w:val="14"/>
              </w:rPr>
              <w:t>Eight (Table 9)</w:t>
            </w:r>
          </w:p>
        </w:tc>
      </w:tr>
      <w:tr>
        <w:tc>
          <w:tcPr>
            <w:tcW w:type="dxa" w:w="1928"/>
          </w:tcPr>
          <w:p>
            <w:pPr>
              <w:spacing w:after="0" w:before="0" w:line="240" w:lineRule="auto"/>
            </w:pPr>
            <w:r>
              <w:rPr>
                <w:sz w:val="14"/>
              </w:rPr>
            </w:r>
            <w:r>
              <w:rPr>
                <w:rFonts w:ascii="Times New Roman" w:hAnsi="Times New Roman" w:eastAsia="Times New Roman"/>
                <w:sz w:val="14"/>
              </w:rPr>
              <w:t>Discrimination</w:t>
            </w:r>
          </w:p>
        </w:tc>
        <w:tc>
          <w:tcPr>
            <w:tcW w:type="dxa" w:w="6860"/>
          </w:tcPr>
          <w:p>
            <w:pPr>
              <w:spacing w:after="0" w:before="0" w:line="240" w:lineRule="auto"/>
            </w:pPr>
            <w:r>
              <w:rPr>
                <w:sz w:val="14"/>
              </w:rPr>
            </w:r>
            <w:r>
              <w:rPr>
                <w:rFonts w:ascii="Times New Roman" w:hAnsi="Times New Roman" w:eastAsia="Times New Roman"/>
                <w:sz w:val="14"/>
              </w:rPr>
              <w:t xml:space="preserve">AUC </w:t>
            </w:r>
            <w:r>
              <w:rPr>
                <w:b/>
                <w:rFonts w:ascii="Times New Roman" w:hAnsi="Times New Roman" w:eastAsia="Times New Roman"/>
                <w:sz w:val="14"/>
              </w:rPr>
              <w:t>0.6807</w:t>
            </w:r>
            <w:r>
              <w:rPr>
                <w:rFonts w:ascii="Times New Roman" w:hAnsi="Times New Roman" w:eastAsia="Times New Roman"/>
                <w:sz w:val="14"/>
              </w:rPr>
              <w:t xml:space="preserve">; KS </w:t>
            </w:r>
            <w:r>
              <w:rPr>
                <w:b/>
                <w:rFonts w:ascii="Times New Roman" w:hAnsi="Times New Roman" w:eastAsia="Times New Roman"/>
                <w:sz w:val="14"/>
              </w:rPr>
              <w:t>0.2653</w:t>
            </w:r>
          </w:p>
        </w:tc>
      </w:tr>
      <w:tr>
        <w:tc>
          <w:tcPr>
            <w:tcW w:type="dxa" w:w="1928"/>
          </w:tcPr>
          <w:p>
            <w:pPr>
              <w:spacing w:after="0" w:before="0" w:line="240" w:lineRule="auto"/>
            </w:pPr>
            <w:r>
              <w:rPr>
                <w:sz w:val="14"/>
              </w:rPr>
            </w:r>
            <w:r>
              <w:rPr>
                <w:rFonts w:ascii="Times New Roman" w:hAnsi="Times New Roman" w:eastAsia="Times New Roman"/>
                <w:sz w:val="14"/>
              </w:rPr>
              <w:t>Calibration</w:t>
            </w:r>
          </w:p>
        </w:tc>
        <w:tc>
          <w:tcPr>
            <w:tcW w:type="dxa" w:w="6860"/>
          </w:tcPr>
          <w:p>
            <w:pPr>
              <w:spacing w:after="0" w:before="0" w:line="240" w:lineRule="auto"/>
            </w:pPr>
            <w:r>
              <w:rPr>
                <w:sz w:val="14"/>
              </w:rPr>
            </w:r>
            <w:r>
              <w:rPr>
                <w:rFonts w:ascii="Times New Roman" w:hAnsi="Times New Roman" w:eastAsia="Times New Roman"/>
                <w:sz w:val="14"/>
              </w:rPr>
              <w:t xml:space="preserve">Brier score </w:t>
            </w:r>
            <w:r>
              <w:rPr>
                <w:b/>
                <w:rFonts w:ascii="Times New Roman" w:hAnsi="Times New Roman" w:eastAsia="Times New Roman"/>
                <w:sz w:val="14"/>
              </w:rPr>
              <w:t>0.073</w:t>
            </w:r>
            <w:r>
              <w:rPr>
                <w:rFonts w:ascii="Times New Roman" w:hAnsi="Times New Roman" w:eastAsia="Times New Roman"/>
                <w:sz w:val="14"/>
              </w:rPr>
              <w:t>; deciles in Table 10 and Figure 4</w:t>
            </w:r>
          </w:p>
        </w:tc>
      </w:tr>
      <w:tr>
        <w:tc>
          <w:tcPr>
            <w:tcW w:type="dxa" w:w="1928"/>
          </w:tcPr>
          <w:p>
            <w:pPr>
              <w:spacing w:after="0" w:before="0" w:line="240" w:lineRule="auto"/>
            </w:pPr>
            <w:r>
              <w:rPr>
                <w:sz w:val="14"/>
              </w:rPr>
            </w:r>
            <w:r>
              <w:rPr>
                <w:rFonts w:ascii="Times New Roman" w:hAnsi="Times New Roman" w:eastAsia="Times New Roman"/>
                <w:sz w:val="14"/>
              </w:rPr>
              <w:t>Score scale</w:t>
            </w:r>
          </w:p>
        </w:tc>
        <w:tc>
          <w:tcPr>
            <w:tcW w:type="dxa" w:w="6860"/>
          </w:tcPr>
          <w:p>
            <w:pPr>
              <w:spacing w:after="0" w:before="0" w:line="240" w:lineRule="auto"/>
            </w:pPr>
            <w:r>
              <w:rPr>
                <w:sz w:val="14"/>
              </w:rPr>
            </w:r>
            <w:r>
              <w:rPr>
                <w:rFonts w:ascii="Times New Roman" w:hAnsi="Times New Roman" w:eastAsia="Times New Roman"/>
                <w:sz w:val="14"/>
              </w:rPr>
              <w:t>300 to 900, with base score 620 at base odds 15 and 80 points per doubling of odds</w:t>
            </w:r>
          </w:p>
        </w:tc>
      </w:tr>
      <w:tr>
        <w:tc>
          <w:tcPr>
            <w:tcW w:type="dxa" w:w="1928"/>
          </w:tcPr>
          <w:p>
            <w:pPr>
              <w:spacing w:after="0" w:before="0" w:line="240" w:lineRule="auto"/>
            </w:pPr>
            <w:r>
              <w:rPr>
                <w:sz w:val="14"/>
              </w:rPr>
            </w:r>
            <w:r>
              <w:rPr>
                <w:rFonts w:ascii="Times New Roman" w:hAnsi="Times New Roman" w:eastAsia="Times New Roman"/>
                <w:sz w:val="14"/>
              </w:rPr>
              <w:t>Tier cut-offs</w:t>
            </w:r>
          </w:p>
        </w:tc>
        <w:tc>
          <w:tcPr>
            <w:tcW w:type="dxa" w:w="6860"/>
          </w:tcPr>
          <w:p>
            <w:pPr>
              <w:spacing w:after="0" w:before="0" w:line="240" w:lineRule="auto"/>
            </w:pPr>
            <w:r>
              <w:rPr>
                <w:sz w:val="14"/>
              </w:rPr>
            </w:r>
            <w:r>
              <w:rPr>
                <w:rFonts w:ascii="Times New Roman" w:hAnsi="Times New Roman" w:eastAsia="Times New Roman"/>
                <w:sz w:val="14"/>
              </w:rPr>
              <w:t>T0 at 0 or above, T1 at 450, T2 at 600, T3 at 750, mirroring CreditRegistry</w:t>
            </w:r>
          </w:p>
        </w:tc>
      </w:tr>
      <w:tr>
        <w:tc>
          <w:tcPr>
            <w:tcW w:type="dxa" w:w="1928"/>
          </w:tcPr>
          <w:p>
            <w:pPr>
              <w:spacing w:after="0" w:before="0" w:line="240" w:lineRule="auto"/>
            </w:pPr>
            <w:r>
              <w:rPr>
                <w:sz w:val="14"/>
              </w:rPr>
            </w:r>
            <w:r>
              <w:rPr>
                <w:rFonts w:ascii="Times New Roman" w:hAnsi="Times New Roman" w:eastAsia="Times New Roman"/>
                <w:sz w:val="14"/>
              </w:rPr>
              <w:t>On-chain footprint</w:t>
            </w:r>
          </w:p>
        </w:tc>
        <w:tc>
          <w:tcPr>
            <w:tcW w:type="dxa" w:w="6860"/>
          </w:tcPr>
          <w:p>
            <w:pPr>
              <w:spacing w:after="0" w:before="0" w:line="240" w:lineRule="auto"/>
            </w:pPr>
            <w:r>
              <w:rPr>
                <w:sz w:val="14"/>
              </w:rPr>
            </w:r>
            <w:r>
              <w:rPr>
                <w:rFonts w:ascii="Times New Roman" w:hAnsi="Times New Roman" w:eastAsia="Times New Roman"/>
                <w:sz w:val="14"/>
              </w:rPr>
              <w:t>Score, expiry, model hash and a nonce; never the inputs</w:t>
            </w:r>
          </w:p>
        </w:tc>
      </w:tr>
    </w:tbl>
    <w:p>
      <w:pPr>
        <w:spacing w:after="0" w:before="0"/>
      </w:pPr>
    </w:p>
    <w:p>
      <w:r>
        <w:rPr>
          <w:b/>
          <w:rFonts w:ascii="Times New Roman" w:hAnsi="Times New Roman" w:eastAsia="Times New Roman"/>
        </w:rPr>
        <w:t>Interpretation, stated honestly.</w:t>
      </w:r>
      <w:r>
        <w:rPr>
          <w:rFonts w:ascii="Times New Roman" w:hAnsi="Times New Roman" w:eastAsia="Times New Roman"/>
        </w:rPr>
        <w:t xml:space="preserve"> An AUC of 0.68 on synthetic data demonstrates that the pipeline works end to end: data generation, training, calibration, export, and byte-identical reproduction by the JavaScript scorer. It is not evidence of predictive power on real borrowers. The synthetic generator embeds a known risk process, so a model that recovers it is a correctness check on the code, not a credit result.</w:t>
      </w:r>
    </w:p>
    <w:p>
      <w:pPr>
        <w:pStyle w:val="Heading2"/>
      </w:pPr>
      <w:r>
        <w:t>4.1 Model inputs</w:t>
      </w:r>
    </w:p>
    <w:p>
      <w:pPr>
        <w:keepNext/>
        <w:spacing w:after="40" w:before="80"/>
      </w:pPr>
      <w:r>
        <w:rPr>
          <w:b/>
          <w:color w:val="1F4E79"/>
          <w:sz w:val="16"/>
        </w:rPr>
        <w:t>Table 9. The eight questionnaire inputs, with the ranges enforced server-side.</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397"/>
            <w:shd w:val="clear" w:color="auto" w:fill="1F4E79"/>
          </w:tcPr>
          <w:p>
            <w:pPr>
              <w:spacing w:after="0" w:line="240" w:lineRule="auto"/>
            </w:pPr>
            <w:r/>
            <w:r>
              <w:rPr>
                <w:b/>
                <w:color w:val="FFFFFF"/>
                <w:sz w:val="14"/>
                <w:rFonts w:ascii="Times New Roman" w:hAnsi="Times New Roman" w:eastAsia="Times New Roman"/>
              </w:rPr>
              <w:t>#</w:t>
            </w:r>
          </w:p>
        </w:tc>
        <w:tc>
          <w:tcPr>
            <w:tcW w:type="dxa" w:w="2551"/>
            <w:shd w:val="clear" w:color="auto" w:fill="1F4E79"/>
          </w:tcPr>
          <w:p>
            <w:pPr>
              <w:spacing w:after="0" w:line="240" w:lineRule="auto"/>
            </w:pPr>
            <w:r/>
            <w:r>
              <w:rPr>
                <w:b/>
                <w:color w:val="FFFFFF"/>
                <w:sz w:val="14"/>
                <w:rFonts w:ascii="Times New Roman" w:hAnsi="Times New Roman" w:eastAsia="Times New Roman"/>
              </w:rPr>
              <w:t>Input</w:t>
            </w:r>
          </w:p>
        </w:tc>
        <w:tc>
          <w:tcPr>
            <w:tcW w:type="dxa" w:w="3175"/>
            <w:shd w:val="clear" w:color="auto" w:fill="1F4E79"/>
          </w:tcPr>
          <w:p>
            <w:pPr>
              <w:spacing w:after="0" w:line="240" w:lineRule="auto"/>
            </w:pPr>
            <w:r/>
            <w:r>
              <w:rPr>
                <w:b/>
                <w:color w:val="FFFFFF"/>
                <w:sz w:val="14"/>
                <w:rFonts w:ascii="Times New Roman" w:hAnsi="Times New Roman" w:eastAsia="Times New Roman"/>
              </w:rPr>
              <w:t>Meaning</w:t>
            </w:r>
          </w:p>
        </w:tc>
        <w:tc>
          <w:tcPr>
            <w:tcW w:type="dxa" w:w="1247"/>
            <w:shd w:val="clear" w:color="auto" w:fill="1F4E79"/>
          </w:tcPr>
          <w:p>
            <w:pPr>
              <w:spacing w:after="0" w:line="240" w:lineRule="auto"/>
            </w:pPr>
            <w:r/>
            <w:r>
              <w:rPr>
                <w:b/>
                <w:color w:val="FFFFFF"/>
                <w:sz w:val="14"/>
                <w:rFonts w:ascii="Times New Roman" w:hAnsi="Times New Roman" w:eastAsia="Times New Roman"/>
              </w:rPr>
              <w:t>Range</w:t>
            </w:r>
          </w:p>
        </w:tc>
        <w:tc>
          <w:tcPr>
            <w:tcW w:type="dxa" w:w="1417"/>
            <w:shd w:val="clear" w:color="auto" w:fill="1F4E79"/>
          </w:tcPr>
          <w:p>
            <w:pPr>
              <w:spacing w:after="0" w:line="240" w:lineRule="auto"/>
            </w:pPr>
            <w:r/>
            <w:r>
              <w:rPr>
                <w:b/>
                <w:color w:val="FFFFFF"/>
                <w:sz w:val="14"/>
                <w:rFonts w:ascii="Times New Roman" w:hAnsi="Times New Roman" w:eastAsia="Times New Roman"/>
              </w:rPr>
              <w:t>Transform</w:t>
            </w:r>
          </w:p>
        </w:tc>
      </w:tr>
      <w:tr>
        <w:tc>
          <w:tcPr>
            <w:tcW w:type="dxa" w:w="397"/>
          </w:tcPr>
          <w:p>
            <w:pPr>
              <w:spacing w:after="0" w:before="0" w:line="240" w:lineRule="auto"/>
            </w:pPr>
            <w:r>
              <w:rPr>
                <w:sz w:val="14"/>
              </w:rPr>
            </w:r>
            <w:r>
              <w:rPr>
                <w:rFonts w:ascii="Times New Roman" w:hAnsi="Times New Roman" w:eastAsia="Times New Roman"/>
                <w:sz w:val="14"/>
              </w:rPr>
              <w:t>1</w:t>
            </w:r>
          </w:p>
        </w:tc>
        <w:tc>
          <w:tcPr>
            <w:tcW w:type="dxa" w:w="2551"/>
          </w:tcPr>
          <w:p>
            <w:pPr>
              <w:spacing w:after="0" w:before="0" w:line="240" w:lineRule="auto"/>
            </w:pPr>
            <w:r>
              <w:rPr>
                <w:sz w:val="14"/>
              </w:rPr>
            </w:r>
            <w:r>
              <w:rPr>
                <w:rFonts w:ascii="Times New Roman" w:hAnsi="Times New Roman" w:eastAsia="Times New Roman"/>
                <w:sz w:val="14"/>
              </w:rPr>
              <w:t>monthly_income_usd</w:t>
            </w:r>
          </w:p>
        </w:tc>
        <w:tc>
          <w:tcPr>
            <w:tcW w:type="dxa" w:w="3175"/>
          </w:tcPr>
          <w:p>
            <w:pPr>
              <w:spacing w:after="0" w:before="0" w:line="240" w:lineRule="auto"/>
            </w:pPr>
            <w:r>
              <w:rPr>
                <w:sz w:val="14"/>
              </w:rPr>
            </w:r>
            <w:r>
              <w:rPr>
                <w:rFonts w:ascii="Times New Roman" w:hAnsi="Times New Roman" w:eastAsia="Times New Roman"/>
                <w:sz w:val="14"/>
              </w:rPr>
              <w:t>Typical monthly income in USD</w:t>
            </w:r>
          </w:p>
        </w:tc>
        <w:tc>
          <w:tcPr>
            <w:tcW w:type="dxa" w:w="1247"/>
          </w:tcPr>
          <w:p>
            <w:pPr>
              <w:spacing w:after="0" w:before="0" w:line="240" w:lineRule="auto"/>
            </w:pPr>
            <w:r>
              <w:rPr>
                <w:sz w:val="14"/>
              </w:rPr>
            </w:r>
            <w:r>
              <w:rPr>
                <w:rFonts w:ascii="Times New Roman" w:hAnsi="Times New Roman" w:eastAsia="Times New Roman"/>
                <w:sz w:val="14"/>
              </w:rPr>
              <w:t>30 to 2000</w:t>
            </w:r>
          </w:p>
        </w:tc>
        <w:tc>
          <w:tcPr>
            <w:tcW w:type="dxa" w:w="1417"/>
          </w:tcPr>
          <w:p>
            <w:pPr>
              <w:spacing w:after="0" w:before="0" w:line="240" w:lineRule="auto"/>
            </w:pPr>
            <w:r>
              <w:rPr>
                <w:sz w:val="14"/>
              </w:rPr>
            </w:r>
            <w:r>
              <w:rPr>
                <w:rFonts w:ascii="Times New Roman" w:hAnsi="Times New Roman" w:eastAsia="Times New Roman"/>
                <w:sz w:val="14"/>
              </w:rPr>
              <w:t>log1p</w:t>
            </w:r>
          </w:p>
        </w:tc>
      </w:tr>
      <w:tr>
        <w:tc>
          <w:tcPr>
            <w:tcW w:type="dxa" w:w="397"/>
          </w:tcPr>
          <w:p>
            <w:pPr>
              <w:spacing w:after="0" w:before="0" w:line="240" w:lineRule="auto"/>
            </w:pPr>
            <w:r>
              <w:rPr>
                <w:sz w:val="14"/>
              </w:rPr>
            </w:r>
            <w:r>
              <w:rPr>
                <w:rFonts w:ascii="Times New Roman" w:hAnsi="Times New Roman" w:eastAsia="Times New Roman"/>
                <w:sz w:val="14"/>
              </w:rPr>
              <w:t>2</w:t>
            </w:r>
          </w:p>
        </w:tc>
        <w:tc>
          <w:tcPr>
            <w:tcW w:type="dxa" w:w="2551"/>
          </w:tcPr>
          <w:p>
            <w:pPr>
              <w:spacing w:after="0" w:before="0" w:line="240" w:lineRule="auto"/>
            </w:pPr>
            <w:r>
              <w:rPr>
                <w:sz w:val="14"/>
              </w:rPr>
            </w:r>
            <w:r>
              <w:rPr>
                <w:rFonts w:ascii="Times New Roman" w:hAnsi="Times New Roman" w:eastAsia="Times New Roman"/>
                <w:sz w:val="14"/>
              </w:rPr>
              <w:t>income_volatility</w:t>
            </w:r>
          </w:p>
        </w:tc>
        <w:tc>
          <w:tcPr>
            <w:tcW w:type="dxa" w:w="3175"/>
          </w:tcPr>
          <w:p>
            <w:pPr>
              <w:spacing w:after="0" w:before="0" w:line="240" w:lineRule="auto"/>
            </w:pPr>
            <w:r>
              <w:rPr>
                <w:sz w:val="14"/>
              </w:rPr>
            </w:r>
            <w:r>
              <w:rPr>
                <w:rFonts w:ascii="Times New Roman" w:hAnsi="Times New Roman" w:eastAsia="Times New Roman"/>
                <w:sz w:val="14"/>
              </w:rPr>
              <w:t>0 is very stable, 1 is very unstable</w:t>
            </w:r>
          </w:p>
        </w:tc>
        <w:tc>
          <w:tcPr>
            <w:tcW w:type="dxa" w:w="1247"/>
          </w:tcPr>
          <w:p>
            <w:pPr>
              <w:spacing w:after="0" w:before="0" w:line="240" w:lineRule="auto"/>
            </w:pPr>
            <w:r>
              <w:rPr>
                <w:sz w:val="14"/>
              </w:rPr>
            </w:r>
            <w:r>
              <w:rPr>
                <w:rFonts w:ascii="Times New Roman" w:hAnsi="Times New Roman" w:eastAsia="Times New Roman"/>
                <w:sz w:val="14"/>
              </w:rPr>
              <w:t>0 to 1</w:t>
            </w:r>
          </w:p>
        </w:tc>
        <w:tc>
          <w:tcPr>
            <w:tcW w:type="dxa" w:w="1417"/>
          </w:tcPr>
          <w:p>
            <w:pPr>
              <w:spacing w:after="0" w:before="0" w:line="240" w:lineRule="auto"/>
            </w:pPr>
            <w:r>
              <w:rPr>
                <w:sz w:val="14"/>
              </w:rPr>
            </w:r>
            <w:r>
              <w:rPr>
                <w:rFonts w:ascii="Times New Roman" w:hAnsi="Times New Roman" w:eastAsia="Times New Roman"/>
                <w:sz w:val="14"/>
              </w:rPr>
              <w:t>none</w:t>
            </w:r>
          </w:p>
        </w:tc>
      </w:tr>
      <w:tr>
        <w:tc>
          <w:tcPr>
            <w:tcW w:type="dxa" w:w="397"/>
          </w:tcPr>
          <w:p>
            <w:pPr>
              <w:spacing w:after="0" w:before="0" w:line="240" w:lineRule="auto"/>
            </w:pPr>
            <w:r>
              <w:rPr>
                <w:sz w:val="14"/>
              </w:rPr>
            </w:r>
            <w:r>
              <w:rPr>
                <w:rFonts w:ascii="Times New Roman" w:hAnsi="Times New Roman" w:eastAsia="Times New Roman"/>
                <w:sz w:val="14"/>
              </w:rPr>
              <w:t>3</w:t>
            </w:r>
          </w:p>
        </w:tc>
        <w:tc>
          <w:tcPr>
            <w:tcW w:type="dxa" w:w="2551"/>
          </w:tcPr>
          <w:p>
            <w:pPr>
              <w:spacing w:after="0" w:before="0" w:line="240" w:lineRule="auto"/>
            </w:pPr>
            <w:r>
              <w:rPr>
                <w:sz w:val="14"/>
              </w:rPr>
            </w:r>
            <w:r>
              <w:rPr>
                <w:rFonts w:ascii="Times New Roman" w:hAnsi="Times New Roman" w:eastAsia="Times New Roman"/>
                <w:sz w:val="14"/>
              </w:rPr>
              <w:t>years_in_occupation</w:t>
            </w:r>
          </w:p>
        </w:tc>
        <w:tc>
          <w:tcPr>
            <w:tcW w:type="dxa" w:w="3175"/>
          </w:tcPr>
          <w:p>
            <w:pPr>
              <w:spacing w:after="0" w:before="0" w:line="240" w:lineRule="auto"/>
            </w:pPr>
            <w:r>
              <w:rPr>
                <w:sz w:val="14"/>
              </w:rPr>
            </w:r>
            <w:r>
              <w:rPr>
                <w:rFonts w:ascii="Times New Roman" w:hAnsi="Times New Roman" w:eastAsia="Times New Roman"/>
                <w:sz w:val="14"/>
              </w:rPr>
              <w:t>Years in the current occupation</w:t>
            </w:r>
          </w:p>
        </w:tc>
        <w:tc>
          <w:tcPr>
            <w:tcW w:type="dxa" w:w="1247"/>
          </w:tcPr>
          <w:p>
            <w:pPr>
              <w:spacing w:after="0" w:before="0" w:line="240" w:lineRule="auto"/>
            </w:pPr>
            <w:r>
              <w:rPr>
                <w:sz w:val="14"/>
              </w:rPr>
            </w:r>
            <w:r>
              <w:rPr>
                <w:rFonts w:ascii="Times New Roman" w:hAnsi="Times New Roman" w:eastAsia="Times New Roman"/>
                <w:sz w:val="14"/>
              </w:rPr>
              <w:t>0 to 40</w:t>
            </w:r>
          </w:p>
        </w:tc>
        <w:tc>
          <w:tcPr>
            <w:tcW w:type="dxa" w:w="1417"/>
          </w:tcPr>
          <w:p>
            <w:pPr>
              <w:spacing w:after="0" w:before="0" w:line="240" w:lineRule="auto"/>
            </w:pPr>
            <w:r>
              <w:rPr>
                <w:sz w:val="14"/>
              </w:rPr>
            </w:r>
            <w:r>
              <w:rPr>
                <w:rFonts w:ascii="Times New Roman" w:hAnsi="Times New Roman" w:eastAsia="Times New Roman"/>
                <w:sz w:val="14"/>
              </w:rPr>
              <w:t>none</w:t>
            </w:r>
          </w:p>
        </w:tc>
      </w:tr>
      <w:tr>
        <w:tc>
          <w:tcPr>
            <w:tcW w:type="dxa" w:w="397"/>
          </w:tcPr>
          <w:p>
            <w:pPr>
              <w:spacing w:after="0" w:before="0" w:line="240" w:lineRule="auto"/>
            </w:pPr>
            <w:r>
              <w:rPr>
                <w:sz w:val="14"/>
              </w:rPr>
            </w:r>
            <w:r>
              <w:rPr>
                <w:rFonts w:ascii="Times New Roman" w:hAnsi="Times New Roman" w:eastAsia="Times New Roman"/>
                <w:sz w:val="14"/>
              </w:rPr>
              <w:t>4</w:t>
            </w:r>
          </w:p>
        </w:tc>
        <w:tc>
          <w:tcPr>
            <w:tcW w:type="dxa" w:w="2551"/>
          </w:tcPr>
          <w:p>
            <w:pPr>
              <w:spacing w:after="0" w:before="0" w:line="240" w:lineRule="auto"/>
            </w:pPr>
            <w:r>
              <w:rPr>
                <w:sz w:val="14"/>
              </w:rPr>
            </w:r>
            <w:r>
              <w:rPr>
                <w:rFonts w:ascii="Times New Roman" w:hAnsi="Times New Roman" w:eastAsia="Times New Roman"/>
                <w:sz w:val="14"/>
              </w:rPr>
              <w:t>mobile_money_txn_per_month</w:t>
            </w:r>
          </w:p>
        </w:tc>
        <w:tc>
          <w:tcPr>
            <w:tcW w:type="dxa" w:w="3175"/>
          </w:tcPr>
          <w:p>
            <w:pPr>
              <w:spacing w:after="0" w:before="0" w:line="240" w:lineRule="auto"/>
            </w:pPr>
            <w:r>
              <w:rPr>
                <w:sz w:val="14"/>
              </w:rPr>
            </w:r>
            <w:r>
              <w:rPr>
                <w:rFonts w:ascii="Times New Roman" w:hAnsi="Times New Roman" w:eastAsia="Times New Roman"/>
                <w:sz w:val="14"/>
              </w:rPr>
              <w:t>Digital-footprint proxy</w:t>
            </w:r>
          </w:p>
        </w:tc>
        <w:tc>
          <w:tcPr>
            <w:tcW w:type="dxa" w:w="1247"/>
          </w:tcPr>
          <w:p>
            <w:pPr>
              <w:spacing w:after="0" w:before="0" w:line="240" w:lineRule="auto"/>
            </w:pPr>
            <w:r>
              <w:rPr>
                <w:sz w:val="14"/>
              </w:rPr>
            </w:r>
            <w:r>
              <w:rPr>
                <w:rFonts w:ascii="Times New Roman" w:hAnsi="Times New Roman" w:eastAsia="Times New Roman"/>
                <w:sz w:val="14"/>
              </w:rPr>
              <w:t>0 to 200</w:t>
            </w:r>
          </w:p>
        </w:tc>
        <w:tc>
          <w:tcPr>
            <w:tcW w:type="dxa" w:w="1417"/>
          </w:tcPr>
          <w:p>
            <w:pPr>
              <w:spacing w:after="0" w:before="0" w:line="240" w:lineRule="auto"/>
            </w:pPr>
            <w:r>
              <w:rPr>
                <w:sz w:val="14"/>
              </w:rPr>
            </w:r>
            <w:r>
              <w:rPr>
                <w:rFonts w:ascii="Times New Roman" w:hAnsi="Times New Roman" w:eastAsia="Times New Roman"/>
                <w:sz w:val="14"/>
              </w:rPr>
              <w:t>log1p</w:t>
            </w:r>
          </w:p>
        </w:tc>
      </w:tr>
      <w:tr>
        <w:tc>
          <w:tcPr>
            <w:tcW w:type="dxa" w:w="397"/>
          </w:tcPr>
          <w:p>
            <w:pPr>
              <w:spacing w:after="0" w:before="0" w:line="240" w:lineRule="auto"/>
            </w:pPr>
            <w:r>
              <w:rPr>
                <w:sz w:val="14"/>
              </w:rPr>
            </w:r>
            <w:r>
              <w:rPr>
                <w:rFonts w:ascii="Times New Roman" w:hAnsi="Times New Roman" w:eastAsia="Times New Roman"/>
                <w:sz w:val="14"/>
              </w:rPr>
              <w:t>5</w:t>
            </w:r>
          </w:p>
        </w:tc>
        <w:tc>
          <w:tcPr>
            <w:tcW w:type="dxa" w:w="2551"/>
          </w:tcPr>
          <w:p>
            <w:pPr>
              <w:spacing w:after="0" w:before="0" w:line="240" w:lineRule="auto"/>
            </w:pPr>
            <w:r>
              <w:rPr>
                <w:sz w:val="14"/>
              </w:rPr>
            </w:r>
            <w:r>
              <w:rPr>
                <w:rFonts w:ascii="Times New Roman" w:hAnsi="Times New Roman" w:eastAsia="Times New Roman"/>
                <w:sz w:val="14"/>
              </w:rPr>
              <w:t>mobile_money_months_active</w:t>
            </w:r>
          </w:p>
        </w:tc>
        <w:tc>
          <w:tcPr>
            <w:tcW w:type="dxa" w:w="3175"/>
          </w:tcPr>
          <w:p>
            <w:pPr>
              <w:spacing w:after="0" w:before="0" w:line="240" w:lineRule="auto"/>
            </w:pPr>
            <w:r>
              <w:rPr>
                <w:sz w:val="14"/>
              </w:rPr>
            </w:r>
            <w:r>
              <w:rPr>
                <w:rFonts w:ascii="Times New Roman" w:hAnsi="Times New Roman" w:eastAsia="Times New Roman"/>
                <w:sz w:val="14"/>
              </w:rPr>
              <w:t>Age of the mobile-money account in months</w:t>
            </w:r>
          </w:p>
        </w:tc>
        <w:tc>
          <w:tcPr>
            <w:tcW w:type="dxa" w:w="1247"/>
          </w:tcPr>
          <w:p>
            <w:pPr>
              <w:spacing w:after="0" w:before="0" w:line="240" w:lineRule="auto"/>
            </w:pPr>
            <w:r>
              <w:rPr>
                <w:sz w:val="14"/>
              </w:rPr>
            </w:r>
            <w:r>
              <w:rPr>
                <w:rFonts w:ascii="Times New Roman" w:hAnsi="Times New Roman" w:eastAsia="Times New Roman"/>
                <w:sz w:val="14"/>
              </w:rPr>
              <w:t>0 to 60</w:t>
            </w:r>
          </w:p>
        </w:tc>
        <w:tc>
          <w:tcPr>
            <w:tcW w:type="dxa" w:w="1417"/>
          </w:tcPr>
          <w:p>
            <w:pPr>
              <w:spacing w:after="0" w:before="0" w:line="240" w:lineRule="auto"/>
            </w:pPr>
            <w:r>
              <w:rPr>
                <w:sz w:val="14"/>
              </w:rPr>
            </w:r>
            <w:r>
              <w:rPr>
                <w:rFonts w:ascii="Times New Roman" w:hAnsi="Times New Roman" w:eastAsia="Times New Roman"/>
                <w:sz w:val="14"/>
              </w:rPr>
              <w:t>none</w:t>
            </w:r>
          </w:p>
        </w:tc>
      </w:tr>
      <w:tr>
        <w:tc>
          <w:tcPr>
            <w:tcW w:type="dxa" w:w="397"/>
          </w:tcPr>
          <w:p>
            <w:pPr>
              <w:spacing w:after="0" w:before="0" w:line="240" w:lineRule="auto"/>
            </w:pPr>
            <w:r>
              <w:rPr>
                <w:sz w:val="14"/>
              </w:rPr>
            </w:r>
            <w:r>
              <w:rPr>
                <w:rFonts w:ascii="Times New Roman" w:hAnsi="Times New Roman" w:eastAsia="Times New Roman"/>
                <w:sz w:val="14"/>
              </w:rPr>
              <w:t>6</w:t>
            </w:r>
          </w:p>
        </w:tc>
        <w:tc>
          <w:tcPr>
            <w:tcW w:type="dxa" w:w="2551"/>
          </w:tcPr>
          <w:p>
            <w:pPr>
              <w:spacing w:after="0" w:before="0" w:line="240" w:lineRule="auto"/>
            </w:pPr>
            <w:r>
              <w:rPr>
                <w:sz w:val="14"/>
              </w:rPr>
            </w:r>
            <w:r>
              <w:rPr>
                <w:rFonts w:ascii="Times New Roman" w:hAnsi="Times New Roman" w:eastAsia="Times New Roman"/>
                <w:sz w:val="14"/>
              </w:rPr>
              <w:t>existing_debt_ratio</w:t>
            </w:r>
          </w:p>
        </w:tc>
        <w:tc>
          <w:tcPr>
            <w:tcW w:type="dxa" w:w="3175"/>
          </w:tcPr>
          <w:p>
            <w:pPr>
              <w:spacing w:after="0" w:before="0" w:line="240" w:lineRule="auto"/>
            </w:pPr>
            <w:r>
              <w:rPr>
                <w:sz w:val="14"/>
              </w:rPr>
            </w:r>
            <w:r>
              <w:rPr>
                <w:rFonts w:ascii="Times New Roman" w:hAnsi="Times New Roman" w:eastAsia="Times New Roman"/>
                <w:sz w:val="14"/>
              </w:rPr>
              <w:t>Existing debt payments divided by income</w:t>
            </w:r>
          </w:p>
        </w:tc>
        <w:tc>
          <w:tcPr>
            <w:tcW w:type="dxa" w:w="1247"/>
          </w:tcPr>
          <w:p>
            <w:pPr>
              <w:spacing w:after="0" w:before="0" w:line="240" w:lineRule="auto"/>
            </w:pPr>
            <w:r>
              <w:rPr>
                <w:sz w:val="14"/>
              </w:rPr>
            </w:r>
            <w:r>
              <w:rPr>
                <w:rFonts w:ascii="Times New Roman" w:hAnsi="Times New Roman" w:eastAsia="Times New Roman"/>
                <w:sz w:val="14"/>
              </w:rPr>
              <w:t>0 to 1.5</w:t>
            </w:r>
          </w:p>
        </w:tc>
        <w:tc>
          <w:tcPr>
            <w:tcW w:type="dxa" w:w="1417"/>
          </w:tcPr>
          <w:p>
            <w:pPr>
              <w:spacing w:after="0" w:before="0" w:line="240" w:lineRule="auto"/>
            </w:pPr>
            <w:r>
              <w:rPr>
                <w:sz w:val="14"/>
              </w:rPr>
            </w:r>
            <w:r>
              <w:rPr>
                <w:rFonts w:ascii="Times New Roman" w:hAnsi="Times New Roman" w:eastAsia="Times New Roman"/>
                <w:sz w:val="14"/>
              </w:rPr>
              <w:t>none</w:t>
            </w:r>
          </w:p>
        </w:tc>
      </w:tr>
      <w:tr>
        <w:tc>
          <w:tcPr>
            <w:tcW w:type="dxa" w:w="397"/>
          </w:tcPr>
          <w:p>
            <w:pPr>
              <w:spacing w:after="0" w:before="0" w:line="240" w:lineRule="auto"/>
            </w:pPr>
            <w:r>
              <w:rPr>
                <w:sz w:val="14"/>
              </w:rPr>
            </w:r>
            <w:r>
              <w:rPr>
                <w:rFonts w:ascii="Times New Roman" w:hAnsi="Times New Roman" w:eastAsia="Times New Roman"/>
                <w:sz w:val="14"/>
              </w:rPr>
              <w:t>7</w:t>
            </w:r>
          </w:p>
        </w:tc>
        <w:tc>
          <w:tcPr>
            <w:tcW w:type="dxa" w:w="2551"/>
          </w:tcPr>
          <w:p>
            <w:pPr>
              <w:spacing w:after="0" w:before="0" w:line="240" w:lineRule="auto"/>
            </w:pPr>
            <w:r>
              <w:rPr>
                <w:sz w:val="14"/>
              </w:rPr>
            </w:r>
            <w:r>
              <w:rPr>
                <w:rFonts w:ascii="Times New Roman" w:hAnsi="Times New Roman" w:eastAsia="Times New Roman"/>
                <w:sz w:val="14"/>
              </w:rPr>
              <w:t>household_size</w:t>
            </w:r>
          </w:p>
        </w:tc>
        <w:tc>
          <w:tcPr>
            <w:tcW w:type="dxa" w:w="3175"/>
          </w:tcPr>
          <w:p>
            <w:pPr>
              <w:spacing w:after="0" w:before="0" w:line="240" w:lineRule="auto"/>
            </w:pPr>
            <w:r>
              <w:rPr>
                <w:sz w:val="14"/>
              </w:rPr>
            </w:r>
            <w:r>
              <w:rPr>
                <w:rFonts w:ascii="Times New Roman" w:hAnsi="Times New Roman" w:eastAsia="Times New Roman"/>
                <w:sz w:val="14"/>
              </w:rPr>
              <w:t>People supported</w:t>
            </w:r>
          </w:p>
        </w:tc>
        <w:tc>
          <w:tcPr>
            <w:tcW w:type="dxa" w:w="1247"/>
          </w:tcPr>
          <w:p>
            <w:pPr>
              <w:spacing w:after="0" w:before="0" w:line="240" w:lineRule="auto"/>
            </w:pPr>
            <w:r>
              <w:rPr>
                <w:sz w:val="14"/>
              </w:rPr>
            </w:r>
            <w:r>
              <w:rPr>
                <w:rFonts w:ascii="Times New Roman" w:hAnsi="Times New Roman" w:eastAsia="Times New Roman"/>
                <w:sz w:val="14"/>
              </w:rPr>
              <w:t>1 to 12</w:t>
            </w:r>
          </w:p>
        </w:tc>
        <w:tc>
          <w:tcPr>
            <w:tcW w:type="dxa" w:w="1417"/>
          </w:tcPr>
          <w:p>
            <w:pPr>
              <w:spacing w:after="0" w:before="0" w:line="240" w:lineRule="auto"/>
            </w:pPr>
            <w:r>
              <w:rPr>
                <w:sz w:val="14"/>
              </w:rPr>
            </w:r>
            <w:r>
              <w:rPr>
                <w:rFonts w:ascii="Times New Roman" w:hAnsi="Times New Roman" w:eastAsia="Times New Roman"/>
                <w:sz w:val="14"/>
              </w:rPr>
              <w:t>none</w:t>
            </w:r>
          </w:p>
        </w:tc>
      </w:tr>
      <w:tr>
        <w:tc>
          <w:tcPr>
            <w:tcW w:type="dxa" w:w="397"/>
          </w:tcPr>
          <w:p>
            <w:pPr>
              <w:spacing w:after="0" w:before="0" w:line="240" w:lineRule="auto"/>
            </w:pPr>
            <w:r>
              <w:rPr>
                <w:sz w:val="14"/>
              </w:rPr>
            </w:r>
            <w:r>
              <w:rPr>
                <w:rFonts w:ascii="Times New Roman" w:hAnsi="Times New Roman" w:eastAsia="Times New Roman"/>
                <w:sz w:val="14"/>
              </w:rPr>
              <w:t>8</w:t>
            </w:r>
          </w:p>
        </w:tc>
        <w:tc>
          <w:tcPr>
            <w:tcW w:type="dxa" w:w="2551"/>
          </w:tcPr>
          <w:p>
            <w:pPr>
              <w:spacing w:after="0" w:before="0" w:line="240" w:lineRule="auto"/>
            </w:pPr>
            <w:r>
              <w:rPr>
                <w:sz w:val="14"/>
              </w:rPr>
            </w:r>
            <w:r>
              <w:rPr>
                <w:rFonts w:ascii="Times New Roman" w:hAnsi="Times New Roman" w:eastAsia="Times New Roman"/>
                <w:sz w:val="14"/>
              </w:rPr>
              <w:t>savings_group_member</w:t>
            </w:r>
          </w:p>
        </w:tc>
        <w:tc>
          <w:tcPr>
            <w:tcW w:type="dxa" w:w="3175"/>
          </w:tcPr>
          <w:p>
            <w:pPr>
              <w:spacing w:after="0" w:before="0" w:line="240" w:lineRule="auto"/>
            </w:pPr>
            <w:r>
              <w:rPr>
                <w:sz w:val="14"/>
              </w:rPr>
            </w:r>
            <w:r>
              <w:rPr>
                <w:rFonts w:ascii="Times New Roman" w:hAnsi="Times New Roman" w:eastAsia="Times New Roman"/>
                <w:sz w:val="14"/>
              </w:rPr>
              <w:t>Member of a savings or community group</w:t>
            </w:r>
          </w:p>
        </w:tc>
        <w:tc>
          <w:tcPr>
            <w:tcW w:type="dxa" w:w="1247"/>
          </w:tcPr>
          <w:p>
            <w:pPr>
              <w:spacing w:after="0" w:before="0" w:line="240" w:lineRule="auto"/>
            </w:pPr>
            <w:r>
              <w:rPr>
                <w:sz w:val="14"/>
              </w:rPr>
            </w:r>
            <w:r>
              <w:rPr>
                <w:rFonts w:ascii="Times New Roman" w:hAnsi="Times New Roman" w:eastAsia="Times New Roman"/>
                <w:sz w:val="14"/>
              </w:rPr>
              <w:t>0 or 1</w:t>
            </w:r>
          </w:p>
        </w:tc>
        <w:tc>
          <w:tcPr>
            <w:tcW w:type="dxa" w:w="1417"/>
          </w:tcPr>
          <w:p>
            <w:pPr>
              <w:spacing w:after="0" w:before="0" w:line="240" w:lineRule="auto"/>
            </w:pPr>
            <w:r>
              <w:rPr>
                <w:sz w:val="14"/>
              </w:rPr>
            </w:r>
            <w:r>
              <w:rPr>
                <w:rFonts w:ascii="Times New Roman" w:hAnsi="Times New Roman" w:eastAsia="Times New Roman"/>
                <w:sz w:val="14"/>
              </w:rPr>
              <w:t>none</w:t>
            </w:r>
          </w:p>
        </w:tc>
      </w:tr>
    </w:tbl>
    <w:p>
      <w:pPr>
        <w:spacing w:after="0" w:before="0"/>
      </w:pPr>
    </w:p>
    <w:p>
      <w:r>
        <w:rPr>
          <w:rFonts w:ascii="Times New Roman" w:hAnsi="Times New Roman" w:eastAsia="Times New Roman"/>
        </w:rPr>
        <w:t xml:space="preserve">Every input is </w:t>
      </w:r>
      <w:r>
        <w:rPr>
          <w:b/>
          <w:rFonts w:ascii="Times New Roman" w:hAnsi="Times New Roman" w:eastAsia="Times New Roman"/>
        </w:rPr>
        <w:t>self-reported</w:t>
      </w:r>
      <w:r>
        <w:rPr>
          <w:rFonts w:ascii="Times New Roman" w:hAnsi="Times New Roman" w:eastAsia="Times New Roman"/>
        </w:rPr>
        <w:t>, which is the model's single biggest weakness. The design mitigates rather than hides it: the score only sets the tier and never approves a loan; a human credit officer makes the lending decision; limits and collateral are deliberately small; and every scoring request is stored, so a pattern of misreporting is visible in the audit trail.</w:t>
      </w:r>
    </w:p>
    <w:p>
      <w:pPr>
        <w:pStyle w:val="Heading2"/>
      </w:pPr>
      <w:r>
        <w:t>4.2 Calibration, tier separation and fairness</w:t>
      </w:r>
    </w:p>
    <w:p>
      <w:pPr>
        <w:keepNext/>
        <w:spacing w:after="40" w:before="80"/>
      </w:pPr>
      <w:r>
        <w:rPr>
          <w:b/>
          <w:color w:val="1F4E79"/>
          <w:sz w:val="16"/>
        </w:rPr>
        <w:t>Table 10. Calibration deciles on the test set, grouped in pairs. Predicted and observed track each other across the whole range; the ungrouped deciles are plotted in Figure 4.</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545"/>
            <w:shd w:val="clear" w:color="auto" w:fill="1F4E79"/>
          </w:tcPr>
          <w:p>
            <w:pPr>
              <w:spacing w:after="0" w:line="240" w:lineRule="auto"/>
            </w:pPr>
            <w:r/>
            <w:r>
              <w:rPr>
                <w:b/>
                <w:color w:val="FFFFFF"/>
                <w:sz w:val="14"/>
                <w:rFonts w:ascii="Times New Roman" w:hAnsi="Times New Roman" w:eastAsia="Times New Roman"/>
              </w:rPr>
              <w:t>Deciles grouped</w:t>
            </w:r>
          </w:p>
        </w:tc>
        <w:tc>
          <w:tcPr>
            <w:tcW w:type="dxa" w:w="2303"/>
            <w:shd w:val="clear" w:color="auto" w:fill="1F4E79"/>
          </w:tcPr>
          <w:p>
            <w:pPr>
              <w:spacing w:after="0" w:line="240" w:lineRule="auto"/>
            </w:pPr>
            <w:r/>
            <w:r>
              <w:rPr>
                <w:b/>
                <w:color w:val="FFFFFF"/>
                <w:sz w:val="14"/>
                <w:rFonts w:ascii="Times New Roman" w:hAnsi="Times New Roman" w:eastAsia="Times New Roman"/>
              </w:rPr>
              <w:t>Mean predicted</w:t>
            </w:r>
          </w:p>
        </w:tc>
        <w:tc>
          <w:tcPr>
            <w:tcW w:type="dxa" w:w="2606"/>
            <w:shd w:val="clear" w:color="auto" w:fill="1F4E79"/>
          </w:tcPr>
          <w:p>
            <w:pPr>
              <w:spacing w:after="0" w:line="240" w:lineRule="auto"/>
            </w:pPr>
            <w:r/>
            <w:r>
              <w:rPr>
                <w:b/>
                <w:color w:val="FFFFFF"/>
                <w:sz w:val="14"/>
                <w:rFonts w:ascii="Times New Roman" w:hAnsi="Times New Roman" w:eastAsia="Times New Roman"/>
              </w:rPr>
              <w:t>Observed default rate</w:t>
            </w:r>
          </w:p>
        </w:tc>
        <w:tc>
          <w:tcPr>
            <w:tcW w:type="dxa" w:w="1333"/>
            <w:shd w:val="clear" w:color="auto" w:fill="1F4E79"/>
          </w:tcPr>
          <w:p>
            <w:pPr>
              <w:spacing w:after="0" w:line="240" w:lineRule="auto"/>
            </w:pPr>
            <w:r/>
            <w:r>
              <w:rPr>
                <w:b/>
                <w:color w:val="FFFFFF"/>
                <w:sz w:val="14"/>
                <w:rFonts w:ascii="Times New Roman" w:hAnsi="Times New Roman" w:eastAsia="Times New Roman"/>
              </w:rPr>
              <w:t>n</w:t>
            </w:r>
          </w:p>
        </w:tc>
      </w:tr>
      <w:tr>
        <w:tc>
          <w:tcPr>
            <w:tcW w:type="dxa" w:w="2545"/>
          </w:tcPr>
          <w:p>
            <w:pPr>
              <w:spacing w:after="0" w:before="0" w:line="240" w:lineRule="auto"/>
            </w:pPr>
            <w:r>
              <w:rPr>
                <w:sz w:val="14"/>
              </w:rPr>
            </w:r>
            <w:r>
              <w:rPr>
                <w:rFonts w:ascii="Times New Roman" w:hAnsi="Times New Roman" w:eastAsia="Times New Roman"/>
                <w:sz w:val="14"/>
              </w:rPr>
              <w:t>1 and 2 (lowest risk)</w:t>
            </w:r>
          </w:p>
        </w:tc>
        <w:tc>
          <w:tcPr>
            <w:tcW w:type="dxa" w:w="2303"/>
          </w:tcPr>
          <w:p>
            <w:pPr>
              <w:spacing w:after="0" w:before="0" w:line="240" w:lineRule="auto"/>
            </w:pPr>
            <w:r>
              <w:rPr>
                <w:sz w:val="14"/>
              </w:rPr>
            </w:r>
            <w:r>
              <w:rPr>
                <w:rFonts w:ascii="Times New Roman" w:hAnsi="Times New Roman" w:eastAsia="Times New Roman"/>
                <w:sz w:val="14"/>
              </w:rPr>
              <w:t>0.0286</w:t>
            </w:r>
          </w:p>
        </w:tc>
        <w:tc>
          <w:tcPr>
            <w:tcW w:type="dxa" w:w="2606"/>
          </w:tcPr>
          <w:p>
            <w:pPr>
              <w:spacing w:after="0" w:before="0" w:line="240" w:lineRule="auto"/>
            </w:pPr>
            <w:r>
              <w:rPr>
                <w:sz w:val="14"/>
              </w:rPr>
            </w:r>
            <w:r>
              <w:rPr>
                <w:rFonts w:ascii="Times New Roman" w:hAnsi="Times New Roman" w:eastAsia="Times New Roman"/>
                <w:sz w:val="14"/>
              </w:rPr>
              <w:t>0.0309</w:t>
            </w:r>
          </w:p>
        </w:tc>
        <w:tc>
          <w:tcPr>
            <w:tcW w:type="dxa" w:w="1333"/>
          </w:tcPr>
          <w:p>
            <w:pPr>
              <w:spacing w:after="0" w:before="0" w:line="240" w:lineRule="auto"/>
            </w:pPr>
            <w:r>
              <w:rPr>
                <w:sz w:val="14"/>
              </w:rPr>
            </w:r>
            <w:r>
              <w:rPr>
                <w:rFonts w:ascii="Times New Roman" w:hAnsi="Times New Roman" w:eastAsia="Times New Roman"/>
                <w:sz w:val="14"/>
              </w:rPr>
              <w:t>1,200</w:t>
            </w:r>
          </w:p>
        </w:tc>
      </w:tr>
      <w:tr>
        <w:tc>
          <w:tcPr>
            <w:tcW w:type="dxa" w:w="2545"/>
          </w:tcPr>
          <w:p>
            <w:pPr>
              <w:spacing w:after="0" w:before="0" w:line="240" w:lineRule="auto"/>
            </w:pPr>
            <w:r>
              <w:rPr>
                <w:sz w:val="14"/>
              </w:rPr>
            </w:r>
            <w:r>
              <w:rPr>
                <w:rFonts w:ascii="Times New Roman" w:hAnsi="Times New Roman" w:eastAsia="Times New Roman"/>
                <w:sz w:val="14"/>
              </w:rPr>
              <w:t>3 and 4</w:t>
            </w:r>
          </w:p>
        </w:tc>
        <w:tc>
          <w:tcPr>
            <w:tcW w:type="dxa" w:w="2303"/>
          </w:tcPr>
          <w:p>
            <w:pPr>
              <w:spacing w:after="0" w:before="0" w:line="240" w:lineRule="auto"/>
            </w:pPr>
            <w:r>
              <w:rPr>
                <w:sz w:val="14"/>
              </w:rPr>
            </w:r>
            <w:r>
              <w:rPr>
                <w:rFonts w:ascii="Times New Roman" w:hAnsi="Times New Roman" w:eastAsia="Times New Roman"/>
                <w:sz w:val="14"/>
              </w:rPr>
              <w:t>0.0487</w:t>
            </w:r>
          </w:p>
        </w:tc>
        <w:tc>
          <w:tcPr>
            <w:tcW w:type="dxa" w:w="2606"/>
          </w:tcPr>
          <w:p>
            <w:pPr>
              <w:spacing w:after="0" w:before="0" w:line="240" w:lineRule="auto"/>
            </w:pPr>
            <w:r>
              <w:rPr>
                <w:sz w:val="14"/>
              </w:rPr>
            </w:r>
            <w:r>
              <w:rPr>
                <w:rFonts w:ascii="Times New Roman" w:hAnsi="Times New Roman" w:eastAsia="Times New Roman"/>
                <w:sz w:val="14"/>
              </w:rPr>
              <w:t>0.0558</w:t>
            </w:r>
          </w:p>
        </w:tc>
        <w:tc>
          <w:tcPr>
            <w:tcW w:type="dxa" w:w="1333"/>
          </w:tcPr>
          <w:p>
            <w:pPr>
              <w:spacing w:after="0" w:before="0" w:line="240" w:lineRule="auto"/>
            </w:pPr>
            <w:r>
              <w:rPr>
                <w:sz w:val="14"/>
              </w:rPr>
            </w:r>
            <w:r>
              <w:rPr>
                <w:rFonts w:ascii="Times New Roman" w:hAnsi="Times New Roman" w:eastAsia="Times New Roman"/>
                <w:sz w:val="14"/>
              </w:rPr>
              <w:t>1,200</w:t>
            </w:r>
          </w:p>
        </w:tc>
      </w:tr>
      <w:tr>
        <w:tc>
          <w:tcPr>
            <w:tcW w:type="dxa" w:w="2545"/>
          </w:tcPr>
          <w:p>
            <w:pPr>
              <w:spacing w:after="0" w:before="0" w:line="240" w:lineRule="auto"/>
            </w:pPr>
            <w:r>
              <w:rPr>
                <w:sz w:val="14"/>
              </w:rPr>
            </w:r>
            <w:r>
              <w:rPr>
                <w:rFonts w:ascii="Times New Roman" w:hAnsi="Times New Roman" w:eastAsia="Times New Roman"/>
                <w:sz w:val="14"/>
              </w:rPr>
              <w:t>5 and 6</w:t>
            </w:r>
          </w:p>
        </w:tc>
        <w:tc>
          <w:tcPr>
            <w:tcW w:type="dxa" w:w="2303"/>
          </w:tcPr>
          <w:p>
            <w:pPr>
              <w:spacing w:after="0" w:before="0" w:line="240" w:lineRule="auto"/>
            </w:pPr>
            <w:r>
              <w:rPr>
                <w:sz w:val="14"/>
              </w:rPr>
            </w:r>
            <w:r>
              <w:rPr>
                <w:rFonts w:ascii="Times New Roman" w:hAnsi="Times New Roman" w:eastAsia="Times New Roman"/>
                <w:sz w:val="14"/>
              </w:rPr>
              <w:t>0.0687</w:t>
            </w:r>
          </w:p>
        </w:tc>
        <w:tc>
          <w:tcPr>
            <w:tcW w:type="dxa" w:w="2606"/>
          </w:tcPr>
          <w:p>
            <w:pPr>
              <w:spacing w:after="0" w:before="0" w:line="240" w:lineRule="auto"/>
            </w:pPr>
            <w:r>
              <w:rPr>
                <w:sz w:val="14"/>
              </w:rPr>
            </w:r>
            <w:r>
              <w:rPr>
                <w:rFonts w:ascii="Times New Roman" w:hAnsi="Times New Roman" w:eastAsia="Times New Roman"/>
                <w:sz w:val="14"/>
              </w:rPr>
              <w:t>0.0650</w:t>
            </w:r>
          </w:p>
        </w:tc>
        <w:tc>
          <w:tcPr>
            <w:tcW w:type="dxa" w:w="1333"/>
          </w:tcPr>
          <w:p>
            <w:pPr>
              <w:spacing w:after="0" w:before="0" w:line="240" w:lineRule="auto"/>
            </w:pPr>
            <w:r>
              <w:rPr>
                <w:sz w:val="14"/>
              </w:rPr>
            </w:r>
            <w:r>
              <w:rPr>
                <w:rFonts w:ascii="Times New Roman" w:hAnsi="Times New Roman" w:eastAsia="Times New Roman"/>
                <w:sz w:val="14"/>
              </w:rPr>
              <w:t>1,200</w:t>
            </w:r>
          </w:p>
        </w:tc>
      </w:tr>
      <w:tr>
        <w:tc>
          <w:tcPr>
            <w:tcW w:type="dxa" w:w="2545"/>
          </w:tcPr>
          <w:p>
            <w:pPr>
              <w:spacing w:after="0" w:before="0" w:line="240" w:lineRule="auto"/>
            </w:pPr>
            <w:r>
              <w:rPr>
                <w:sz w:val="14"/>
              </w:rPr>
            </w:r>
            <w:r>
              <w:rPr>
                <w:rFonts w:ascii="Times New Roman" w:hAnsi="Times New Roman" w:eastAsia="Times New Roman"/>
                <w:sz w:val="14"/>
              </w:rPr>
              <w:t>7 and 8</w:t>
            </w:r>
          </w:p>
        </w:tc>
        <w:tc>
          <w:tcPr>
            <w:tcW w:type="dxa" w:w="2303"/>
          </w:tcPr>
          <w:p>
            <w:pPr>
              <w:spacing w:after="0" w:before="0" w:line="240" w:lineRule="auto"/>
            </w:pPr>
            <w:r>
              <w:rPr>
                <w:sz w:val="14"/>
              </w:rPr>
            </w:r>
            <w:r>
              <w:rPr>
                <w:rFonts w:ascii="Times New Roman" w:hAnsi="Times New Roman" w:eastAsia="Times New Roman"/>
                <w:sz w:val="14"/>
              </w:rPr>
              <w:t>0.0978</w:t>
            </w:r>
          </w:p>
        </w:tc>
        <w:tc>
          <w:tcPr>
            <w:tcW w:type="dxa" w:w="2606"/>
          </w:tcPr>
          <w:p>
            <w:pPr>
              <w:spacing w:after="0" w:before="0" w:line="240" w:lineRule="auto"/>
            </w:pPr>
            <w:r>
              <w:rPr>
                <w:sz w:val="14"/>
              </w:rPr>
            </w:r>
            <w:r>
              <w:rPr>
                <w:rFonts w:ascii="Times New Roman" w:hAnsi="Times New Roman" w:eastAsia="Times New Roman"/>
                <w:sz w:val="14"/>
              </w:rPr>
              <w:t>0.0992</w:t>
            </w:r>
          </w:p>
        </w:tc>
        <w:tc>
          <w:tcPr>
            <w:tcW w:type="dxa" w:w="1333"/>
          </w:tcPr>
          <w:p>
            <w:pPr>
              <w:spacing w:after="0" w:before="0" w:line="240" w:lineRule="auto"/>
            </w:pPr>
            <w:r>
              <w:rPr>
                <w:sz w:val="14"/>
              </w:rPr>
            </w:r>
            <w:r>
              <w:rPr>
                <w:rFonts w:ascii="Times New Roman" w:hAnsi="Times New Roman" w:eastAsia="Times New Roman"/>
                <w:sz w:val="14"/>
              </w:rPr>
              <w:t>1,200</w:t>
            </w:r>
          </w:p>
        </w:tc>
      </w:tr>
      <w:tr>
        <w:tc>
          <w:tcPr>
            <w:tcW w:type="dxa" w:w="2545"/>
          </w:tcPr>
          <w:p>
            <w:pPr>
              <w:spacing w:after="0" w:before="0" w:line="240" w:lineRule="auto"/>
            </w:pPr>
            <w:r>
              <w:rPr>
                <w:sz w:val="14"/>
              </w:rPr>
            </w:r>
            <w:r>
              <w:rPr>
                <w:rFonts w:ascii="Times New Roman" w:hAnsi="Times New Roman" w:eastAsia="Times New Roman"/>
                <w:sz w:val="14"/>
              </w:rPr>
              <w:t>9 and 10 (highest risk)</w:t>
            </w:r>
          </w:p>
        </w:tc>
        <w:tc>
          <w:tcPr>
            <w:tcW w:type="dxa" w:w="2303"/>
          </w:tcPr>
          <w:p>
            <w:pPr>
              <w:spacing w:after="0" w:before="0" w:line="240" w:lineRule="auto"/>
            </w:pPr>
            <w:r>
              <w:rPr>
                <w:sz w:val="14"/>
              </w:rPr>
            </w:r>
            <w:r>
              <w:rPr>
                <w:rFonts w:ascii="Times New Roman" w:hAnsi="Times New Roman" w:eastAsia="Times New Roman"/>
                <w:sz w:val="14"/>
              </w:rPr>
              <w:t>0.1690</w:t>
            </w:r>
          </w:p>
        </w:tc>
        <w:tc>
          <w:tcPr>
            <w:tcW w:type="dxa" w:w="2606"/>
          </w:tcPr>
          <w:p>
            <w:pPr>
              <w:spacing w:after="0" w:before="0" w:line="240" w:lineRule="auto"/>
            </w:pPr>
            <w:r>
              <w:rPr>
                <w:sz w:val="14"/>
              </w:rPr>
            </w:r>
            <w:r>
              <w:rPr>
                <w:rFonts w:ascii="Times New Roman" w:hAnsi="Times New Roman" w:eastAsia="Times New Roman"/>
                <w:sz w:val="14"/>
              </w:rPr>
              <w:t>0.1650</w:t>
            </w:r>
          </w:p>
        </w:tc>
        <w:tc>
          <w:tcPr>
            <w:tcW w:type="dxa" w:w="1333"/>
          </w:tcPr>
          <w:p>
            <w:pPr>
              <w:spacing w:after="0" w:before="0" w:line="240" w:lineRule="auto"/>
            </w:pPr>
            <w:r>
              <w:rPr>
                <w:sz w:val="14"/>
              </w:rPr>
            </w:r>
            <w:r>
              <w:rPr>
                <w:rFonts w:ascii="Times New Roman" w:hAnsi="Times New Roman" w:eastAsia="Times New Roman"/>
                <w:sz w:val="14"/>
              </w:rPr>
              <w:t>1,200</w:t>
            </w:r>
          </w:p>
        </w:tc>
      </w:tr>
    </w:tbl>
    <w:p>
      <w:pPr>
        <w:spacing w:after="0" w:before="0"/>
      </w:pPr>
    </w:p>
    <w:p>
      <w:pPr>
        <w:keepNext/>
        <w:spacing w:after="40" w:before="80"/>
      </w:pPr>
      <w:r>
        <w:rPr>
          <w:b/>
          <w:color w:val="1F4E79"/>
          <w:sz w:val="16"/>
        </w:rPr>
        <w:t>Table 11. Risk tiers and the observed default rate of each tier on the held-out test set. The monotonic ordering is the evidence that tiering carries information.</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417"/>
            <w:shd w:val="clear" w:color="auto" w:fill="1F4E79"/>
          </w:tcPr>
          <w:p>
            <w:pPr>
              <w:spacing w:after="0" w:line="240" w:lineRule="auto"/>
            </w:pPr>
            <w:r/>
            <w:r>
              <w:rPr>
                <w:b/>
                <w:color w:val="FFFFFF"/>
                <w:sz w:val="14"/>
                <w:rFonts w:ascii="Times New Roman" w:hAnsi="Times New Roman" w:eastAsia="Times New Roman"/>
              </w:rPr>
              <w:t>Tier</w:t>
            </w:r>
          </w:p>
        </w:tc>
        <w:tc>
          <w:tcPr>
            <w:tcW w:type="dxa" w:w="1247"/>
            <w:shd w:val="clear" w:color="auto" w:fill="1F4E79"/>
          </w:tcPr>
          <w:p>
            <w:pPr>
              <w:spacing w:after="0" w:line="240" w:lineRule="auto"/>
            </w:pPr>
            <w:r/>
            <w:r>
              <w:rPr>
                <w:b/>
                <w:color w:val="FFFFFF"/>
                <w:sz w:val="14"/>
                <w:rFonts w:ascii="Times New Roman" w:hAnsi="Times New Roman" w:eastAsia="Times New Roman"/>
              </w:rPr>
              <w:t>Minimum score</w:t>
            </w:r>
          </w:p>
        </w:tc>
        <w:tc>
          <w:tcPr>
            <w:tcW w:type="dxa" w:w="1247"/>
            <w:shd w:val="clear" w:color="auto" w:fill="1F4E79"/>
          </w:tcPr>
          <w:p>
            <w:pPr>
              <w:spacing w:after="0" w:line="240" w:lineRule="auto"/>
            </w:pPr>
            <w:r/>
            <w:r>
              <w:rPr>
                <w:b/>
                <w:color w:val="FFFFFF"/>
                <w:sz w:val="14"/>
                <w:rFonts w:ascii="Times New Roman" w:hAnsi="Times New Roman" w:eastAsia="Times New Roman"/>
              </w:rPr>
              <w:t>Limit (mUSDC)</w:t>
            </w:r>
          </w:p>
        </w:tc>
        <w:tc>
          <w:tcPr>
            <w:tcW w:type="dxa" w:w="964"/>
            <w:shd w:val="clear" w:color="auto" w:fill="1F4E79"/>
          </w:tcPr>
          <w:p>
            <w:pPr>
              <w:spacing w:after="0" w:line="240" w:lineRule="auto"/>
            </w:pPr>
            <w:r/>
            <w:r>
              <w:rPr>
                <w:b/>
                <w:color w:val="FFFFFF"/>
                <w:sz w:val="14"/>
                <w:rFonts w:ascii="Times New Roman" w:hAnsi="Times New Roman" w:eastAsia="Times New Roman"/>
              </w:rPr>
              <w:t>APR</w:t>
            </w:r>
          </w:p>
        </w:tc>
        <w:tc>
          <w:tcPr>
            <w:tcW w:type="dxa" w:w="1077"/>
            <w:shd w:val="clear" w:color="auto" w:fill="1F4E79"/>
          </w:tcPr>
          <w:p>
            <w:pPr>
              <w:spacing w:after="0" w:line="240" w:lineRule="auto"/>
            </w:pPr>
            <w:r/>
            <w:r>
              <w:rPr>
                <w:b/>
                <w:color w:val="FFFFFF"/>
                <w:sz w:val="14"/>
                <w:rFonts w:ascii="Times New Roman" w:hAnsi="Times New Roman" w:eastAsia="Times New Roman"/>
              </w:rPr>
              <w:t>Collateral</w:t>
            </w:r>
          </w:p>
        </w:tc>
        <w:tc>
          <w:tcPr>
            <w:tcW w:type="dxa" w:w="1247"/>
            <w:shd w:val="clear" w:color="auto" w:fill="1F4E79"/>
          </w:tcPr>
          <w:p>
            <w:pPr>
              <w:spacing w:after="0" w:line="240" w:lineRule="auto"/>
            </w:pPr>
            <w:r/>
            <w:r>
              <w:rPr>
                <w:b/>
                <w:color w:val="FFFFFF"/>
                <w:sz w:val="14"/>
                <w:rFonts w:ascii="Times New Roman" w:hAnsi="Times New Roman" w:eastAsia="Times New Roman"/>
              </w:rPr>
              <w:t>Share of test set</w:t>
            </w:r>
          </w:p>
        </w:tc>
        <w:tc>
          <w:tcPr>
            <w:tcW w:type="dxa" w:w="1587"/>
            <w:shd w:val="clear" w:color="auto" w:fill="1F4E79"/>
          </w:tcPr>
          <w:p>
            <w:pPr>
              <w:spacing w:after="0" w:line="240" w:lineRule="auto"/>
            </w:pPr>
            <w:r/>
            <w:r>
              <w:rPr>
                <w:b/>
                <w:color w:val="FFFFFF"/>
                <w:sz w:val="14"/>
                <w:rFonts w:ascii="Times New Roman" w:hAnsi="Times New Roman" w:eastAsia="Times New Roman"/>
              </w:rPr>
              <w:t>Observed default rate</w:t>
            </w:r>
          </w:p>
        </w:tc>
      </w:tr>
      <w:tr>
        <w:tc>
          <w:tcPr>
            <w:tcW w:type="dxa" w:w="1417"/>
          </w:tcPr>
          <w:p>
            <w:pPr>
              <w:spacing w:after="0" w:before="0" w:line="240" w:lineRule="auto"/>
            </w:pPr>
            <w:r>
              <w:rPr>
                <w:sz w:val="14"/>
              </w:rPr>
            </w:r>
            <w:r>
              <w:rPr>
                <w:rFonts w:ascii="Times New Roman" w:hAnsi="Times New Roman" w:eastAsia="Times New Roman"/>
                <w:sz w:val="14"/>
              </w:rPr>
              <w:t>T0 Starter</w:t>
            </w:r>
          </w:p>
        </w:tc>
        <w:tc>
          <w:tcPr>
            <w:tcW w:type="dxa" w:w="1247"/>
          </w:tcPr>
          <w:p>
            <w:pPr>
              <w:spacing w:after="0" w:before="0" w:line="240" w:lineRule="auto"/>
            </w:pPr>
            <w:r>
              <w:rPr>
                <w:sz w:val="14"/>
              </w:rPr>
            </w:r>
            <w:r>
              <w:rPr>
                <w:rFonts w:ascii="Times New Roman" w:hAnsi="Times New Roman" w:eastAsia="Times New Roman"/>
                <w:sz w:val="14"/>
              </w:rPr>
              <w:t>0</w:t>
            </w:r>
          </w:p>
        </w:tc>
        <w:tc>
          <w:tcPr>
            <w:tcW w:type="dxa" w:w="1247"/>
          </w:tcPr>
          <w:p>
            <w:pPr>
              <w:spacing w:after="0" w:before="0" w:line="240" w:lineRule="auto"/>
            </w:pPr>
            <w:r>
              <w:rPr>
                <w:sz w:val="14"/>
              </w:rPr>
            </w:r>
            <w:r>
              <w:rPr>
                <w:rFonts w:ascii="Times New Roman" w:hAnsi="Times New Roman" w:eastAsia="Times New Roman"/>
                <w:sz w:val="14"/>
              </w:rPr>
              <w:t>100</w:t>
            </w:r>
          </w:p>
        </w:tc>
        <w:tc>
          <w:tcPr>
            <w:tcW w:type="dxa" w:w="964"/>
          </w:tcPr>
          <w:p>
            <w:pPr>
              <w:spacing w:after="0" w:before="0" w:line="240" w:lineRule="auto"/>
            </w:pPr>
            <w:r>
              <w:rPr>
                <w:sz w:val="14"/>
              </w:rPr>
            </w:r>
            <w:r>
              <w:rPr>
                <w:rFonts w:ascii="Times New Roman" w:hAnsi="Times New Roman" w:eastAsia="Times New Roman"/>
                <w:sz w:val="14"/>
              </w:rPr>
              <w:t>24%</w:t>
            </w:r>
          </w:p>
        </w:tc>
        <w:tc>
          <w:tcPr>
            <w:tcW w:type="dxa" w:w="1077"/>
          </w:tcPr>
          <w:p>
            <w:pPr>
              <w:spacing w:after="0" w:before="0" w:line="240" w:lineRule="auto"/>
            </w:pPr>
            <w:r>
              <w:rPr>
                <w:sz w:val="14"/>
              </w:rPr>
            </w:r>
            <w:r>
              <w:rPr>
                <w:rFonts w:ascii="Times New Roman" w:hAnsi="Times New Roman" w:eastAsia="Times New Roman"/>
                <w:sz w:val="14"/>
              </w:rPr>
              <w:t>20%</w:t>
            </w:r>
          </w:p>
        </w:tc>
        <w:tc>
          <w:tcPr>
            <w:tcW w:type="dxa" w:w="1247"/>
          </w:tcPr>
          <w:p>
            <w:pPr>
              <w:spacing w:after="0" w:before="0" w:line="240" w:lineRule="auto"/>
            </w:pPr>
            <w:r>
              <w:rPr>
                <w:sz w:val="14"/>
              </w:rPr>
            </w:r>
            <w:r>
              <w:rPr>
                <w:rFonts w:ascii="Times New Roman" w:hAnsi="Times New Roman" w:eastAsia="Times New Roman"/>
                <w:sz w:val="14"/>
              </w:rPr>
              <w:t>2.47%</w:t>
            </w:r>
          </w:p>
        </w:tc>
        <w:tc>
          <w:tcPr>
            <w:tcW w:type="dxa" w:w="1587"/>
          </w:tcPr>
          <w:p>
            <w:pPr>
              <w:spacing w:after="0" w:before="0" w:line="240" w:lineRule="auto"/>
            </w:pPr>
            <w:r>
              <w:rPr>
                <w:sz w:val="14"/>
              </w:rPr>
            </w:r>
            <w:r>
              <w:rPr>
                <w:rFonts w:ascii="Times New Roman" w:hAnsi="Times New Roman" w:eastAsia="Times New Roman"/>
                <w:sz w:val="14"/>
              </w:rPr>
              <w:t>31.76%</w:t>
            </w:r>
          </w:p>
        </w:tc>
      </w:tr>
      <w:tr>
        <w:tc>
          <w:tcPr>
            <w:tcW w:type="dxa" w:w="1417"/>
          </w:tcPr>
          <w:p>
            <w:pPr>
              <w:spacing w:after="0" w:before="0" w:line="240" w:lineRule="auto"/>
            </w:pPr>
            <w:r>
              <w:rPr>
                <w:sz w:val="14"/>
              </w:rPr>
            </w:r>
            <w:r>
              <w:rPr>
                <w:rFonts w:ascii="Times New Roman" w:hAnsi="Times New Roman" w:eastAsia="Times New Roman"/>
                <w:sz w:val="14"/>
              </w:rPr>
              <w:t>T1 Builder</w:t>
            </w:r>
          </w:p>
        </w:tc>
        <w:tc>
          <w:tcPr>
            <w:tcW w:type="dxa" w:w="1247"/>
          </w:tcPr>
          <w:p>
            <w:pPr>
              <w:spacing w:after="0" w:before="0" w:line="240" w:lineRule="auto"/>
            </w:pPr>
            <w:r>
              <w:rPr>
                <w:sz w:val="14"/>
              </w:rPr>
            </w:r>
            <w:r>
              <w:rPr>
                <w:rFonts w:ascii="Times New Roman" w:hAnsi="Times New Roman" w:eastAsia="Times New Roman"/>
                <w:sz w:val="14"/>
              </w:rPr>
              <w:t>450</w:t>
            </w:r>
          </w:p>
        </w:tc>
        <w:tc>
          <w:tcPr>
            <w:tcW w:type="dxa" w:w="1247"/>
          </w:tcPr>
          <w:p>
            <w:pPr>
              <w:spacing w:after="0" w:before="0" w:line="240" w:lineRule="auto"/>
            </w:pPr>
            <w:r>
              <w:rPr>
                <w:sz w:val="14"/>
              </w:rPr>
            </w:r>
            <w:r>
              <w:rPr>
                <w:rFonts w:ascii="Times New Roman" w:hAnsi="Times New Roman" w:eastAsia="Times New Roman"/>
                <w:sz w:val="14"/>
              </w:rPr>
              <w:t>300</w:t>
            </w:r>
          </w:p>
        </w:tc>
        <w:tc>
          <w:tcPr>
            <w:tcW w:type="dxa" w:w="964"/>
          </w:tcPr>
          <w:p>
            <w:pPr>
              <w:spacing w:after="0" w:before="0" w:line="240" w:lineRule="auto"/>
            </w:pPr>
            <w:r>
              <w:rPr>
                <w:sz w:val="14"/>
              </w:rPr>
            </w:r>
            <w:r>
              <w:rPr>
                <w:rFonts w:ascii="Times New Roman" w:hAnsi="Times New Roman" w:eastAsia="Times New Roman"/>
                <w:sz w:val="14"/>
              </w:rPr>
              <w:t>20%</w:t>
            </w:r>
          </w:p>
        </w:tc>
        <w:tc>
          <w:tcPr>
            <w:tcW w:type="dxa" w:w="1077"/>
          </w:tcPr>
          <w:p>
            <w:pPr>
              <w:spacing w:after="0" w:before="0" w:line="240" w:lineRule="auto"/>
            </w:pPr>
            <w:r>
              <w:rPr>
                <w:sz w:val="14"/>
              </w:rPr>
            </w:r>
            <w:r>
              <w:rPr>
                <w:rFonts w:ascii="Times New Roman" w:hAnsi="Times New Roman" w:eastAsia="Times New Roman"/>
                <w:sz w:val="14"/>
              </w:rPr>
              <w:t>10%</w:t>
            </w:r>
          </w:p>
        </w:tc>
        <w:tc>
          <w:tcPr>
            <w:tcW w:type="dxa" w:w="1247"/>
          </w:tcPr>
          <w:p>
            <w:pPr>
              <w:spacing w:after="0" w:before="0" w:line="240" w:lineRule="auto"/>
            </w:pPr>
            <w:r>
              <w:rPr>
                <w:sz w:val="14"/>
              </w:rPr>
            </w:r>
            <w:r>
              <w:rPr>
                <w:rFonts w:ascii="Times New Roman" w:hAnsi="Times New Roman" w:eastAsia="Times New Roman"/>
                <w:sz w:val="14"/>
              </w:rPr>
              <w:t>43.25%</w:t>
            </w:r>
          </w:p>
        </w:tc>
        <w:tc>
          <w:tcPr>
            <w:tcW w:type="dxa" w:w="1587"/>
          </w:tcPr>
          <w:p>
            <w:pPr>
              <w:spacing w:after="0" w:before="0" w:line="240" w:lineRule="auto"/>
            </w:pPr>
            <w:r>
              <w:rPr>
                <w:sz w:val="14"/>
              </w:rPr>
            </w:r>
            <w:r>
              <w:rPr>
                <w:rFonts w:ascii="Times New Roman" w:hAnsi="Times New Roman" w:eastAsia="Times New Roman"/>
                <w:sz w:val="14"/>
              </w:rPr>
              <w:t>11.56%</w:t>
            </w:r>
          </w:p>
        </w:tc>
      </w:tr>
      <w:tr>
        <w:tc>
          <w:tcPr>
            <w:tcW w:type="dxa" w:w="1417"/>
          </w:tcPr>
          <w:p>
            <w:pPr>
              <w:spacing w:after="0" w:before="0" w:line="240" w:lineRule="auto"/>
            </w:pPr>
            <w:r>
              <w:rPr>
                <w:sz w:val="14"/>
              </w:rPr>
            </w:r>
            <w:r>
              <w:rPr>
                <w:rFonts w:ascii="Times New Roman" w:hAnsi="Times New Roman" w:eastAsia="Times New Roman"/>
                <w:sz w:val="14"/>
              </w:rPr>
              <w:t>T2 Established</w:t>
            </w:r>
          </w:p>
        </w:tc>
        <w:tc>
          <w:tcPr>
            <w:tcW w:type="dxa" w:w="1247"/>
          </w:tcPr>
          <w:p>
            <w:pPr>
              <w:spacing w:after="0" w:before="0" w:line="240" w:lineRule="auto"/>
            </w:pPr>
            <w:r>
              <w:rPr>
                <w:sz w:val="14"/>
              </w:rPr>
            </w:r>
            <w:r>
              <w:rPr>
                <w:rFonts w:ascii="Times New Roman" w:hAnsi="Times New Roman" w:eastAsia="Times New Roman"/>
                <w:sz w:val="14"/>
              </w:rPr>
              <w:t>600</w:t>
            </w:r>
          </w:p>
        </w:tc>
        <w:tc>
          <w:tcPr>
            <w:tcW w:type="dxa" w:w="1247"/>
          </w:tcPr>
          <w:p>
            <w:pPr>
              <w:spacing w:after="0" w:before="0" w:line="240" w:lineRule="auto"/>
            </w:pPr>
            <w:r>
              <w:rPr>
                <w:sz w:val="14"/>
              </w:rPr>
            </w:r>
            <w:r>
              <w:rPr>
                <w:rFonts w:ascii="Times New Roman" w:hAnsi="Times New Roman" w:eastAsia="Times New Roman"/>
                <w:sz w:val="14"/>
              </w:rPr>
              <w:t>800</w:t>
            </w:r>
          </w:p>
        </w:tc>
        <w:tc>
          <w:tcPr>
            <w:tcW w:type="dxa" w:w="964"/>
          </w:tcPr>
          <w:p>
            <w:pPr>
              <w:spacing w:after="0" w:before="0" w:line="240" w:lineRule="auto"/>
            </w:pPr>
            <w:r>
              <w:rPr>
                <w:sz w:val="14"/>
              </w:rPr>
            </w:r>
            <w:r>
              <w:rPr>
                <w:rFonts w:ascii="Times New Roman" w:hAnsi="Times New Roman" w:eastAsia="Times New Roman"/>
                <w:sz w:val="14"/>
              </w:rPr>
              <w:t>16%</w:t>
            </w:r>
          </w:p>
        </w:tc>
        <w:tc>
          <w:tcPr>
            <w:tcW w:type="dxa" w:w="1077"/>
          </w:tcPr>
          <w:p>
            <w:pPr>
              <w:spacing w:after="0" w:before="0" w:line="240" w:lineRule="auto"/>
            </w:pPr>
            <w:r>
              <w:rPr>
                <w:sz w:val="14"/>
              </w:rPr>
            </w:r>
            <w:r>
              <w:rPr>
                <w:rFonts w:ascii="Times New Roman" w:hAnsi="Times New Roman" w:eastAsia="Times New Roman"/>
                <w:sz w:val="14"/>
              </w:rPr>
              <w:t>5%</w:t>
            </w:r>
          </w:p>
        </w:tc>
        <w:tc>
          <w:tcPr>
            <w:tcW w:type="dxa" w:w="1247"/>
          </w:tcPr>
          <w:p>
            <w:pPr>
              <w:spacing w:after="0" w:before="0" w:line="240" w:lineRule="auto"/>
            </w:pPr>
            <w:r>
              <w:rPr>
                <w:sz w:val="14"/>
              </w:rPr>
            </w:r>
            <w:r>
              <w:rPr>
                <w:rFonts w:ascii="Times New Roman" w:hAnsi="Times New Roman" w:eastAsia="Times New Roman"/>
                <w:sz w:val="14"/>
              </w:rPr>
              <w:t>50.45%</w:t>
            </w:r>
          </w:p>
        </w:tc>
        <w:tc>
          <w:tcPr>
            <w:tcW w:type="dxa" w:w="1587"/>
          </w:tcPr>
          <w:p>
            <w:pPr>
              <w:spacing w:after="0" w:before="0" w:line="240" w:lineRule="auto"/>
            </w:pPr>
            <w:r>
              <w:rPr>
                <w:sz w:val="14"/>
              </w:rPr>
            </w:r>
            <w:r>
              <w:rPr>
                <w:rFonts w:ascii="Times New Roman" w:hAnsi="Times New Roman" w:eastAsia="Times New Roman"/>
                <w:sz w:val="14"/>
              </w:rPr>
              <w:t>4.96%</w:t>
            </w:r>
          </w:p>
        </w:tc>
      </w:tr>
      <w:tr>
        <w:tc>
          <w:tcPr>
            <w:tcW w:type="dxa" w:w="1417"/>
          </w:tcPr>
          <w:p>
            <w:pPr>
              <w:spacing w:after="0" w:before="0" w:line="240" w:lineRule="auto"/>
            </w:pPr>
            <w:r>
              <w:rPr>
                <w:sz w:val="14"/>
              </w:rPr>
            </w:r>
            <w:r>
              <w:rPr>
                <w:rFonts w:ascii="Times New Roman" w:hAnsi="Times New Roman" w:eastAsia="Times New Roman"/>
                <w:sz w:val="14"/>
              </w:rPr>
              <w:t>T3 Trusted</w:t>
            </w:r>
          </w:p>
        </w:tc>
        <w:tc>
          <w:tcPr>
            <w:tcW w:type="dxa" w:w="1247"/>
          </w:tcPr>
          <w:p>
            <w:pPr>
              <w:spacing w:after="0" w:before="0" w:line="240" w:lineRule="auto"/>
            </w:pPr>
            <w:r>
              <w:rPr>
                <w:sz w:val="14"/>
              </w:rPr>
            </w:r>
            <w:r>
              <w:rPr>
                <w:rFonts w:ascii="Times New Roman" w:hAnsi="Times New Roman" w:eastAsia="Times New Roman"/>
                <w:sz w:val="14"/>
              </w:rPr>
              <w:t>750</w:t>
            </w:r>
          </w:p>
        </w:tc>
        <w:tc>
          <w:tcPr>
            <w:tcW w:type="dxa" w:w="1247"/>
          </w:tcPr>
          <w:p>
            <w:pPr>
              <w:spacing w:after="0" w:before="0" w:line="240" w:lineRule="auto"/>
            </w:pPr>
            <w:r>
              <w:rPr>
                <w:sz w:val="14"/>
              </w:rPr>
            </w:r>
            <w:r>
              <w:rPr>
                <w:rFonts w:ascii="Times New Roman" w:hAnsi="Times New Roman" w:eastAsia="Times New Roman"/>
                <w:sz w:val="14"/>
              </w:rPr>
              <w:t>2000</w:t>
            </w:r>
          </w:p>
        </w:tc>
        <w:tc>
          <w:tcPr>
            <w:tcW w:type="dxa" w:w="964"/>
          </w:tcPr>
          <w:p>
            <w:pPr>
              <w:spacing w:after="0" w:before="0" w:line="240" w:lineRule="auto"/>
            </w:pPr>
            <w:r>
              <w:rPr>
                <w:sz w:val="14"/>
              </w:rPr>
            </w:r>
            <w:r>
              <w:rPr>
                <w:rFonts w:ascii="Times New Roman" w:hAnsi="Times New Roman" w:eastAsia="Times New Roman"/>
                <w:sz w:val="14"/>
              </w:rPr>
              <w:t>12%</w:t>
            </w:r>
          </w:p>
        </w:tc>
        <w:tc>
          <w:tcPr>
            <w:tcW w:type="dxa" w:w="1077"/>
          </w:tcPr>
          <w:p>
            <w:pPr>
              <w:spacing w:after="0" w:before="0" w:line="240" w:lineRule="auto"/>
            </w:pPr>
            <w:r>
              <w:rPr>
                <w:sz w:val="14"/>
              </w:rPr>
            </w:r>
            <w:r>
              <w:rPr>
                <w:rFonts w:ascii="Times New Roman" w:hAnsi="Times New Roman" w:eastAsia="Times New Roman"/>
                <w:sz w:val="14"/>
              </w:rPr>
              <w:t>none</w:t>
            </w:r>
          </w:p>
        </w:tc>
        <w:tc>
          <w:tcPr>
            <w:tcW w:type="dxa" w:w="1247"/>
          </w:tcPr>
          <w:p>
            <w:pPr>
              <w:spacing w:after="0" w:before="0" w:line="240" w:lineRule="auto"/>
            </w:pPr>
            <w:r>
              <w:rPr>
                <w:sz w:val="14"/>
              </w:rPr>
            </w:r>
            <w:r>
              <w:rPr>
                <w:rFonts w:ascii="Times New Roman" w:hAnsi="Times New Roman" w:eastAsia="Times New Roman"/>
                <w:sz w:val="14"/>
              </w:rPr>
              <w:t>3.83%</w:t>
            </w:r>
          </w:p>
        </w:tc>
        <w:tc>
          <w:tcPr>
            <w:tcW w:type="dxa" w:w="1587"/>
          </w:tcPr>
          <w:p>
            <w:pPr>
              <w:spacing w:after="0" w:before="0" w:line="240" w:lineRule="auto"/>
            </w:pPr>
            <w:r>
              <w:rPr>
                <w:sz w:val="14"/>
              </w:rPr>
            </w:r>
            <w:r>
              <w:rPr>
                <w:rFonts w:ascii="Times New Roman" w:hAnsi="Times New Roman" w:eastAsia="Times New Roman"/>
                <w:sz w:val="14"/>
              </w:rPr>
              <w:t>0.87%</w:t>
            </w:r>
          </w:p>
        </w:tc>
      </w:tr>
    </w:tbl>
    <w:p>
      <w:pPr>
        <w:spacing w:after="0" w:before="0"/>
      </w:pPr>
    </w:p>
    <w:p>
      <w:pPr>
        <w:keepNext/>
        <w:spacing w:after="40" w:before="80"/>
      </w:pPr>
      <w:r>
        <w:rPr>
          <w:b/>
          <w:color w:val="1F4E79"/>
          <w:sz w:val="16"/>
        </w:rPr>
        <w:t>Table 12. Fairness checks. Protected attributes are never model inputs; they are held back purely to measure the outcome. The rural and urban gap is small but real, and is discussed as a limitation in Section 11.</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814"/>
            <w:shd w:val="clear" w:color="auto" w:fill="1F4E79"/>
          </w:tcPr>
          <w:p>
            <w:pPr>
              <w:spacing w:after="0" w:line="240" w:lineRule="auto"/>
            </w:pPr>
            <w:r/>
            <w:r>
              <w:rPr>
                <w:b/>
                <w:color w:val="FFFFFF"/>
                <w:sz w:val="14"/>
                <w:rFonts w:ascii="Times New Roman" w:hAnsi="Times New Roman" w:eastAsia="Times New Roman"/>
              </w:rPr>
              <w:t>Protected attribute</w:t>
            </w:r>
          </w:p>
        </w:tc>
        <w:tc>
          <w:tcPr>
            <w:tcW w:type="dxa" w:w="2041"/>
            <w:shd w:val="clear" w:color="auto" w:fill="1F4E79"/>
          </w:tcPr>
          <w:p>
            <w:pPr>
              <w:spacing w:after="0" w:line="240" w:lineRule="auto"/>
            </w:pPr>
            <w:r/>
            <w:r>
              <w:rPr>
                <w:b/>
                <w:color w:val="FFFFFF"/>
                <w:sz w:val="14"/>
                <w:rFonts w:ascii="Times New Roman" w:hAnsi="Times New Roman" w:eastAsia="Times New Roman"/>
              </w:rPr>
              <w:t>Approval-rate ratio</w:t>
            </w:r>
          </w:p>
        </w:tc>
        <w:tc>
          <w:tcPr>
            <w:tcW w:type="dxa" w:w="2438"/>
            <w:shd w:val="clear" w:color="auto" w:fill="1F4E79"/>
          </w:tcPr>
          <w:p>
            <w:pPr>
              <w:spacing w:after="0" w:line="240" w:lineRule="auto"/>
            </w:pPr>
            <w:r/>
            <w:r>
              <w:rPr>
                <w:b/>
                <w:color w:val="FFFFFF"/>
                <w:sz w:val="14"/>
                <w:rFonts w:ascii="Times New Roman" w:hAnsi="Times New Roman" w:eastAsia="Times New Roman"/>
              </w:rPr>
              <w:t>AUC group 1 / group 0</w:t>
            </w:r>
          </w:p>
        </w:tc>
        <w:tc>
          <w:tcPr>
            <w:tcW w:type="dxa" w:w="2494"/>
            <w:shd w:val="clear" w:color="auto" w:fill="1F4E79"/>
          </w:tcPr>
          <w:p>
            <w:pPr>
              <w:spacing w:after="0" w:line="240" w:lineRule="auto"/>
            </w:pPr>
            <w:r/>
            <w:r>
              <w:rPr>
                <w:b/>
                <w:color w:val="FFFFFF"/>
                <w:sz w:val="14"/>
                <w:rFonts w:ascii="Times New Roman" w:hAnsi="Times New Roman" w:eastAsia="Times New Roman"/>
              </w:rPr>
              <w:t>Observed default group 1 / group 0</w:t>
            </w:r>
          </w:p>
        </w:tc>
      </w:tr>
      <w:tr>
        <w:tc>
          <w:tcPr>
            <w:tcW w:type="dxa" w:w="1814"/>
          </w:tcPr>
          <w:p>
            <w:pPr>
              <w:spacing w:after="0" w:before="0" w:line="240" w:lineRule="auto"/>
            </w:pPr>
            <w:r>
              <w:rPr>
                <w:sz w:val="14"/>
              </w:rPr>
            </w:r>
            <w:r>
              <w:rPr>
                <w:rFonts w:ascii="Times New Roman" w:hAnsi="Times New Roman" w:eastAsia="Times New Roman"/>
                <w:sz w:val="14"/>
              </w:rPr>
              <w:t>Female against male</w:t>
            </w:r>
          </w:p>
        </w:tc>
        <w:tc>
          <w:tcPr>
            <w:tcW w:type="dxa" w:w="2041"/>
          </w:tcPr>
          <w:p>
            <w:pPr>
              <w:spacing w:after="0" w:before="0" w:line="240" w:lineRule="auto"/>
            </w:pPr>
            <w:r>
              <w:rPr>
                <w:sz w:val="14"/>
              </w:rPr>
            </w:r>
            <w:r>
              <w:rPr>
                <w:rFonts w:ascii="Times New Roman" w:hAnsi="Times New Roman" w:eastAsia="Times New Roman"/>
                <w:sz w:val="14"/>
              </w:rPr>
              <w:t>0.9989</w:t>
            </w:r>
          </w:p>
        </w:tc>
        <w:tc>
          <w:tcPr>
            <w:tcW w:type="dxa" w:w="2438"/>
          </w:tcPr>
          <w:p>
            <w:pPr>
              <w:spacing w:after="0" w:before="0" w:line="240" w:lineRule="auto"/>
            </w:pPr>
            <w:r>
              <w:rPr>
                <w:sz w:val="14"/>
              </w:rPr>
            </w:r>
            <w:r>
              <w:rPr>
                <w:rFonts w:ascii="Times New Roman" w:hAnsi="Times New Roman" w:eastAsia="Times New Roman"/>
                <w:sz w:val="14"/>
              </w:rPr>
              <w:t>0.6901 / 0.6720</w:t>
            </w:r>
          </w:p>
        </w:tc>
        <w:tc>
          <w:tcPr>
            <w:tcW w:type="dxa" w:w="2494"/>
          </w:tcPr>
          <w:p>
            <w:pPr>
              <w:spacing w:after="0" w:before="0" w:line="240" w:lineRule="auto"/>
            </w:pPr>
            <w:r>
              <w:rPr>
                <w:sz w:val="14"/>
              </w:rPr>
            </w:r>
            <w:r>
              <w:rPr>
                <w:rFonts w:ascii="Times New Roman" w:hAnsi="Times New Roman" w:eastAsia="Times New Roman"/>
                <w:sz w:val="14"/>
              </w:rPr>
              <w:t>0.0833 / 0.0831</w:t>
            </w:r>
          </w:p>
        </w:tc>
      </w:tr>
      <w:tr>
        <w:tc>
          <w:tcPr>
            <w:tcW w:type="dxa" w:w="1814"/>
          </w:tcPr>
          <w:p>
            <w:pPr>
              <w:spacing w:after="0" w:before="0" w:line="240" w:lineRule="auto"/>
            </w:pPr>
            <w:r>
              <w:rPr>
                <w:sz w:val="14"/>
              </w:rPr>
            </w:r>
            <w:r>
              <w:rPr>
                <w:rFonts w:ascii="Times New Roman" w:hAnsi="Times New Roman" w:eastAsia="Times New Roman"/>
                <w:sz w:val="14"/>
              </w:rPr>
              <w:t>Rural against urban</w:t>
            </w:r>
          </w:p>
        </w:tc>
        <w:tc>
          <w:tcPr>
            <w:tcW w:type="dxa" w:w="2041"/>
          </w:tcPr>
          <w:p>
            <w:pPr>
              <w:spacing w:after="0" w:before="0" w:line="240" w:lineRule="auto"/>
            </w:pPr>
            <w:r>
              <w:rPr>
                <w:sz w:val="14"/>
              </w:rPr>
            </w:r>
            <w:r>
              <w:rPr>
                <w:rFonts w:ascii="Times New Roman" w:hAnsi="Times New Roman" w:eastAsia="Times New Roman"/>
                <w:sz w:val="14"/>
              </w:rPr>
              <w:t>0.9720</w:t>
            </w:r>
          </w:p>
        </w:tc>
        <w:tc>
          <w:tcPr>
            <w:tcW w:type="dxa" w:w="2438"/>
          </w:tcPr>
          <w:p>
            <w:pPr>
              <w:spacing w:after="0" w:before="0" w:line="240" w:lineRule="auto"/>
            </w:pPr>
            <w:r>
              <w:rPr>
                <w:sz w:val="14"/>
              </w:rPr>
            </w:r>
            <w:r>
              <w:rPr>
                <w:rFonts w:ascii="Times New Roman" w:hAnsi="Times New Roman" w:eastAsia="Times New Roman"/>
                <w:sz w:val="14"/>
              </w:rPr>
              <w:t>0.6815 / 0.6763</w:t>
            </w:r>
          </w:p>
        </w:tc>
        <w:tc>
          <w:tcPr>
            <w:tcW w:type="dxa" w:w="2494"/>
          </w:tcPr>
          <w:p>
            <w:pPr>
              <w:spacing w:after="0" w:before="0" w:line="240" w:lineRule="auto"/>
            </w:pPr>
            <w:r>
              <w:rPr>
                <w:sz w:val="14"/>
              </w:rPr>
            </w:r>
            <w:r>
              <w:rPr>
                <w:rFonts w:ascii="Times New Roman" w:hAnsi="Times New Roman" w:eastAsia="Times New Roman"/>
                <w:sz w:val="14"/>
              </w:rPr>
              <w:t>0.0912 / 0.0768</w:t>
            </w:r>
          </w:p>
        </w:tc>
      </w:tr>
    </w:tbl>
    <w:p>
      <w:pPr>
        <w:spacing w:after="0" w:before="0"/>
      </w:pPr>
    </w:p>
    <w:p>
      <w:pPr>
        <w:keepNext/>
        <w:spacing w:before="60" w:after="20"/>
        <w:jc w:val="center"/>
      </w:pPr>
      <w:r>
        <w:drawing>
          <wp:inline xmlns:a="http://schemas.openxmlformats.org/drawingml/2006/main" xmlns:pic="http://schemas.openxmlformats.org/drawingml/2006/picture">
            <wp:extent cx="5256000" cy="2890800"/>
            <wp:docPr id="4" name="Picture 4"/>
            <wp:cNvGraphicFramePr>
              <a:graphicFrameLocks noChangeAspect="1"/>
            </wp:cNvGraphicFramePr>
            <a:graphic>
              <a:graphicData uri="http://schemas.openxmlformats.org/drawingml/2006/picture">
                <pic:pic>
                  <pic:nvPicPr>
                    <pic:cNvPr id="0" name="fig_calibration.png"/>
                    <pic:cNvPicPr/>
                  </pic:nvPicPr>
                  <pic:blipFill>
                    <a:blip r:embed="rId13"/>
                    <a:stretch>
                      <a:fillRect/>
                    </a:stretch>
                  </pic:blipFill>
                  <pic:spPr>
                    <a:xfrm>
                      <a:off x="0" y="0"/>
                      <a:ext cx="5256000" cy="2890800"/>
                    </a:xfrm>
                    <a:prstGeom prst="rect"/>
                  </pic:spPr>
                </pic:pic>
              </a:graphicData>
            </a:graphic>
          </wp:inline>
        </w:drawing>
      </w:r>
    </w:p>
    <w:p>
      <w:pPr>
        <w:keepLines/>
        <w:spacing w:after="120" w:line="240" w:lineRule="auto"/>
        <w:jc w:val="center"/>
      </w:pPr>
      <w:r>
        <w:rPr>
          <w:i/>
          <w:color w:val="595959"/>
          <w:sz w:val="15"/>
        </w:rPr>
        <w:t>Figure 4. Calibration of the score on the held-out test set. Each point is one decile of predicted default probability; the grey diagonal is perfect calibration. The points track the diagonal across the whole range, which is what allows the score to be used as a price rather than merely as a ranking.</w:t>
      </w:r>
    </w:p>
    <w:p>
      <w:pPr>
        <w:pStyle w:val="Heading2"/>
      </w:pPr>
      <w:r>
        <w:t>4.3 Making an off-chain score trustworthy on-chain</w:t>
      </w:r>
    </w:p>
    <w:p>
      <w:r>
        <w:rPr>
          <w:rFonts w:ascii="Times New Roman" w:hAnsi="Times New Roman" w:eastAsia="Times New Roman"/>
        </w:rPr>
        <w:t>The course brief flags "the credibility of putting an off-chain AI score on-chain" as the main risk of this topic. MicroLend answers it with a signed, versioned, expiring attestation rather than a plain number:</w:t>
      </w:r>
    </w:p>
    <w:p>
      <w:pPr>
        <w:pStyle w:val="ListBullet"/>
        <w:spacing w:after="40"/>
      </w:pPr>
      <w:r>
        <w:rPr>
          <w:rFonts w:ascii="Times New Roman" w:hAnsi="Times New Roman" w:eastAsia="Times New Roman"/>
        </w:rPr>
        <w:t xml:space="preserve">The API signs an </w:t>
      </w:r>
      <w:r>
        <w:rPr>
          <w:b/>
          <w:rFonts w:ascii="Times New Roman" w:hAnsi="Times New Roman" w:eastAsia="Times New Roman"/>
        </w:rPr>
        <w:t>EIP-712</w:t>
      </w:r>
      <w:r>
        <w:rPr>
          <w:rFonts w:ascii="Times New Roman" w:hAnsi="Times New Roman" w:eastAsia="Times New Roman"/>
        </w:rPr>
        <w:t xml:space="preserve"> message containing the borrower, the score, the model hash, an expiry and a nonce. The EIP-712 domain binds the chain id and the CreditRegistry address, so a signature cannot be replayed on another chain or another contract.</w:t>
      </w:r>
    </w:p>
    <w:p>
      <w:pPr>
        <w:pStyle w:val="ListBullet"/>
        <w:spacing w:after="40"/>
      </w:pPr>
      <w:r>
        <w:rPr>
          <w:rFonts w:ascii="Times New Roman" w:hAnsi="Times New Roman" w:eastAsia="Times New Roman"/>
        </w:rPr>
        <w:t>The borrower, or any relayer, submits the signature to the registry. The contract recovers the signer and requires it to hold SCORER_ROLE at that moment, so a compromised key can be revoked by the admin without redeploying anything.</w:t>
      </w:r>
    </w:p>
    <w:p>
      <w:pPr>
        <w:pStyle w:val="ListBullet"/>
        <w:spacing w:after="40"/>
      </w:pPr>
      <w:r>
        <w:rPr>
          <w:rFonts w:ascii="Times New Roman" w:hAnsi="Times New Roman" w:eastAsia="Times New Roman"/>
        </w:rPr>
        <w:t xml:space="preserve">Each signature carries a </w:t>
      </w:r>
      <w:r>
        <w:rPr>
          <w:b/>
          <w:rFonts w:ascii="Times New Roman" w:hAnsi="Times New Roman" w:eastAsia="Times New Roman"/>
        </w:rPr>
        <w:t>single-use per-borrower nonce</w:t>
      </w:r>
      <w:r>
        <w:rPr>
          <w:rFonts w:ascii="Times New Roman" w:hAnsi="Times New Roman" w:eastAsia="Times New Roman"/>
        </w:rPr>
        <w:t>, so a signed score cannot be submitted twice, and an expiry of at most 180 days, so a stale score cannot be resurrected.</w:t>
      </w:r>
    </w:p>
    <w:p>
      <w:pPr>
        <w:pStyle w:val="ListBullet"/>
        <w:spacing w:after="40"/>
      </w:pPr>
      <w:r>
        <w:rPr>
          <w:rFonts w:ascii="Times New Roman" w:hAnsi="Times New Roman" w:eastAsia="Times New Roman"/>
        </w:rPr>
        <w:t xml:space="preserve">The </w:t>
      </w:r>
      <w:r>
        <w:rPr>
          <w:b/>
          <w:rFonts w:ascii="Times New Roman" w:hAnsi="Times New Roman" w:eastAsia="Times New Roman"/>
        </w:rPr>
        <w:t>model hash</w:t>
      </w:r>
      <w:r>
        <w:rPr>
          <w:rFonts w:ascii="Times New Roman" w:hAnsi="Times New Roman" w:eastAsia="Times New Roman"/>
        </w:rPr>
        <w:t xml:space="preserve"> is a SHA-256 over the canonical coefficients, so an observer can tell which model produced a given on-chain score and can detect a silent model swap.</w:t>
      </w:r>
    </w:p>
    <w:p>
      <w:pPr>
        <w:pStyle w:val="ListBullet"/>
        <w:spacing w:after="40"/>
      </w:pPr>
      <w:r>
        <w:rPr>
          <w:rFonts w:ascii="Times New Roman" w:hAnsi="Times New Roman" w:eastAsia="Times New Roman"/>
        </w:rPr>
        <w:t xml:space="preserve">Crucially, the attestation </w:t>
      </w:r>
      <w:r>
        <w:rPr>
          <w:b/>
          <w:rFonts w:ascii="Times New Roman" w:hAnsi="Times New Roman" w:eastAsia="Times New Roman"/>
        </w:rPr>
        <w:t>does not approve a loan</w:t>
      </w:r>
      <w:r>
        <w:rPr>
          <w:rFonts w:ascii="Times New Roman" w:hAnsi="Times New Roman" w:eastAsia="Times New Roman"/>
        </w:rPr>
        <w:t>. It sets the tier; a human credit officer still approves or rejects every application.</w:t>
      </w:r>
    </w:p>
    <w:p>
      <w:r>
        <w:rPr>
          <w:rFonts w:ascii="Times New Roman" w:hAnsi="Times New Roman" w:eastAsia="Times New Roman"/>
        </w:rPr>
        <w:t>The residual trust assumption should be stated plainly: the scorer key, and whoever controls the model, remain trusted. Removing that assumption would require a zero-knowledge proof of inference or a decentralised scorer committee. Both are plausible future work; neither is implemented here.</w:t>
      </w:r>
    </w:p>
    <w:p>
      <w:pPr>
        <w:pStyle w:val="Heading1"/>
      </w:pPr>
      <w:r>
        <w:t>5. Smart-contract design</w:t>
      </w:r>
    </w:p>
    <w:p>
      <w:r>
        <w:rPr>
          <w:rFonts w:ascii="Times New Roman" w:hAnsi="Times New Roman" w:eastAsia="Times New Roman"/>
        </w:rPr>
        <w:t>Four contracts carry the business logic and a fifth provides the test currency. The split is not cosmetic: keeping the collateral escrow separate from the pool means a fault in the lending logic cannot reach collateralised balances, and making LoanManager the only contract that may drive the other three means there is a single, auditable entry point for every state change.</w:t>
      </w:r>
    </w:p>
    <w:p>
      <w:pPr>
        <w:keepNext/>
        <w:spacing w:before="60" w:after="20"/>
        <w:jc w:val="center"/>
      </w:pPr>
      <w:r>
        <w:drawing>
          <wp:inline xmlns:a="http://schemas.openxmlformats.org/drawingml/2006/main" xmlns:pic="http://schemas.openxmlformats.org/drawingml/2006/picture">
            <wp:extent cx="5256000" cy="3262474"/>
            <wp:docPr id="5" name="Picture 5"/>
            <wp:cNvGraphicFramePr>
              <a:graphicFrameLocks noChangeAspect="1"/>
            </wp:cNvGraphicFramePr>
            <a:graphic>
              <a:graphicData uri="http://schemas.openxmlformats.org/drawingml/2006/picture">
                <pic:pic>
                  <pic:nvPicPr>
                    <pic:cNvPr id="0" name="fig_contracts.png"/>
                    <pic:cNvPicPr/>
                  </pic:nvPicPr>
                  <pic:blipFill>
                    <a:blip r:embed="rId14"/>
                    <a:stretch>
                      <a:fillRect/>
                    </a:stretch>
                  </pic:blipFill>
                  <pic:spPr>
                    <a:xfrm>
                      <a:off x="0" y="0"/>
                      <a:ext cx="5256000" cy="3262474"/>
                    </a:xfrm>
                    <a:prstGeom prst="rect"/>
                  </pic:spPr>
                </pic:pic>
              </a:graphicData>
            </a:graphic>
          </wp:inline>
        </w:drawing>
      </w:r>
    </w:p>
    <w:p>
      <w:pPr>
        <w:keepLines/>
        <w:spacing w:after="120" w:line="240" w:lineRule="auto"/>
        <w:jc w:val="center"/>
      </w:pPr>
      <w:r>
        <w:rPr>
          <w:i/>
          <w:color w:val="595959"/>
          <w:sz w:val="15"/>
        </w:rPr>
        <w:t>Figure 5. Contract interaction. LoanManager is the only holder of LOAN_MANAGER_ROLE on the other three contracts, and lenders interact with the pool directly. The scorer key never holds funds or permissions beyond signing score attestations.</w:t>
      </w:r>
    </w:p>
    <w:p>
      <w:pPr>
        <w:keepNext/>
        <w:spacing w:after="40" w:before="80"/>
      </w:pPr>
      <w:r>
        <w:rPr>
          <w:b/>
          <w:color w:val="1F4E79"/>
          <w:sz w:val="16"/>
        </w:rPr>
        <w:t>Table 13. The five contracts.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74"/>
            <w:shd w:val="clear" w:color="auto" w:fill="1F4E79"/>
          </w:tcPr>
          <w:p>
            <w:pPr>
              <w:spacing w:after="0" w:line="240" w:lineRule="auto"/>
            </w:pPr>
            <w:r/>
            <w:r>
              <w:rPr>
                <w:b/>
                <w:color w:val="FFFFFF"/>
                <w:sz w:val="14"/>
                <w:rFonts w:ascii="Times New Roman" w:hAnsi="Times New Roman" w:eastAsia="Times New Roman"/>
              </w:rPr>
              <w:t>Contract</w:t>
            </w:r>
          </w:p>
        </w:tc>
        <w:tc>
          <w:tcPr>
            <w:tcW w:type="dxa" w:w="2324"/>
            <w:shd w:val="clear" w:color="auto" w:fill="1F4E79"/>
          </w:tcPr>
          <w:p>
            <w:pPr>
              <w:spacing w:after="0" w:line="240" w:lineRule="auto"/>
            </w:pPr>
            <w:r/>
            <w:r>
              <w:rPr>
                <w:b/>
                <w:color w:val="FFFFFF"/>
                <w:sz w:val="14"/>
                <w:rFonts w:ascii="Times New Roman" w:hAnsi="Times New Roman" w:eastAsia="Times New Roman"/>
              </w:rPr>
              <w:t>Responsibility</w:t>
            </w:r>
          </w:p>
        </w:tc>
        <w:tc>
          <w:tcPr>
            <w:tcW w:type="dxa" w:w="2438"/>
            <w:shd w:val="clear" w:color="auto" w:fill="1F4E79"/>
          </w:tcPr>
          <w:p>
            <w:pPr>
              <w:spacing w:after="0" w:line="240" w:lineRule="auto"/>
            </w:pPr>
            <w:r/>
            <w:r>
              <w:rPr>
                <w:b/>
                <w:color w:val="FFFFFF"/>
                <w:sz w:val="14"/>
                <w:rFonts w:ascii="Times New Roman" w:hAnsi="Times New Roman" w:eastAsia="Times New Roman"/>
              </w:rPr>
              <w:t>Key state</w:t>
            </w:r>
          </w:p>
        </w:tc>
        <w:tc>
          <w:tcPr>
            <w:tcW w:type="dxa" w:w="2551"/>
            <w:shd w:val="clear" w:color="auto" w:fill="1F4E79"/>
          </w:tcPr>
          <w:p>
            <w:pPr>
              <w:spacing w:after="0" w:line="240" w:lineRule="auto"/>
            </w:pPr>
            <w:r/>
            <w:r>
              <w:rPr>
                <w:b/>
                <w:color w:val="FFFFFF"/>
                <w:sz w:val="14"/>
                <w:rFonts w:ascii="Times New Roman" w:hAnsi="Times New Roman" w:eastAsia="Times New Roman"/>
              </w:rPr>
              <w:t>Authorised callers</w:t>
            </w:r>
          </w:p>
        </w:tc>
      </w:tr>
      <w:tr>
        <w:tc>
          <w:tcPr>
            <w:tcW w:type="dxa" w:w="1474"/>
          </w:tcPr>
          <w:p>
            <w:pPr>
              <w:spacing w:after="0" w:before="0" w:line="240" w:lineRule="auto"/>
            </w:pPr>
            <w:r>
              <w:rPr>
                <w:sz w:val="14"/>
              </w:rPr>
            </w:r>
            <w:r>
              <w:rPr>
                <w:rFonts w:ascii="Times New Roman" w:hAnsi="Times New Roman" w:eastAsia="Times New Roman"/>
                <w:sz w:val="14"/>
              </w:rPr>
              <w:t>CreditRegistry</w:t>
            </w:r>
          </w:p>
        </w:tc>
        <w:tc>
          <w:tcPr>
            <w:tcW w:type="dxa" w:w="2324"/>
          </w:tcPr>
          <w:p>
            <w:pPr>
              <w:spacing w:after="0" w:before="0" w:line="240" w:lineRule="auto"/>
            </w:pPr>
            <w:r>
              <w:rPr>
                <w:sz w:val="14"/>
              </w:rPr>
            </w:r>
            <w:r>
              <w:rPr>
                <w:rFonts w:ascii="Times New Roman" w:hAnsi="Times New Roman" w:eastAsia="Times New Roman"/>
                <w:sz w:val="14"/>
              </w:rPr>
              <w:t>Scores, repayment history and tier terms; EIP-712 verification</w:t>
            </w:r>
          </w:p>
        </w:tc>
        <w:tc>
          <w:tcPr>
            <w:tcW w:type="dxa" w:w="2438"/>
          </w:tcPr>
          <w:p>
            <w:pPr>
              <w:spacing w:after="0" w:before="0" w:line="240" w:lineRule="auto"/>
            </w:pPr>
            <w:r>
              <w:rPr>
                <w:sz w:val="14"/>
              </w:rPr>
            </w:r>
            <w:r>
              <w:rPr>
                <w:rFonts w:ascii="Times New Roman" w:hAnsi="Times New Roman" w:eastAsia="Times New Roman"/>
                <w:sz w:val="14"/>
              </w:rPr>
              <w:t>per-borrower profile, four tier configs, nonces</w:t>
            </w:r>
          </w:p>
        </w:tc>
        <w:tc>
          <w:tcPr>
            <w:tcW w:type="dxa" w:w="2551"/>
          </w:tcPr>
          <w:p>
            <w:pPr>
              <w:spacing w:after="0" w:before="0" w:line="240" w:lineRule="auto"/>
            </w:pPr>
            <w:r>
              <w:rPr>
                <w:sz w:val="14"/>
              </w:rPr>
            </w:r>
            <w:r>
              <w:rPr>
                <w:rFonts w:ascii="Times New Roman" w:hAnsi="Times New Roman" w:eastAsia="Times New Roman"/>
                <w:sz w:val="14"/>
              </w:rPr>
              <w:t>SCORER_ROLE for scores, LOAN_MANAGER_ROLE for outcomes, admin for tiers and blocking</w:t>
            </w:r>
          </w:p>
        </w:tc>
      </w:tr>
      <w:tr>
        <w:tc>
          <w:tcPr>
            <w:tcW w:type="dxa" w:w="1474"/>
          </w:tcPr>
          <w:p>
            <w:pPr>
              <w:spacing w:after="0" w:before="0" w:line="240" w:lineRule="auto"/>
            </w:pPr>
            <w:r>
              <w:rPr>
                <w:sz w:val="14"/>
              </w:rPr>
            </w:r>
            <w:r>
              <w:rPr>
                <w:rFonts w:ascii="Times New Roman" w:hAnsi="Times New Roman" w:eastAsia="Times New Roman"/>
                <w:sz w:val="14"/>
              </w:rPr>
              <w:t>LendingPool</w:t>
            </w:r>
          </w:p>
        </w:tc>
        <w:tc>
          <w:tcPr>
            <w:tcW w:type="dxa" w:w="2324"/>
          </w:tcPr>
          <w:p>
            <w:pPr>
              <w:spacing w:after="0" w:before="0" w:line="240" w:lineRule="auto"/>
            </w:pPr>
            <w:r>
              <w:rPr>
                <w:sz w:val="14"/>
              </w:rPr>
            </w:r>
            <w:r>
              <w:rPr>
                <w:rFonts w:ascii="Times New Roman" w:hAnsi="Times New Roman" w:eastAsia="Times New Roman"/>
                <w:sz w:val="14"/>
              </w:rPr>
              <w:t>Lender deposits, share accounting, reserve and loss absorption</w:t>
            </w:r>
          </w:p>
        </w:tc>
        <w:tc>
          <w:tcPr>
            <w:tcW w:type="dxa" w:w="2438"/>
          </w:tcPr>
          <w:p>
            <w:pPr>
              <w:spacing w:after="0" w:before="0" w:line="240" w:lineRule="auto"/>
            </w:pPr>
            <w:r>
              <w:rPr>
                <w:sz w:val="14"/>
              </w:rPr>
            </w:r>
            <w:r>
              <w:rPr>
                <w:rFonts w:ascii="Times New Roman" w:hAnsi="Times New Roman" w:eastAsia="Times New Roman"/>
                <w:sz w:val="14"/>
              </w:rPr>
              <w:t>totalShares, sharesOf, outstandingPrincipal, reserve, reserveBps, maxUtilizationBps</w:t>
            </w:r>
          </w:p>
        </w:tc>
        <w:tc>
          <w:tcPr>
            <w:tcW w:type="dxa" w:w="2551"/>
          </w:tcPr>
          <w:p>
            <w:pPr>
              <w:spacing w:after="0" w:before="0" w:line="240" w:lineRule="auto"/>
            </w:pPr>
            <w:r>
              <w:rPr>
                <w:sz w:val="14"/>
              </w:rPr>
            </w:r>
            <w:r>
              <w:rPr>
                <w:rFonts w:ascii="Times New Roman" w:hAnsi="Times New Roman" w:eastAsia="Times New Roman"/>
                <w:sz w:val="14"/>
              </w:rPr>
              <w:t>lenders directly through deposit and withdraw; LOAN_MANAGER_ROLE for disbursement, repayment and loss</w:t>
            </w:r>
          </w:p>
        </w:tc>
      </w:tr>
      <w:tr>
        <w:tc>
          <w:tcPr>
            <w:tcW w:type="dxa" w:w="1474"/>
          </w:tcPr>
          <w:p>
            <w:pPr>
              <w:spacing w:after="0" w:before="0" w:line="240" w:lineRule="auto"/>
            </w:pPr>
            <w:r>
              <w:rPr>
                <w:sz w:val="14"/>
              </w:rPr>
            </w:r>
            <w:r>
              <w:rPr>
                <w:rFonts w:ascii="Times New Roman" w:hAnsi="Times New Roman" w:eastAsia="Times New Roman"/>
                <w:sz w:val="14"/>
              </w:rPr>
              <w:t>CollateralVault</w:t>
            </w:r>
          </w:p>
        </w:tc>
        <w:tc>
          <w:tcPr>
            <w:tcW w:type="dxa" w:w="2324"/>
          </w:tcPr>
          <w:p>
            <w:pPr>
              <w:spacing w:after="0" w:before="0" w:line="240" w:lineRule="auto"/>
            </w:pPr>
            <w:r>
              <w:rPr>
                <w:sz w:val="14"/>
              </w:rPr>
            </w:r>
            <w:r>
              <w:rPr>
                <w:rFonts w:ascii="Times New Roman" w:hAnsi="Times New Roman" w:eastAsia="Times New Roman"/>
                <w:sz w:val="14"/>
              </w:rPr>
              <w:t>Per-loan escrow of the security deposit</w:t>
            </w:r>
          </w:p>
        </w:tc>
        <w:tc>
          <w:tcPr>
            <w:tcW w:type="dxa" w:w="2438"/>
          </w:tcPr>
          <w:p>
            <w:pPr>
              <w:spacing w:after="0" w:before="0" w:line="240" w:lineRule="auto"/>
            </w:pPr>
            <w:r>
              <w:rPr>
                <w:sz w:val="14"/>
              </w:rPr>
            </w:r>
            <w:r>
              <w:rPr>
                <w:rFonts w:ascii="Times New Roman" w:hAnsi="Times New Roman" w:eastAsia="Times New Roman"/>
                <w:sz w:val="14"/>
              </w:rPr>
              <w:t>positions by loan id, totalLocked</w:t>
            </w:r>
          </w:p>
        </w:tc>
        <w:tc>
          <w:tcPr>
            <w:tcW w:type="dxa" w:w="2551"/>
          </w:tcPr>
          <w:p>
            <w:pPr>
              <w:spacing w:after="0" w:before="0" w:line="240" w:lineRule="auto"/>
            </w:pPr>
            <w:r>
              <w:rPr>
                <w:sz w:val="14"/>
              </w:rPr>
            </w:r>
            <w:r>
              <w:rPr>
                <w:rFonts w:ascii="Times New Roman" w:hAnsi="Times New Roman" w:eastAsia="Times New Roman"/>
                <w:sz w:val="14"/>
              </w:rPr>
              <w:t>LOAN_MANAGER_ROLE only, for lock, release and seize</w:t>
            </w:r>
          </w:p>
        </w:tc>
      </w:tr>
      <w:tr>
        <w:tc>
          <w:tcPr>
            <w:tcW w:type="dxa" w:w="1474"/>
          </w:tcPr>
          <w:p>
            <w:pPr>
              <w:spacing w:after="0" w:before="0" w:line="240" w:lineRule="auto"/>
            </w:pPr>
            <w:r>
              <w:rPr>
                <w:sz w:val="14"/>
              </w:rPr>
            </w:r>
            <w:r>
              <w:rPr>
                <w:rFonts w:ascii="Times New Roman" w:hAnsi="Times New Roman" w:eastAsia="Times New Roman"/>
                <w:sz w:val="14"/>
              </w:rPr>
              <w:t>LoanManager</w:t>
            </w:r>
          </w:p>
        </w:tc>
        <w:tc>
          <w:tcPr>
            <w:tcW w:type="dxa" w:w="2324"/>
          </w:tcPr>
          <w:p>
            <w:pPr>
              <w:spacing w:after="0" w:before="0" w:line="240" w:lineRule="auto"/>
            </w:pPr>
            <w:r>
              <w:rPr>
                <w:sz w:val="14"/>
              </w:rPr>
            </w:r>
            <w:r>
              <w:rPr>
                <w:rFonts w:ascii="Times New Roman" w:hAnsi="Times New Roman" w:eastAsia="Times New Roman"/>
                <w:sz w:val="14"/>
              </w:rPr>
              <w:t>Loan state machine; orchestrates the other three; access control</w:t>
            </w:r>
          </w:p>
        </w:tc>
        <w:tc>
          <w:tcPr>
            <w:tcW w:type="dxa" w:w="2438"/>
          </w:tcPr>
          <w:p>
            <w:pPr>
              <w:spacing w:after="0" w:before="0" w:line="240" w:lineRule="auto"/>
            </w:pPr>
            <w:r>
              <w:rPr>
                <w:sz w:val="14"/>
              </w:rPr>
            </w:r>
            <w:r>
              <w:rPr>
                <w:rFonts w:ascii="Times New Roman" w:hAnsi="Times New Roman" w:eastAsia="Times New Roman"/>
                <w:sz w:val="14"/>
              </w:rPr>
              <w:t>loans, loanCount, openLoanOf, auditNoteCount</w:t>
            </w:r>
          </w:p>
        </w:tc>
        <w:tc>
          <w:tcPr>
            <w:tcW w:type="dxa" w:w="2551"/>
          </w:tcPr>
          <w:p>
            <w:pPr>
              <w:spacing w:after="0" w:before="0" w:line="240" w:lineRule="auto"/>
            </w:pPr>
            <w:r>
              <w:rPr>
                <w:sz w:val="14"/>
              </w:rPr>
            </w:r>
            <w:r>
              <w:rPr>
                <w:rFonts w:ascii="Times New Roman" w:hAnsi="Times New Roman" w:eastAsia="Times New Roman"/>
                <w:sz w:val="14"/>
              </w:rPr>
              <w:t>officer for approve and reject, auditor for notes, pauser, borrower, and any wallet for markDefault</w:t>
            </w:r>
          </w:p>
        </w:tc>
      </w:tr>
      <w:tr>
        <w:tc>
          <w:tcPr>
            <w:tcW w:type="dxa" w:w="1474"/>
          </w:tcPr>
          <w:p>
            <w:pPr>
              <w:spacing w:after="0" w:before="0" w:line="240" w:lineRule="auto"/>
            </w:pPr>
            <w:r>
              <w:rPr>
                <w:sz w:val="14"/>
              </w:rPr>
            </w:r>
            <w:r>
              <w:rPr>
                <w:rFonts w:ascii="Times New Roman" w:hAnsi="Times New Roman" w:eastAsia="Times New Roman"/>
                <w:sz w:val="14"/>
              </w:rPr>
              <w:t>MockStablecoin</w:t>
            </w:r>
          </w:p>
        </w:tc>
        <w:tc>
          <w:tcPr>
            <w:tcW w:type="dxa" w:w="2324"/>
          </w:tcPr>
          <w:p>
            <w:pPr>
              <w:spacing w:after="0" w:before="0" w:line="240" w:lineRule="auto"/>
            </w:pPr>
            <w:r>
              <w:rPr>
                <w:sz w:val="14"/>
              </w:rPr>
            </w:r>
            <w:r>
              <w:rPr>
                <w:rFonts w:ascii="Times New Roman" w:hAnsi="Times New Roman" w:eastAsia="Times New Roman"/>
                <w:sz w:val="14"/>
              </w:rPr>
              <w:t>6-decimal test currency with a rate-limited faucet</w:t>
            </w:r>
          </w:p>
        </w:tc>
        <w:tc>
          <w:tcPr>
            <w:tcW w:type="dxa" w:w="2438"/>
          </w:tcPr>
          <w:p>
            <w:pPr>
              <w:spacing w:after="0" w:before="0" w:line="240" w:lineRule="auto"/>
            </w:pPr>
            <w:r>
              <w:rPr>
                <w:sz w:val="14"/>
              </w:rPr>
            </w:r>
            <w:r>
              <w:rPr>
                <w:rFonts w:ascii="Times New Roman" w:hAnsi="Times New Roman" w:eastAsia="Times New Roman"/>
                <w:sz w:val="14"/>
              </w:rPr>
              <w:t>lastFaucetAt per address</w:t>
            </w:r>
          </w:p>
        </w:tc>
        <w:tc>
          <w:tcPr>
            <w:tcW w:type="dxa" w:w="2551"/>
          </w:tcPr>
          <w:p>
            <w:pPr>
              <w:spacing w:after="0" w:before="0" w:line="240" w:lineRule="auto"/>
            </w:pPr>
            <w:r>
              <w:rPr>
                <w:sz w:val="14"/>
              </w:rPr>
            </w:r>
            <w:r>
              <w:rPr>
                <w:rFonts w:ascii="Times New Roman" w:hAnsi="Times New Roman" w:eastAsia="Times New Roman"/>
                <w:sz w:val="14"/>
              </w:rPr>
              <w:t>any wallet may call faucet; the owner may mint</w:t>
            </w:r>
          </w:p>
        </w:tc>
      </w:tr>
    </w:tbl>
    <w:p>
      <w:pPr>
        <w:spacing w:after="0" w:before="0"/>
      </w:pPr>
    </w:p>
    <w:p>
      <w:pPr>
        <w:pStyle w:val="Heading2"/>
      </w:pPr>
      <w:r>
        <w:t>5.1 Loan lifecycle</w:t>
      </w:r>
    </w:p>
    <w:p>
      <w:pPr>
        <w:keepNext/>
        <w:spacing w:before="60" w:after="20"/>
        <w:jc w:val="center"/>
      </w:pPr>
      <w:r>
        <w:drawing>
          <wp:inline xmlns:a="http://schemas.openxmlformats.org/drawingml/2006/main" xmlns:pic="http://schemas.openxmlformats.org/drawingml/2006/picture">
            <wp:extent cx="5256000" cy="1952229"/>
            <wp:docPr id="6" name="Picture 6"/>
            <wp:cNvGraphicFramePr>
              <a:graphicFrameLocks noChangeAspect="1"/>
            </wp:cNvGraphicFramePr>
            <a:graphic>
              <a:graphicData uri="http://schemas.openxmlformats.org/drawingml/2006/picture">
                <pic:pic>
                  <pic:nvPicPr>
                    <pic:cNvPr id="0" name="fig_state_machine.png"/>
                    <pic:cNvPicPr/>
                  </pic:nvPicPr>
                  <pic:blipFill>
                    <a:blip r:embed="rId15"/>
                    <a:stretch>
                      <a:fillRect/>
                    </a:stretch>
                  </pic:blipFill>
                  <pic:spPr>
                    <a:xfrm>
                      <a:off x="0" y="0"/>
                      <a:ext cx="5256000" cy="1952229"/>
                    </a:xfrm>
                    <a:prstGeom prst="rect"/>
                  </pic:spPr>
                </pic:pic>
              </a:graphicData>
            </a:graphic>
          </wp:inline>
        </w:drawing>
      </w:r>
    </w:p>
    <w:p>
      <w:pPr>
        <w:keepLines/>
        <w:spacing w:after="120" w:line="240" w:lineRule="auto"/>
        <w:jc w:val="center"/>
      </w:pPr>
      <w:r>
        <w:rPr>
          <w:i/>
          <w:color w:val="595959"/>
          <w:sz w:val="15"/>
        </w:rPr>
        <w:t>Figure 6. Loan state machine. Terms are fixed at approval time, so a later tier change cannot reprice an already-approved loan.</w:t>
      </w:r>
    </w:p>
    <w:p>
      <w:pPr>
        <w:keepNext/>
        <w:spacing w:after="40" w:before="80"/>
      </w:pPr>
      <w:r>
        <w:rPr>
          <w:b/>
          <w:color w:val="1F4E79"/>
          <w:sz w:val="16"/>
        </w:rPr>
        <w:t>Table 14. Loan rules enforced by LoanManager.</w:t>
      </w:r>
    </w:p>
    <w:tbl>
      <w:tblPr>
        <w:tblStyle w:val="TableGrid"/>
        <w:tblW w:type="auto" w:w="0"/>
        <w:jc w:val="center"/>
        <w:tblLook w:firstColumn="1" w:firstRow="1" w:lastColumn="0" w:lastRow="0" w:noHBand="0" w:noVBand="1" w:val="04A0"/>
      </w:tblPr>
      <w:tblGrid>
        <w:gridCol w:w="2929"/>
        <w:gridCol w:w="2929"/>
        <w:gridCol w:w="2929"/>
      </w:tblGrid>
      <w:tr>
        <w:tc>
          <w:tcPr>
            <w:tcW w:type="dxa" w:w="1587"/>
            <w:shd w:val="clear" w:color="auto" w:fill="1F4E79"/>
          </w:tcPr>
          <w:p>
            <w:pPr>
              <w:spacing w:after="0" w:line="240" w:lineRule="auto"/>
            </w:pPr>
            <w:r/>
            <w:r>
              <w:rPr>
                <w:b/>
                <w:color w:val="FFFFFF"/>
                <w:sz w:val="14"/>
                <w:rFonts w:ascii="Times New Roman" w:hAnsi="Times New Roman" w:eastAsia="Times New Roman"/>
              </w:rPr>
              <w:t>Rule</w:t>
            </w:r>
          </w:p>
        </w:tc>
        <w:tc>
          <w:tcPr>
            <w:tcW w:type="dxa" w:w="4025"/>
            <w:shd w:val="clear" w:color="auto" w:fill="1F4E79"/>
          </w:tcPr>
          <w:p>
            <w:pPr>
              <w:spacing w:after="0" w:line="240" w:lineRule="auto"/>
            </w:pPr>
            <w:r/>
            <w:r>
              <w:rPr>
                <w:b/>
                <w:color w:val="FFFFFF"/>
                <w:sz w:val="14"/>
                <w:rFonts w:ascii="Times New Roman" w:hAnsi="Times New Roman" w:eastAsia="Times New Roman"/>
              </w:rPr>
              <w:t>Value</w:t>
            </w:r>
          </w:p>
        </w:tc>
        <w:tc>
          <w:tcPr>
            <w:tcW w:type="dxa" w:w="3175"/>
            <w:shd w:val="clear" w:color="auto" w:fill="1F4E79"/>
          </w:tcPr>
          <w:p>
            <w:pPr>
              <w:spacing w:after="0" w:line="240" w:lineRule="auto"/>
            </w:pPr>
            <w:r/>
            <w:r>
              <w:rPr>
                <w:b/>
                <w:color w:val="FFFFFF"/>
                <w:sz w:val="14"/>
                <w:rFonts w:ascii="Times New Roman" w:hAnsi="Times New Roman" w:eastAsia="Times New Roman"/>
              </w:rPr>
              <w:t>Rationale</w:t>
            </w:r>
          </w:p>
        </w:tc>
      </w:tr>
      <w:tr>
        <w:tc>
          <w:tcPr>
            <w:tcW w:type="dxa" w:w="1587"/>
          </w:tcPr>
          <w:p>
            <w:pPr>
              <w:spacing w:after="0" w:before="0" w:line="240" w:lineRule="auto"/>
            </w:pPr>
            <w:r>
              <w:rPr>
                <w:sz w:val="14"/>
              </w:rPr>
            </w:r>
            <w:r>
              <w:rPr>
                <w:rFonts w:ascii="Times New Roman" w:hAnsi="Times New Roman" w:eastAsia="Times New Roman"/>
                <w:sz w:val="14"/>
              </w:rPr>
              <w:t>Loan term</w:t>
            </w:r>
          </w:p>
        </w:tc>
        <w:tc>
          <w:tcPr>
            <w:tcW w:type="dxa" w:w="4025"/>
          </w:tcPr>
          <w:p>
            <w:pPr>
              <w:spacing w:after="0" w:before="0" w:line="240" w:lineRule="auto"/>
            </w:pPr>
            <w:r>
              <w:rPr>
                <w:sz w:val="14"/>
              </w:rPr>
            </w:r>
            <w:r>
              <w:rPr>
                <w:rFonts w:ascii="Times New Roman" w:hAnsi="Times New Roman" w:eastAsia="Times New Roman"/>
                <w:sz w:val="14"/>
              </w:rPr>
              <w:t>7 to 180 days</w:t>
            </w:r>
          </w:p>
        </w:tc>
        <w:tc>
          <w:tcPr>
            <w:tcW w:type="dxa" w:w="3175"/>
          </w:tcPr>
          <w:p>
            <w:pPr>
              <w:spacing w:after="0" w:before="0" w:line="240" w:lineRule="auto"/>
            </w:pPr>
            <w:r>
              <w:rPr>
                <w:sz w:val="14"/>
              </w:rPr>
            </w:r>
            <w:r>
              <w:rPr>
                <w:rFonts w:ascii="Times New Roman" w:hAnsi="Times New Roman" w:eastAsia="Times New Roman"/>
                <w:sz w:val="14"/>
              </w:rPr>
              <w:t>Matches the working-capital cycle of a micro-business</w:t>
            </w:r>
          </w:p>
        </w:tc>
      </w:tr>
      <w:tr>
        <w:tc>
          <w:tcPr>
            <w:tcW w:type="dxa" w:w="1587"/>
          </w:tcPr>
          <w:p>
            <w:pPr>
              <w:spacing w:after="0" w:before="0" w:line="240" w:lineRule="auto"/>
            </w:pPr>
            <w:r>
              <w:rPr>
                <w:sz w:val="14"/>
              </w:rPr>
            </w:r>
            <w:r>
              <w:rPr>
                <w:rFonts w:ascii="Times New Roman" w:hAnsi="Times New Roman" w:eastAsia="Times New Roman"/>
                <w:sz w:val="14"/>
              </w:rPr>
              <w:t>Interest</w:t>
            </w:r>
          </w:p>
        </w:tc>
        <w:tc>
          <w:tcPr>
            <w:tcW w:type="dxa" w:w="4025"/>
          </w:tcPr>
          <w:p>
            <w:pPr>
              <w:spacing w:after="0" w:before="0" w:line="240" w:lineRule="auto"/>
            </w:pPr>
            <w:r>
              <w:rPr>
                <w:sz w:val="14"/>
              </w:rPr>
            </w:r>
            <w:r>
              <w:rPr>
                <w:rFonts w:ascii="Times New Roman" w:hAnsi="Times New Roman" w:eastAsia="Times New Roman"/>
                <w:sz w:val="14"/>
              </w:rPr>
              <w:t>Simple: principal times APR times days divided by 365, fixed for the whole term</w:t>
            </w:r>
          </w:p>
        </w:tc>
        <w:tc>
          <w:tcPr>
            <w:tcW w:type="dxa" w:w="3175"/>
          </w:tcPr>
          <w:p>
            <w:pPr>
              <w:spacing w:after="0" w:before="0" w:line="240" w:lineRule="auto"/>
            </w:pPr>
            <w:r>
              <w:rPr>
                <w:sz w:val="14"/>
              </w:rPr>
            </w:r>
            <w:r>
              <w:rPr>
                <w:rFonts w:ascii="Times New Roman" w:hAnsi="Times New Roman" w:eastAsia="Times New Roman"/>
                <w:sz w:val="14"/>
              </w:rPr>
              <w:t>Transparent; no compounding and no hidden fees</w:t>
            </w:r>
          </w:p>
        </w:tc>
      </w:tr>
      <w:tr>
        <w:tc>
          <w:tcPr>
            <w:tcW w:type="dxa" w:w="1587"/>
          </w:tcPr>
          <w:p>
            <w:pPr>
              <w:spacing w:after="0" w:before="0" w:line="240" w:lineRule="auto"/>
            </w:pPr>
            <w:r>
              <w:rPr>
                <w:sz w:val="14"/>
              </w:rPr>
            </w:r>
            <w:r>
              <w:rPr>
                <w:rFonts w:ascii="Times New Roman" w:hAnsi="Times New Roman" w:eastAsia="Times New Roman"/>
                <w:sz w:val="14"/>
              </w:rPr>
              <w:t>Repayment order</w:t>
            </w:r>
          </w:p>
        </w:tc>
        <w:tc>
          <w:tcPr>
            <w:tcW w:type="dxa" w:w="4025"/>
          </w:tcPr>
          <w:p>
            <w:pPr>
              <w:spacing w:after="0" w:before="0" w:line="240" w:lineRule="auto"/>
            </w:pPr>
            <w:r>
              <w:rPr>
                <w:sz w:val="14"/>
              </w:rPr>
            </w:r>
            <w:r>
              <w:rPr>
                <w:rFonts w:ascii="Times New Roman" w:hAnsi="Times New Roman" w:eastAsia="Times New Roman"/>
                <w:sz w:val="14"/>
              </w:rPr>
              <w:t>Interest first, then principal</w:t>
            </w:r>
          </w:p>
        </w:tc>
        <w:tc>
          <w:tcPr>
            <w:tcW w:type="dxa" w:w="3175"/>
          </w:tcPr>
          <w:p>
            <w:pPr>
              <w:spacing w:after="0" w:before="0" w:line="240" w:lineRule="auto"/>
            </w:pPr>
            <w:r>
              <w:rPr>
                <w:sz w:val="14"/>
              </w:rPr>
            </w:r>
            <w:r>
              <w:rPr>
                <w:rFonts w:ascii="Times New Roman" w:hAnsi="Times New Roman" w:eastAsia="Times New Roman"/>
                <w:sz w:val="14"/>
              </w:rPr>
              <w:t>The pool's yield is recognised before the principal is reduced</w:t>
            </w:r>
          </w:p>
        </w:tc>
      </w:tr>
      <w:tr>
        <w:tc>
          <w:tcPr>
            <w:tcW w:type="dxa" w:w="1587"/>
          </w:tcPr>
          <w:p>
            <w:pPr>
              <w:spacing w:after="0" w:before="0" w:line="240" w:lineRule="auto"/>
            </w:pPr>
            <w:r>
              <w:rPr>
                <w:sz w:val="14"/>
              </w:rPr>
            </w:r>
            <w:r>
              <w:rPr>
                <w:rFonts w:ascii="Times New Roman" w:hAnsi="Times New Roman" w:eastAsia="Times New Roman"/>
                <w:sz w:val="14"/>
              </w:rPr>
              <w:t>Open loans</w:t>
            </w:r>
          </w:p>
        </w:tc>
        <w:tc>
          <w:tcPr>
            <w:tcW w:type="dxa" w:w="4025"/>
          </w:tcPr>
          <w:p>
            <w:pPr>
              <w:spacing w:after="0" w:before="0" w:line="240" w:lineRule="auto"/>
            </w:pPr>
            <w:r>
              <w:rPr>
                <w:sz w:val="14"/>
              </w:rPr>
            </w:r>
            <w:r>
              <w:rPr>
                <w:rFonts w:ascii="Times New Roman" w:hAnsi="Times New Roman" w:eastAsia="Times New Roman"/>
                <w:sz w:val="14"/>
              </w:rPr>
              <w:t>One per wallet</w:t>
            </w:r>
          </w:p>
        </w:tc>
        <w:tc>
          <w:tcPr>
            <w:tcW w:type="dxa" w:w="3175"/>
          </w:tcPr>
          <w:p>
            <w:pPr>
              <w:spacing w:after="0" w:before="0" w:line="240" w:lineRule="auto"/>
            </w:pPr>
            <w:r>
              <w:rPr>
                <w:sz w:val="14"/>
              </w:rPr>
            </w:r>
            <w:r>
              <w:rPr>
                <w:rFonts w:ascii="Times New Roman" w:hAnsi="Times New Roman" w:eastAsia="Times New Roman"/>
                <w:sz w:val="14"/>
              </w:rPr>
              <w:t>Prevents a borrower from stacking obligations</w:t>
            </w:r>
          </w:p>
        </w:tc>
      </w:tr>
      <w:tr>
        <w:tc>
          <w:tcPr>
            <w:tcW w:type="dxa" w:w="1587"/>
          </w:tcPr>
          <w:p>
            <w:pPr>
              <w:spacing w:after="0" w:before="0" w:line="240" w:lineRule="auto"/>
            </w:pPr>
            <w:r>
              <w:rPr>
                <w:sz w:val="14"/>
              </w:rPr>
            </w:r>
            <w:r>
              <w:rPr>
                <w:rFonts w:ascii="Times New Roman" w:hAnsi="Times New Roman" w:eastAsia="Times New Roman"/>
                <w:sz w:val="14"/>
              </w:rPr>
              <w:t>Approval validity</w:t>
            </w:r>
          </w:p>
        </w:tc>
        <w:tc>
          <w:tcPr>
            <w:tcW w:type="dxa" w:w="4025"/>
          </w:tcPr>
          <w:p>
            <w:pPr>
              <w:spacing w:after="0" w:before="0" w:line="240" w:lineRule="auto"/>
            </w:pPr>
            <w:r>
              <w:rPr>
                <w:sz w:val="14"/>
              </w:rPr>
            </w:r>
            <w:r>
              <w:rPr>
                <w:rFonts w:ascii="Times New Roman" w:hAnsi="Times New Roman" w:eastAsia="Times New Roman"/>
                <w:sz w:val="14"/>
              </w:rPr>
              <w:t>7 days, then ApprovalExpired</w:t>
            </w:r>
          </w:p>
        </w:tc>
        <w:tc>
          <w:tcPr>
            <w:tcW w:type="dxa" w:w="3175"/>
          </w:tcPr>
          <w:p>
            <w:pPr>
              <w:spacing w:after="0" w:before="0" w:line="240" w:lineRule="auto"/>
            </w:pPr>
            <w:r>
              <w:rPr>
                <w:sz w:val="14"/>
              </w:rPr>
            </w:r>
            <w:r>
              <w:rPr>
                <w:rFonts w:ascii="Times New Roman" w:hAnsi="Times New Roman" w:eastAsia="Times New Roman"/>
                <w:sz w:val="14"/>
              </w:rPr>
              <w:t>Limits exposure to a stale decision</w:t>
            </w:r>
          </w:p>
        </w:tc>
      </w:tr>
      <w:tr>
        <w:tc>
          <w:tcPr>
            <w:tcW w:type="dxa" w:w="1587"/>
          </w:tcPr>
          <w:p>
            <w:pPr>
              <w:spacing w:after="0" w:before="0" w:line="240" w:lineRule="auto"/>
            </w:pPr>
            <w:r>
              <w:rPr>
                <w:sz w:val="14"/>
              </w:rPr>
            </w:r>
            <w:r>
              <w:rPr>
                <w:rFonts w:ascii="Times New Roman" w:hAnsi="Times New Roman" w:eastAsia="Times New Roman"/>
                <w:sz w:val="14"/>
              </w:rPr>
              <w:t>Grace period</w:t>
            </w:r>
          </w:p>
        </w:tc>
        <w:tc>
          <w:tcPr>
            <w:tcW w:type="dxa" w:w="4025"/>
          </w:tcPr>
          <w:p>
            <w:pPr>
              <w:spacing w:after="0" w:before="0" w:line="240" w:lineRule="auto"/>
            </w:pPr>
            <w:r>
              <w:rPr>
                <w:sz w:val="14"/>
              </w:rPr>
            </w:r>
            <w:r>
              <w:rPr>
                <w:rFonts w:ascii="Times New Roman" w:hAnsi="Times New Roman" w:eastAsia="Times New Roman"/>
                <w:sz w:val="14"/>
              </w:rPr>
              <w:t>7 days after the due date, after which any wallet may call markDefault</w:t>
            </w:r>
          </w:p>
        </w:tc>
        <w:tc>
          <w:tcPr>
            <w:tcW w:type="dxa" w:w="3175"/>
          </w:tcPr>
          <w:p>
            <w:pPr>
              <w:spacing w:after="0" w:before="0" w:line="240" w:lineRule="auto"/>
            </w:pPr>
            <w:r>
              <w:rPr>
                <w:sz w:val="14"/>
              </w:rPr>
            </w:r>
            <w:r>
              <w:rPr>
                <w:rFonts w:ascii="Times New Roman" w:hAnsi="Times New Roman" w:eastAsia="Times New Roman"/>
                <w:sz w:val="14"/>
              </w:rPr>
              <w:t>Gives genuine hardship a window while keeping enforcement permissionless</w:t>
            </w:r>
          </w:p>
        </w:tc>
      </w:tr>
      <w:tr>
        <w:tc>
          <w:tcPr>
            <w:tcW w:type="dxa" w:w="1587"/>
          </w:tcPr>
          <w:p>
            <w:pPr>
              <w:spacing w:after="0" w:before="0" w:line="240" w:lineRule="auto"/>
            </w:pPr>
            <w:r>
              <w:rPr>
                <w:sz w:val="14"/>
              </w:rPr>
            </w:r>
            <w:r>
              <w:rPr>
                <w:rFonts w:ascii="Times New Roman" w:hAnsi="Times New Roman" w:eastAsia="Times New Roman"/>
                <w:sz w:val="14"/>
              </w:rPr>
              <w:t>Self-approval</w:t>
            </w:r>
          </w:p>
        </w:tc>
        <w:tc>
          <w:tcPr>
            <w:tcW w:type="dxa" w:w="4025"/>
          </w:tcPr>
          <w:p>
            <w:pPr>
              <w:spacing w:after="0" w:before="0" w:line="240" w:lineRule="auto"/>
            </w:pPr>
            <w:r>
              <w:rPr>
                <w:sz w:val="14"/>
              </w:rPr>
            </w:r>
            <w:r>
              <w:rPr>
                <w:rFonts w:ascii="Times New Roman" w:hAnsi="Times New Roman" w:eastAsia="Times New Roman"/>
                <w:sz w:val="14"/>
              </w:rPr>
              <w:t>Rejected with the SelfApproval error</w:t>
            </w:r>
          </w:p>
        </w:tc>
        <w:tc>
          <w:tcPr>
            <w:tcW w:type="dxa" w:w="3175"/>
          </w:tcPr>
          <w:p>
            <w:pPr>
              <w:spacing w:after="0" w:before="0" w:line="240" w:lineRule="auto"/>
            </w:pPr>
            <w:r>
              <w:rPr>
                <w:sz w:val="14"/>
              </w:rPr>
            </w:r>
            <w:r>
              <w:rPr>
                <w:rFonts w:ascii="Times New Roman" w:hAnsi="Times New Roman" w:eastAsia="Times New Roman"/>
                <w:sz w:val="14"/>
              </w:rPr>
              <w:t>Removes the most obvious insider route</w:t>
            </w:r>
          </w:p>
        </w:tc>
      </w:tr>
    </w:tbl>
    <w:p>
      <w:pPr>
        <w:spacing w:after="0" w:before="0"/>
      </w:pPr>
    </w:p>
    <w:p>
      <w:pPr>
        <w:pStyle w:val="Heading2"/>
      </w:pPr>
      <w:r>
        <w:t>5.2 Default handling: the loss waterfall</w:t>
      </w:r>
    </w:p>
    <w:p>
      <w:pPr>
        <w:keepNext/>
        <w:spacing w:before="60" w:after="20"/>
        <w:jc w:val="center"/>
      </w:pPr>
      <w:r>
        <w:drawing>
          <wp:inline xmlns:a="http://schemas.openxmlformats.org/drawingml/2006/main" xmlns:pic="http://schemas.openxmlformats.org/drawingml/2006/picture">
            <wp:extent cx="5256000" cy="2027314"/>
            <wp:docPr id="7" name="Picture 7"/>
            <wp:cNvGraphicFramePr>
              <a:graphicFrameLocks noChangeAspect="1"/>
            </wp:cNvGraphicFramePr>
            <a:graphic>
              <a:graphicData uri="http://schemas.openxmlformats.org/drawingml/2006/picture">
                <pic:pic>
                  <pic:nvPicPr>
                    <pic:cNvPr id="0" name="fig_waterfall.png"/>
                    <pic:cNvPicPr/>
                  </pic:nvPicPr>
                  <pic:blipFill>
                    <a:blip r:embed="rId16"/>
                    <a:stretch>
                      <a:fillRect/>
                    </a:stretch>
                  </pic:blipFill>
                  <pic:spPr>
                    <a:xfrm>
                      <a:off x="0" y="0"/>
                      <a:ext cx="5256000" cy="2027314"/>
                    </a:xfrm>
                    <a:prstGeom prst="rect"/>
                  </pic:spPr>
                </pic:pic>
              </a:graphicData>
            </a:graphic>
          </wp:inline>
        </w:drawing>
      </w:r>
    </w:p>
    <w:p>
      <w:pPr>
        <w:keepLines/>
        <w:spacing w:after="120" w:line="240" w:lineRule="auto"/>
        <w:jc w:val="center"/>
      </w:pPr>
      <w:r>
        <w:rPr>
          <w:i/>
          <w:color w:val="595959"/>
          <w:sz w:val="15"/>
        </w:rPr>
        <w:t>Figure 7. The loss waterfall. Losses are absorbed in a fixed order, so lender exposure is bounded and predictable.</w:t>
      </w:r>
    </w:p>
    <w:p>
      <w:r>
        <w:rPr>
          <w:rFonts w:ascii="Times New Roman" w:hAnsi="Times New Roman" w:eastAsia="Times New Roman"/>
        </w:rPr>
        <w:t>The ordering matters. Collateral is the borrower's own money and absorbs the first loss; the reserve, funded by 10% of every interest payment, absorbs the next tranche; only the residual reaches lenders, where it is shared pro rata through a fall in the share price. The borrower is then blocked and their history bonus is reset to zero. Section 9.7 shows that the reserve funded from interest alone is weak protection, and that a sponsor-funded first-loss tranche is what actually changes lender outcomes. That is an unflattering finding, and the team kept it.</w:t>
      </w:r>
    </w:p>
    <w:p>
      <w:pPr>
        <w:pStyle w:val="Heading2"/>
      </w:pPr>
      <w:r>
        <w:t>5.3 Transaction types and gas</w:t>
      </w:r>
    </w:p>
    <w:p>
      <w:pPr>
        <w:keepNext/>
        <w:spacing w:after="40" w:before="80"/>
      </w:pPr>
      <w:r>
        <w:rPr>
          <w:b/>
          <w:color w:val="1F4E79"/>
          <w:sz w:val="16"/>
        </w:rPr>
        <w:t>Table 15. Nineteen transaction types, comfortably more than the ten required by FR-04. Each entry names the function, the contract and the sender.</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389"/>
            <w:shd w:val="clear" w:color="auto" w:fill="1F4E79"/>
          </w:tcPr>
          <w:p>
            <w:pPr>
              <w:spacing w:after="0" w:line="240" w:lineRule="auto"/>
            </w:pPr>
            <w:r/>
            <w:r>
              <w:rPr>
                <w:b/>
                <w:color w:val="FFFFFF"/>
                <w:sz w:val="13"/>
                <w:rFonts w:ascii="Times New Roman" w:hAnsi="Times New Roman" w:eastAsia="Times New Roman"/>
              </w:rPr>
              <w:t>#</w:t>
            </w:r>
          </w:p>
        </w:tc>
        <w:tc>
          <w:tcPr>
            <w:tcW w:type="dxa" w:w="4004"/>
            <w:shd w:val="clear" w:color="auto" w:fill="1F4E79"/>
          </w:tcPr>
          <w:p>
            <w:pPr>
              <w:spacing w:after="0" w:line="240" w:lineRule="auto"/>
            </w:pPr>
            <w:r/>
            <w:r>
              <w:rPr>
                <w:b/>
                <w:color w:val="FFFFFF"/>
                <w:sz w:val="13"/>
                <w:rFonts w:ascii="Times New Roman" w:hAnsi="Times New Roman" w:eastAsia="Times New Roman"/>
              </w:rPr>
              <w:t>Transaction and contract</w:t>
            </w:r>
          </w:p>
        </w:tc>
        <w:tc>
          <w:tcPr>
            <w:tcW w:type="dxa" w:w="389"/>
            <w:shd w:val="clear" w:color="auto" w:fill="1F4E79"/>
          </w:tcPr>
          <w:p>
            <w:pPr>
              <w:spacing w:after="0" w:line="240" w:lineRule="auto"/>
            </w:pPr>
            <w:r/>
            <w:r>
              <w:rPr>
                <w:b/>
                <w:color w:val="FFFFFF"/>
                <w:sz w:val="13"/>
                <w:rFonts w:ascii="Times New Roman" w:hAnsi="Times New Roman" w:eastAsia="Times New Roman"/>
              </w:rPr>
              <w:t>#</w:t>
            </w:r>
          </w:p>
        </w:tc>
        <w:tc>
          <w:tcPr>
            <w:tcW w:type="dxa" w:w="4004"/>
            <w:shd w:val="clear" w:color="auto" w:fill="1F4E79"/>
          </w:tcPr>
          <w:p>
            <w:pPr>
              <w:spacing w:after="0" w:line="240" w:lineRule="auto"/>
            </w:pPr>
            <w:r/>
            <w:r>
              <w:rPr>
                <w:b/>
                <w:color w:val="FFFFFF"/>
                <w:sz w:val="13"/>
                <w:rFonts w:ascii="Times New Roman" w:hAnsi="Times New Roman" w:eastAsia="Times New Roman"/>
              </w:rPr>
              <w:t>Transaction and contract</w:t>
            </w:r>
          </w:p>
        </w:tc>
      </w:tr>
      <w:tr>
        <w:tc>
          <w:tcPr>
            <w:tcW w:type="dxa" w:w="389"/>
          </w:tcPr>
          <w:p>
            <w:pPr>
              <w:spacing w:after="0" w:before="0" w:line="240" w:lineRule="auto"/>
            </w:pPr>
            <w:r>
              <w:rPr>
                <w:sz w:val="13"/>
              </w:rPr>
            </w:r>
            <w:r>
              <w:rPr>
                <w:rFonts w:ascii="Times New Roman" w:hAnsi="Times New Roman" w:eastAsia="Times New Roman"/>
                <w:sz w:val="13"/>
              </w:rPr>
              <w:t>1</w:t>
            </w:r>
          </w:p>
        </w:tc>
        <w:tc>
          <w:tcPr>
            <w:tcW w:type="dxa" w:w="4004"/>
          </w:tcPr>
          <w:p>
            <w:pPr>
              <w:spacing w:after="0" w:before="0" w:line="240" w:lineRule="auto"/>
            </w:pPr>
            <w:r>
              <w:rPr>
                <w:sz w:val="13"/>
              </w:rPr>
            </w:r>
            <w:r>
              <w:rPr>
                <w:rFonts w:ascii="Times New Roman" w:hAnsi="Times New Roman" w:eastAsia="Times New Roman"/>
                <w:sz w:val="13"/>
              </w:rPr>
              <w:t>deposit(amount), LendingPool, lender</w:t>
            </w:r>
          </w:p>
        </w:tc>
        <w:tc>
          <w:tcPr>
            <w:tcW w:type="dxa" w:w="389"/>
          </w:tcPr>
          <w:p>
            <w:pPr>
              <w:spacing w:after="0" w:before="0" w:line="240" w:lineRule="auto"/>
            </w:pPr>
            <w:r>
              <w:rPr>
                <w:sz w:val="13"/>
              </w:rPr>
            </w:r>
            <w:r>
              <w:rPr>
                <w:rFonts w:ascii="Times New Roman" w:hAnsi="Times New Roman" w:eastAsia="Times New Roman"/>
                <w:sz w:val="13"/>
              </w:rPr>
              <w:t>2</w:t>
            </w:r>
          </w:p>
        </w:tc>
        <w:tc>
          <w:tcPr>
            <w:tcW w:type="dxa" w:w="4004"/>
          </w:tcPr>
          <w:p>
            <w:pPr>
              <w:spacing w:after="0" w:before="0" w:line="240" w:lineRule="auto"/>
            </w:pPr>
            <w:r>
              <w:rPr>
                <w:sz w:val="13"/>
              </w:rPr>
            </w:r>
            <w:r>
              <w:rPr>
                <w:rFonts w:ascii="Times New Roman" w:hAnsi="Times New Roman" w:eastAsia="Times New Roman"/>
                <w:sz w:val="13"/>
              </w:rPr>
              <w:t>withdraw(shares), LendingPool, lender</w:t>
            </w:r>
          </w:p>
        </w:tc>
      </w:tr>
      <w:tr>
        <w:tc>
          <w:tcPr>
            <w:tcW w:type="dxa" w:w="389"/>
          </w:tcPr>
          <w:p>
            <w:pPr>
              <w:spacing w:after="0" w:before="0" w:line="240" w:lineRule="auto"/>
            </w:pPr>
            <w:r>
              <w:rPr>
                <w:sz w:val="13"/>
              </w:rPr>
            </w:r>
            <w:r>
              <w:rPr>
                <w:rFonts w:ascii="Times New Roman" w:hAnsi="Times New Roman" w:eastAsia="Times New Roman"/>
                <w:sz w:val="13"/>
              </w:rPr>
              <w:t>3</w:t>
            </w:r>
          </w:p>
        </w:tc>
        <w:tc>
          <w:tcPr>
            <w:tcW w:type="dxa" w:w="4004"/>
          </w:tcPr>
          <w:p>
            <w:pPr>
              <w:spacing w:after="0" w:before="0" w:line="240" w:lineRule="auto"/>
            </w:pPr>
            <w:r>
              <w:rPr>
                <w:sz w:val="13"/>
              </w:rPr>
            </w:r>
            <w:r>
              <w:rPr>
                <w:rFonts w:ascii="Times New Roman" w:hAnsi="Times New Roman" w:eastAsia="Times New Roman"/>
                <w:sz w:val="13"/>
              </w:rPr>
              <w:t>applyLoan(amount, termDays, purposeHash), LoanManager, borrower</w:t>
            </w:r>
          </w:p>
        </w:tc>
        <w:tc>
          <w:tcPr>
            <w:tcW w:type="dxa" w:w="389"/>
          </w:tcPr>
          <w:p>
            <w:pPr>
              <w:spacing w:after="0" w:before="0" w:line="240" w:lineRule="auto"/>
            </w:pPr>
            <w:r>
              <w:rPr>
                <w:sz w:val="13"/>
              </w:rPr>
            </w:r>
            <w:r>
              <w:rPr>
                <w:rFonts w:ascii="Times New Roman" w:hAnsi="Times New Roman" w:eastAsia="Times New Roman"/>
                <w:sz w:val="13"/>
              </w:rPr>
              <w:t>4</w:t>
            </w:r>
          </w:p>
        </w:tc>
        <w:tc>
          <w:tcPr>
            <w:tcW w:type="dxa" w:w="4004"/>
          </w:tcPr>
          <w:p>
            <w:pPr>
              <w:spacing w:after="0" w:before="0" w:line="240" w:lineRule="auto"/>
            </w:pPr>
            <w:r>
              <w:rPr>
                <w:sz w:val="13"/>
              </w:rPr>
            </w:r>
            <w:r>
              <w:rPr>
                <w:rFonts w:ascii="Times New Roman" w:hAnsi="Times New Roman" w:eastAsia="Times New Roman"/>
                <w:sz w:val="13"/>
              </w:rPr>
              <w:t>approveLoan(loanId, amount), LoanManager, officer</w:t>
            </w:r>
          </w:p>
        </w:tc>
      </w:tr>
      <w:tr>
        <w:tc>
          <w:tcPr>
            <w:tcW w:type="dxa" w:w="389"/>
          </w:tcPr>
          <w:p>
            <w:pPr>
              <w:spacing w:after="0" w:before="0" w:line="240" w:lineRule="auto"/>
            </w:pPr>
            <w:r>
              <w:rPr>
                <w:sz w:val="13"/>
              </w:rPr>
            </w:r>
            <w:r>
              <w:rPr>
                <w:rFonts w:ascii="Times New Roman" w:hAnsi="Times New Roman" w:eastAsia="Times New Roman"/>
                <w:sz w:val="13"/>
              </w:rPr>
              <w:t>5</w:t>
            </w:r>
          </w:p>
        </w:tc>
        <w:tc>
          <w:tcPr>
            <w:tcW w:type="dxa" w:w="4004"/>
          </w:tcPr>
          <w:p>
            <w:pPr>
              <w:spacing w:after="0" w:before="0" w:line="240" w:lineRule="auto"/>
            </w:pPr>
            <w:r>
              <w:rPr>
                <w:sz w:val="13"/>
              </w:rPr>
            </w:r>
            <w:r>
              <w:rPr>
                <w:rFonts w:ascii="Times New Roman" w:hAnsi="Times New Roman" w:eastAsia="Times New Roman"/>
                <w:sz w:val="13"/>
              </w:rPr>
              <w:t>rejectLoan(loanId, reasonHash), LoanManager, officer</w:t>
            </w:r>
          </w:p>
        </w:tc>
        <w:tc>
          <w:tcPr>
            <w:tcW w:type="dxa" w:w="389"/>
          </w:tcPr>
          <w:p>
            <w:pPr>
              <w:spacing w:after="0" w:before="0" w:line="240" w:lineRule="auto"/>
            </w:pPr>
            <w:r>
              <w:rPr>
                <w:sz w:val="13"/>
              </w:rPr>
            </w:r>
            <w:r>
              <w:rPr>
                <w:rFonts w:ascii="Times New Roman" w:hAnsi="Times New Roman" w:eastAsia="Times New Roman"/>
                <w:sz w:val="13"/>
              </w:rPr>
              <w:t>6</w:t>
            </w:r>
          </w:p>
        </w:tc>
        <w:tc>
          <w:tcPr>
            <w:tcW w:type="dxa" w:w="4004"/>
          </w:tcPr>
          <w:p>
            <w:pPr>
              <w:spacing w:after="0" w:before="0" w:line="240" w:lineRule="auto"/>
            </w:pPr>
            <w:r>
              <w:rPr>
                <w:sz w:val="13"/>
              </w:rPr>
            </w:r>
            <w:r>
              <w:rPr>
                <w:rFonts w:ascii="Times New Roman" w:hAnsi="Times New Roman" w:eastAsia="Times New Roman"/>
                <w:sz w:val="13"/>
              </w:rPr>
              <w:t>cancelLoan(loanId), LoanManager, borrower</w:t>
            </w:r>
          </w:p>
        </w:tc>
      </w:tr>
      <w:tr>
        <w:tc>
          <w:tcPr>
            <w:tcW w:type="dxa" w:w="389"/>
          </w:tcPr>
          <w:p>
            <w:pPr>
              <w:spacing w:after="0" w:before="0" w:line="240" w:lineRule="auto"/>
            </w:pPr>
            <w:r>
              <w:rPr>
                <w:sz w:val="13"/>
              </w:rPr>
            </w:r>
            <w:r>
              <w:rPr>
                <w:rFonts w:ascii="Times New Roman" w:hAnsi="Times New Roman" w:eastAsia="Times New Roman"/>
                <w:sz w:val="13"/>
              </w:rPr>
              <w:t>7</w:t>
            </w:r>
          </w:p>
        </w:tc>
        <w:tc>
          <w:tcPr>
            <w:tcW w:type="dxa" w:w="4004"/>
          </w:tcPr>
          <w:p>
            <w:pPr>
              <w:spacing w:after="0" w:before="0" w:line="240" w:lineRule="auto"/>
            </w:pPr>
            <w:r>
              <w:rPr>
                <w:sz w:val="13"/>
              </w:rPr>
            </w:r>
            <w:r>
              <w:rPr>
                <w:rFonts w:ascii="Times New Roman" w:hAnsi="Times New Roman" w:eastAsia="Times New Roman"/>
                <w:sz w:val="13"/>
              </w:rPr>
              <w:t>depositCollateral(loanId), LoanManager to vault, borrower</w:t>
            </w:r>
          </w:p>
        </w:tc>
        <w:tc>
          <w:tcPr>
            <w:tcW w:type="dxa" w:w="389"/>
          </w:tcPr>
          <w:p>
            <w:pPr>
              <w:spacing w:after="0" w:before="0" w:line="240" w:lineRule="auto"/>
            </w:pPr>
            <w:r>
              <w:rPr>
                <w:sz w:val="13"/>
              </w:rPr>
            </w:r>
            <w:r>
              <w:rPr>
                <w:rFonts w:ascii="Times New Roman" w:hAnsi="Times New Roman" w:eastAsia="Times New Roman"/>
                <w:sz w:val="13"/>
              </w:rPr>
              <w:t>8</w:t>
            </w:r>
          </w:p>
        </w:tc>
        <w:tc>
          <w:tcPr>
            <w:tcW w:type="dxa" w:w="4004"/>
          </w:tcPr>
          <w:p>
            <w:pPr>
              <w:spacing w:after="0" w:before="0" w:line="240" w:lineRule="auto"/>
            </w:pPr>
            <w:r>
              <w:rPr>
                <w:sz w:val="13"/>
              </w:rPr>
            </w:r>
            <w:r>
              <w:rPr>
                <w:rFonts w:ascii="Times New Roman" w:hAnsi="Times New Roman" w:eastAsia="Times New Roman"/>
                <w:sz w:val="13"/>
              </w:rPr>
              <w:t>disburse(loanId), LoanManager to pool, borrower or officer</w:t>
            </w:r>
          </w:p>
        </w:tc>
      </w:tr>
      <w:tr>
        <w:tc>
          <w:tcPr>
            <w:tcW w:type="dxa" w:w="389"/>
          </w:tcPr>
          <w:p>
            <w:pPr>
              <w:spacing w:after="0" w:before="0" w:line="240" w:lineRule="auto"/>
            </w:pPr>
            <w:r>
              <w:rPr>
                <w:sz w:val="13"/>
              </w:rPr>
            </w:r>
            <w:r>
              <w:rPr>
                <w:rFonts w:ascii="Times New Roman" w:hAnsi="Times New Roman" w:eastAsia="Times New Roman"/>
                <w:sz w:val="13"/>
              </w:rPr>
              <w:t>9</w:t>
            </w:r>
          </w:p>
        </w:tc>
        <w:tc>
          <w:tcPr>
            <w:tcW w:type="dxa" w:w="4004"/>
          </w:tcPr>
          <w:p>
            <w:pPr>
              <w:spacing w:after="0" w:before="0" w:line="240" w:lineRule="auto"/>
            </w:pPr>
            <w:r>
              <w:rPr>
                <w:sz w:val="13"/>
              </w:rPr>
            </w:r>
            <w:r>
              <w:rPr>
                <w:rFonts w:ascii="Times New Roman" w:hAnsi="Times New Roman" w:eastAsia="Times New Roman"/>
                <w:sz w:val="13"/>
              </w:rPr>
              <w:t>repay(loanId, amount), LoanManager to pool, borrower</w:t>
            </w:r>
          </w:p>
        </w:tc>
        <w:tc>
          <w:tcPr>
            <w:tcW w:type="dxa" w:w="389"/>
          </w:tcPr>
          <w:p>
            <w:pPr>
              <w:spacing w:after="0" w:before="0" w:line="240" w:lineRule="auto"/>
            </w:pPr>
            <w:r>
              <w:rPr>
                <w:sz w:val="13"/>
              </w:rPr>
            </w:r>
            <w:r>
              <w:rPr>
                <w:rFonts w:ascii="Times New Roman" w:hAnsi="Times New Roman" w:eastAsia="Times New Roman"/>
                <w:sz w:val="13"/>
              </w:rPr>
              <w:t>10</w:t>
            </w:r>
          </w:p>
        </w:tc>
        <w:tc>
          <w:tcPr>
            <w:tcW w:type="dxa" w:w="4004"/>
          </w:tcPr>
          <w:p>
            <w:pPr>
              <w:spacing w:after="0" w:before="0" w:line="240" w:lineRule="auto"/>
            </w:pPr>
            <w:r>
              <w:rPr>
                <w:sz w:val="13"/>
              </w:rPr>
            </w:r>
            <w:r>
              <w:rPr>
                <w:rFonts w:ascii="Times New Roman" w:hAnsi="Times New Roman" w:eastAsia="Times New Roman"/>
                <w:sz w:val="13"/>
              </w:rPr>
              <w:t>markDefault(loanId), vault, pool and registry, any wallet</w:t>
            </w:r>
          </w:p>
        </w:tc>
      </w:tr>
      <w:tr>
        <w:tc>
          <w:tcPr>
            <w:tcW w:type="dxa" w:w="389"/>
          </w:tcPr>
          <w:p>
            <w:pPr>
              <w:spacing w:after="0" w:before="0" w:line="240" w:lineRule="auto"/>
            </w:pPr>
            <w:r>
              <w:rPr>
                <w:sz w:val="13"/>
              </w:rPr>
            </w:r>
            <w:r>
              <w:rPr>
                <w:rFonts w:ascii="Times New Roman" w:hAnsi="Times New Roman" w:eastAsia="Times New Roman"/>
                <w:sz w:val="13"/>
              </w:rPr>
              <w:t>11</w:t>
            </w:r>
          </w:p>
        </w:tc>
        <w:tc>
          <w:tcPr>
            <w:tcW w:type="dxa" w:w="4004"/>
          </w:tcPr>
          <w:p>
            <w:pPr>
              <w:spacing w:after="0" w:before="0" w:line="240" w:lineRule="auto"/>
            </w:pPr>
            <w:r>
              <w:rPr>
                <w:sz w:val="13"/>
              </w:rPr>
            </w:r>
            <w:r>
              <w:rPr>
                <w:rFonts w:ascii="Times New Roman" w:hAnsi="Times New Roman" w:eastAsia="Times New Roman"/>
                <w:sz w:val="13"/>
              </w:rPr>
              <w:t>updateScoreWithSignature, CreditRegistry, borrower</w:t>
            </w:r>
          </w:p>
        </w:tc>
        <w:tc>
          <w:tcPr>
            <w:tcW w:type="dxa" w:w="389"/>
          </w:tcPr>
          <w:p>
            <w:pPr>
              <w:spacing w:after="0" w:before="0" w:line="240" w:lineRule="auto"/>
            </w:pPr>
            <w:r>
              <w:rPr>
                <w:sz w:val="13"/>
              </w:rPr>
            </w:r>
            <w:r>
              <w:rPr>
                <w:rFonts w:ascii="Times New Roman" w:hAnsi="Times New Roman" w:eastAsia="Times New Roman"/>
                <w:sz w:val="13"/>
              </w:rPr>
              <w:t>12</w:t>
            </w:r>
          </w:p>
        </w:tc>
        <w:tc>
          <w:tcPr>
            <w:tcW w:type="dxa" w:w="4004"/>
          </w:tcPr>
          <w:p>
            <w:pPr>
              <w:spacing w:after="0" w:before="0" w:line="240" w:lineRule="auto"/>
            </w:pPr>
            <w:r>
              <w:rPr>
                <w:sz w:val="13"/>
              </w:rPr>
            </w:r>
            <w:r>
              <w:rPr>
                <w:rFonts w:ascii="Times New Roman" w:hAnsi="Times New Roman" w:eastAsia="Times New Roman"/>
                <w:sz w:val="13"/>
              </w:rPr>
              <w:t>updateScore, CreditRegistry, scorer key</w:t>
            </w:r>
          </w:p>
        </w:tc>
      </w:tr>
      <w:tr>
        <w:tc>
          <w:tcPr>
            <w:tcW w:type="dxa" w:w="389"/>
          </w:tcPr>
          <w:p>
            <w:pPr>
              <w:spacing w:after="0" w:before="0" w:line="240" w:lineRule="auto"/>
            </w:pPr>
            <w:r>
              <w:rPr>
                <w:sz w:val="13"/>
              </w:rPr>
            </w:r>
            <w:r>
              <w:rPr>
                <w:rFonts w:ascii="Times New Roman" w:hAnsi="Times New Roman" w:eastAsia="Times New Roman"/>
                <w:sz w:val="13"/>
              </w:rPr>
              <w:t>13</w:t>
            </w:r>
          </w:p>
        </w:tc>
        <w:tc>
          <w:tcPr>
            <w:tcW w:type="dxa" w:w="4004"/>
          </w:tcPr>
          <w:p>
            <w:pPr>
              <w:spacing w:after="0" w:before="0" w:line="240" w:lineRule="auto"/>
            </w:pPr>
            <w:r>
              <w:rPr>
                <w:sz w:val="13"/>
              </w:rPr>
            </w:r>
            <w:r>
              <w:rPr>
                <w:rFonts w:ascii="Times New Roman" w:hAnsi="Times New Roman" w:eastAsia="Times New Roman"/>
                <w:sz w:val="13"/>
              </w:rPr>
              <w:t>addAuditNote(loanId, noteHash), LoanManager, auditor</w:t>
            </w:r>
          </w:p>
        </w:tc>
        <w:tc>
          <w:tcPr>
            <w:tcW w:type="dxa" w:w="389"/>
          </w:tcPr>
          <w:p>
            <w:pPr>
              <w:spacing w:after="0" w:before="0" w:line="240" w:lineRule="auto"/>
            </w:pPr>
            <w:r>
              <w:rPr>
                <w:sz w:val="13"/>
              </w:rPr>
            </w:r>
            <w:r>
              <w:rPr>
                <w:rFonts w:ascii="Times New Roman" w:hAnsi="Times New Roman" w:eastAsia="Times New Roman"/>
                <w:sz w:val="13"/>
              </w:rPr>
              <w:t>14</w:t>
            </w:r>
          </w:p>
        </w:tc>
        <w:tc>
          <w:tcPr>
            <w:tcW w:type="dxa" w:w="4004"/>
          </w:tcPr>
          <w:p>
            <w:pPr>
              <w:spacing w:after="0" w:before="0" w:line="240" w:lineRule="auto"/>
            </w:pPr>
            <w:r>
              <w:rPr>
                <w:sz w:val="13"/>
              </w:rPr>
            </w:r>
            <w:r>
              <w:rPr>
                <w:rFonts w:ascii="Times New Roman" w:hAnsi="Times New Roman" w:eastAsia="Times New Roman"/>
                <w:sz w:val="13"/>
              </w:rPr>
              <w:t>fundReserve(amount), LendingPool, admin</w:t>
            </w:r>
          </w:p>
        </w:tc>
      </w:tr>
      <w:tr>
        <w:tc>
          <w:tcPr>
            <w:tcW w:type="dxa" w:w="389"/>
          </w:tcPr>
          <w:p>
            <w:pPr>
              <w:spacing w:after="0" w:before="0" w:line="240" w:lineRule="auto"/>
            </w:pPr>
            <w:r>
              <w:rPr>
                <w:sz w:val="13"/>
              </w:rPr>
            </w:r>
            <w:r>
              <w:rPr>
                <w:rFonts w:ascii="Times New Roman" w:hAnsi="Times New Roman" w:eastAsia="Times New Roman"/>
                <w:sz w:val="13"/>
              </w:rPr>
              <w:t>15</w:t>
            </w:r>
          </w:p>
        </w:tc>
        <w:tc>
          <w:tcPr>
            <w:tcW w:type="dxa" w:w="4004"/>
          </w:tcPr>
          <w:p>
            <w:pPr>
              <w:spacing w:after="0" w:before="0" w:line="240" w:lineRule="auto"/>
            </w:pPr>
            <w:r>
              <w:rPr>
                <w:sz w:val="13"/>
              </w:rPr>
            </w:r>
            <w:r>
              <w:rPr>
                <w:rFonts w:ascii="Times New Roman" w:hAnsi="Times New Roman" w:eastAsia="Times New Roman"/>
                <w:sz w:val="13"/>
              </w:rPr>
              <w:t>grantRole and revokeRole, any contract, admin</w:t>
            </w:r>
          </w:p>
        </w:tc>
        <w:tc>
          <w:tcPr>
            <w:tcW w:type="dxa" w:w="389"/>
          </w:tcPr>
          <w:p>
            <w:pPr>
              <w:spacing w:after="0" w:before="0" w:line="240" w:lineRule="auto"/>
            </w:pPr>
            <w:r>
              <w:rPr>
                <w:sz w:val="13"/>
              </w:rPr>
            </w:r>
            <w:r>
              <w:rPr>
                <w:rFonts w:ascii="Times New Roman" w:hAnsi="Times New Roman" w:eastAsia="Times New Roman"/>
                <w:sz w:val="13"/>
              </w:rPr>
              <w:t>16</w:t>
            </w:r>
          </w:p>
        </w:tc>
        <w:tc>
          <w:tcPr>
            <w:tcW w:type="dxa" w:w="4004"/>
          </w:tcPr>
          <w:p>
            <w:pPr>
              <w:spacing w:after="0" w:before="0" w:line="240" w:lineRule="auto"/>
            </w:pPr>
            <w:r>
              <w:rPr>
                <w:sz w:val="13"/>
              </w:rPr>
            </w:r>
            <w:r>
              <w:rPr>
                <w:rFonts w:ascii="Times New Roman" w:hAnsi="Times New Roman" w:eastAsia="Times New Roman"/>
                <w:sz w:val="13"/>
              </w:rPr>
              <w:t>pause and unpause, LoanManager and LendingPool, pauser</w:t>
            </w:r>
          </w:p>
        </w:tc>
      </w:tr>
      <w:tr>
        <w:tc>
          <w:tcPr>
            <w:tcW w:type="dxa" w:w="389"/>
          </w:tcPr>
          <w:p>
            <w:pPr>
              <w:spacing w:after="0" w:before="0" w:line="240" w:lineRule="auto"/>
            </w:pPr>
            <w:r>
              <w:rPr>
                <w:sz w:val="13"/>
              </w:rPr>
            </w:r>
            <w:r>
              <w:rPr>
                <w:rFonts w:ascii="Times New Roman" w:hAnsi="Times New Roman" w:eastAsia="Times New Roman"/>
                <w:sz w:val="13"/>
              </w:rPr>
              <w:t>17</w:t>
            </w:r>
          </w:p>
        </w:tc>
        <w:tc>
          <w:tcPr>
            <w:tcW w:type="dxa" w:w="4004"/>
          </w:tcPr>
          <w:p>
            <w:pPr>
              <w:spacing w:after="0" w:before="0" w:line="240" w:lineRule="auto"/>
            </w:pPr>
            <w:r>
              <w:rPr>
                <w:sz w:val="13"/>
              </w:rPr>
            </w:r>
            <w:r>
              <w:rPr>
                <w:rFonts w:ascii="Times New Roman" w:hAnsi="Times New Roman" w:eastAsia="Times New Roman"/>
                <w:sz w:val="13"/>
              </w:rPr>
              <w:t>setBlocked and setTier, CreditRegistry, admin</w:t>
            </w:r>
          </w:p>
        </w:tc>
        <w:tc>
          <w:tcPr>
            <w:tcW w:type="dxa" w:w="389"/>
          </w:tcPr>
          <w:p>
            <w:pPr>
              <w:spacing w:after="0" w:before="0" w:line="240" w:lineRule="auto"/>
            </w:pPr>
            <w:r>
              <w:rPr>
                <w:sz w:val="13"/>
              </w:rPr>
            </w:r>
            <w:r>
              <w:rPr>
                <w:rFonts w:ascii="Times New Roman" w:hAnsi="Times New Roman" w:eastAsia="Times New Roman"/>
                <w:sz w:val="13"/>
              </w:rPr>
              <w:t>18</w:t>
            </w:r>
          </w:p>
        </w:tc>
        <w:tc>
          <w:tcPr>
            <w:tcW w:type="dxa" w:w="4004"/>
          </w:tcPr>
          <w:p>
            <w:pPr>
              <w:spacing w:after="0" w:before="0" w:line="240" w:lineRule="auto"/>
            </w:pPr>
            <w:r>
              <w:rPr>
                <w:sz w:val="13"/>
              </w:rPr>
            </w:r>
            <w:r>
              <w:rPr>
                <w:rFonts w:ascii="Times New Roman" w:hAnsi="Times New Roman" w:eastAsia="Times New Roman"/>
                <w:sz w:val="13"/>
              </w:rPr>
              <w:t>setReserveBps and setMaxUtilizationBps, LendingPool, admin</w:t>
            </w:r>
          </w:p>
        </w:tc>
      </w:tr>
      <w:tr>
        <w:tc>
          <w:tcPr>
            <w:tcW w:type="dxa" w:w="389"/>
          </w:tcPr>
          <w:p>
            <w:pPr>
              <w:spacing w:after="0" w:before="0" w:line="240" w:lineRule="auto"/>
            </w:pPr>
            <w:r>
              <w:rPr>
                <w:sz w:val="13"/>
              </w:rPr>
            </w:r>
            <w:r>
              <w:rPr>
                <w:rFonts w:ascii="Times New Roman" w:hAnsi="Times New Roman" w:eastAsia="Times New Roman"/>
                <w:sz w:val="13"/>
              </w:rPr>
              <w:t>19</w:t>
            </w:r>
          </w:p>
        </w:tc>
        <w:tc>
          <w:tcPr>
            <w:tcW w:type="dxa" w:w="4004"/>
          </w:tcPr>
          <w:p>
            <w:pPr>
              <w:spacing w:after="0" w:before="0" w:line="240" w:lineRule="auto"/>
            </w:pPr>
            <w:r>
              <w:rPr>
                <w:sz w:val="13"/>
              </w:rPr>
            </w:r>
            <w:r>
              <w:rPr>
                <w:rFonts w:ascii="Times New Roman" w:hAnsi="Times New Roman" w:eastAsia="Times New Roman"/>
                <w:sz w:val="13"/>
              </w:rPr>
              <w:t>faucet and approve, MockStablecoin, any wallet</w:t>
            </w:r>
          </w:p>
        </w:tc>
        <w:tc>
          <w:tcPr>
            <w:tcW w:type="dxa" w:w="389"/>
          </w:tcPr>
          <w:p>
            <w:pPr>
              <w:spacing w:after="0" w:before="0" w:line="240" w:lineRule="auto"/>
            </w:pPr>
            <w:r>
              <w:rPr>
                <w:sz w:val="13"/>
              </w:rPr>
            </w:r>
            <w:r>
              <w:rPr>
                <w:rFonts w:ascii="Times New Roman" w:hAnsi="Times New Roman" w:eastAsia="Times New Roman"/>
                <w:sz w:val="13"/>
              </w:rPr>
              <w:t>—</w:t>
            </w:r>
          </w:p>
        </w:tc>
        <w:tc>
          <w:tcPr>
            <w:tcW w:type="dxa" w:w="4004"/>
          </w:tcPr>
          <w:p>
            <w:pPr>
              <w:spacing w:after="0" w:before="0" w:line="240" w:lineRule="auto"/>
            </w:pPr>
            <w:r>
              <w:rPr>
                <w:sz w:val="13"/>
              </w:rPr>
            </w:r>
            <w:r>
              <w:rPr>
                <w:rFonts w:ascii="Times New Roman" w:hAnsi="Times New Roman" w:eastAsia="Times New Roman"/>
                <w:sz w:val="13"/>
              </w:rPr>
              <w:t>—</w:t>
            </w:r>
          </w:p>
        </w:tc>
      </w:tr>
    </w:tbl>
    <w:p>
      <w:pPr>
        <w:spacing w:after="0" w:before="0"/>
      </w:pPr>
    </w:p>
    <w:p>
      <w:pPr>
        <w:keepNext/>
        <w:spacing w:after="40" w:before="80"/>
      </w:pPr>
      <w:r>
        <w:rPr>
          <w:b/>
          <w:color w:val="1F4E79"/>
          <w:sz w:val="16"/>
        </w:rPr>
        <w:t>Table 16. Gas report, measured with the gas reporter at optimiser 200 runs and viaIR. The USD column in the repository is intentionally blank because no price feed is configured; converting to a currency requires a stated gas price, ETH price and date.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4082"/>
            <w:shd w:val="clear" w:color="auto" w:fill="1F4E79"/>
          </w:tcPr>
          <w:p>
            <w:pPr>
              <w:spacing w:after="0" w:line="240" w:lineRule="auto"/>
            </w:pPr>
            <w:r/>
            <w:r>
              <w:rPr>
                <w:b/>
                <w:color w:val="FFFFFF"/>
                <w:sz w:val="14"/>
                <w:rFonts w:ascii="Times New Roman" w:hAnsi="Times New Roman" w:eastAsia="Times New Roman"/>
              </w:rPr>
              <w:t>Function</w:t>
            </w:r>
          </w:p>
        </w:tc>
        <w:tc>
          <w:tcPr>
            <w:tcW w:type="dxa" w:w="1587"/>
            <w:shd w:val="clear" w:color="auto" w:fill="1F4E79"/>
          </w:tcPr>
          <w:p>
            <w:pPr>
              <w:spacing w:after="0" w:line="240" w:lineRule="auto"/>
            </w:pPr>
            <w:r/>
            <w:r>
              <w:rPr>
                <w:b/>
                <w:color w:val="FFFFFF"/>
                <w:sz w:val="14"/>
                <w:rFonts w:ascii="Times New Roman" w:hAnsi="Times New Roman" w:eastAsia="Times New Roman"/>
              </w:rPr>
              <w:t>Min gas</w:t>
            </w:r>
          </w:p>
        </w:tc>
        <w:tc>
          <w:tcPr>
            <w:tcW w:type="dxa" w:w="1587"/>
            <w:shd w:val="clear" w:color="auto" w:fill="1F4E79"/>
          </w:tcPr>
          <w:p>
            <w:pPr>
              <w:spacing w:after="0" w:line="240" w:lineRule="auto"/>
            </w:pPr>
            <w:r/>
            <w:r>
              <w:rPr>
                <w:b/>
                <w:color w:val="FFFFFF"/>
                <w:sz w:val="14"/>
                <w:rFonts w:ascii="Times New Roman" w:hAnsi="Times New Roman" w:eastAsia="Times New Roman"/>
              </w:rPr>
              <w:t>Max gas</w:t>
            </w:r>
          </w:p>
        </w:tc>
        <w:tc>
          <w:tcPr>
            <w:tcW w:type="dxa" w:w="1531"/>
            <w:shd w:val="clear" w:color="auto" w:fill="1F4E79"/>
          </w:tcPr>
          <w:p>
            <w:pPr>
              <w:spacing w:after="0" w:line="240" w:lineRule="auto"/>
            </w:pPr>
            <w:r/>
            <w:r>
              <w:rPr>
                <w:b/>
                <w:color w:val="FFFFFF"/>
                <w:sz w:val="14"/>
                <w:rFonts w:ascii="Times New Roman" w:hAnsi="Times New Roman" w:eastAsia="Times New Roman"/>
              </w:rPr>
              <w:t>Average gas</w:t>
            </w:r>
          </w:p>
        </w:tc>
      </w:tr>
      <w:tr>
        <w:tc>
          <w:tcPr>
            <w:tcW w:type="dxa" w:w="4082"/>
          </w:tcPr>
          <w:p>
            <w:pPr>
              <w:spacing w:after="0" w:before="0" w:line="240" w:lineRule="auto"/>
            </w:pPr>
            <w:r>
              <w:rPr>
                <w:sz w:val="14"/>
              </w:rPr>
            </w:r>
            <w:r>
              <w:rPr>
                <w:rFonts w:ascii="Times New Roman" w:hAnsi="Times New Roman" w:eastAsia="Times New Roman"/>
                <w:sz w:val="14"/>
              </w:rPr>
              <w:t>LendingPool.deposit</w:t>
            </w:r>
          </w:p>
        </w:tc>
        <w:tc>
          <w:tcPr>
            <w:tcW w:type="dxa" w:w="1587"/>
          </w:tcPr>
          <w:p>
            <w:pPr>
              <w:spacing w:after="0" w:before="0" w:line="240" w:lineRule="auto"/>
            </w:pPr>
            <w:r>
              <w:rPr>
                <w:sz w:val="14"/>
              </w:rPr>
            </w:r>
            <w:r>
              <w:rPr>
                <w:rFonts w:ascii="Times New Roman" w:hAnsi="Times New Roman" w:eastAsia="Times New Roman"/>
                <w:sz w:val="14"/>
              </w:rPr>
              <w:t>62,233</w:t>
            </w:r>
          </w:p>
        </w:tc>
        <w:tc>
          <w:tcPr>
            <w:tcW w:type="dxa" w:w="1587"/>
          </w:tcPr>
          <w:p>
            <w:pPr>
              <w:spacing w:after="0" w:before="0" w:line="240" w:lineRule="auto"/>
            </w:pPr>
            <w:r>
              <w:rPr>
                <w:sz w:val="14"/>
              </w:rPr>
            </w:r>
            <w:r>
              <w:rPr>
                <w:rFonts w:ascii="Times New Roman" w:hAnsi="Times New Roman" w:eastAsia="Times New Roman"/>
                <w:sz w:val="14"/>
              </w:rPr>
              <w:t>113,546</w:t>
            </w:r>
          </w:p>
        </w:tc>
        <w:tc>
          <w:tcPr>
            <w:tcW w:type="dxa" w:w="1531"/>
          </w:tcPr>
          <w:p>
            <w:pPr>
              <w:spacing w:after="0" w:before="0" w:line="240" w:lineRule="auto"/>
            </w:pPr>
            <w:r>
              <w:rPr>
                <w:sz w:val="14"/>
              </w:rPr>
            </w:r>
            <w:r>
              <w:rPr>
                <w:rFonts w:ascii="Times New Roman" w:hAnsi="Times New Roman" w:eastAsia="Times New Roman"/>
                <w:sz w:val="14"/>
              </w:rPr>
              <w:t>105,557</w:t>
            </w:r>
          </w:p>
        </w:tc>
      </w:tr>
      <w:tr>
        <w:tc>
          <w:tcPr>
            <w:tcW w:type="dxa" w:w="4082"/>
          </w:tcPr>
          <w:p>
            <w:pPr>
              <w:spacing w:after="0" w:before="0" w:line="240" w:lineRule="auto"/>
            </w:pPr>
            <w:r>
              <w:rPr>
                <w:sz w:val="14"/>
              </w:rPr>
            </w:r>
            <w:r>
              <w:rPr>
                <w:rFonts w:ascii="Times New Roman" w:hAnsi="Times New Roman" w:eastAsia="Times New Roman"/>
                <w:sz w:val="14"/>
              </w:rPr>
              <w:t>LoanManager.applyLoan</w:t>
            </w:r>
          </w:p>
        </w:tc>
        <w:tc>
          <w:tcPr>
            <w:tcW w:type="dxa" w:w="1587"/>
          </w:tcPr>
          <w:p>
            <w:pPr>
              <w:spacing w:after="0" w:before="0" w:line="240" w:lineRule="auto"/>
            </w:pPr>
            <w:r>
              <w:rPr>
                <w:sz w:val="14"/>
              </w:rPr>
            </w:r>
            <w:r>
              <w:rPr>
                <w:rFonts w:ascii="Times New Roman" w:hAnsi="Times New Roman" w:eastAsia="Times New Roman"/>
                <w:sz w:val="14"/>
              </w:rPr>
              <w:t>190,035</w:t>
            </w:r>
          </w:p>
        </w:tc>
        <w:tc>
          <w:tcPr>
            <w:tcW w:type="dxa" w:w="1587"/>
          </w:tcPr>
          <w:p>
            <w:pPr>
              <w:spacing w:after="0" w:before="0" w:line="240" w:lineRule="auto"/>
            </w:pPr>
            <w:r>
              <w:rPr>
                <w:sz w:val="14"/>
              </w:rPr>
            </w:r>
            <w:r>
              <w:rPr>
                <w:rFonts w:ascii="Times New Roman" w:hAnsi="Times New Roman" w:eastAsia="Times New Roman"/>
                <w:sz w:val="14"/>
              </w:rPr>
              <w:t>224,447</w:t>
            </w:r>
          </w:p>
        </w:tc>
        <w:tc>
          <w:tcPr>
            <w:tcW w:type="dxa" w:w="1531"/>
          </w:tcPr>
          <w:p>
            <w:pPr>
              <w:spacing w:after="0" w:before="0" w:line="240" w:lineRule="auto"/>
            </w:pPr>
            <w:r>
              <w:rPr>
                <w:sz w:val="14"/>
              </w:rPr>
            </w:r>
            <w:r>
              <w:rPr>
                <w:rFonts w:ascii="Times New Roman" w:hAnsi="Times New Roman" w:eastAsia="Times New Roman"/>
                <w:sz w:val="14"/>
              </w:rPr>
              <w:t>218,648</w:t>
            </w:r>
          </w:p>
        </w:tc>
      </w:tr>
      <w:tr>
        <w:tc>
          <w:tcPr>
            <w:tcW w:type="dxa" w:w="4082"/>
          </w:tcPr>
          <w:p>
            <w:pPr>
              <w:spacing w:after="0" w:before="0" w:line="240" w:lineRule="auto"/>
            </w:pPr>
            <w:r>
              <w:rPr>
                <w:sz w:val="14"/>
              </w:rPr>
            </w:r>
            <w:r>
              <w:rPr>
                <w:rFonts w:ascii="Times New Roman" w:hAnsi="Times New Roman" w:eastAsia="Times New Roman"/>
                <w:sz w:val="14"/>
              </w:rPr>
              <w:t>LoanManager.depositCollateral</w:t>
            </w:r>
          </w:p>
        </w:tc>
        <w:tc>
          <w:tcPr>
            <w:tcW w:type="dxa" w:w="1587"/>
          </w:tcPr>
          <w:p>
            <w:pPr>
              <w:spacing w:after="0" w:before="0" w:line="240" w:lineRule="auto"/>
            </w:pPr>
            <w:r>
              <w:rPr>
                <w:sz w:val="14"/>
              </w:rPr>
            </w:r>
            <w:r>
              <w:rPr>
                <w:rFonts w:ascii="Times New Roman" w:hAnsi="Times New Roman" w:eastAsia="Times New Roman"/>
                <w:sz w:val="14"/>
              </w:rPr>
              <w:t>136,616</w:t>
            </w:r>
          </w:p>
        </w:tc>
        <w:tc>
          <w:tcPr>
            <w:tcW w:type="dxa" w:w="1587"/>
          </w:tcPr>
          <w:p>
            <w:pPr>
              <w:spacing w:after="0" w:before="0" w:line="240" w:lineRule="auto"/>
            </w:pPr>
            <w:r>
              <w:rPr>
                <w:sz w:val="14"/>
              </w:rPr>
            </w:r>
            <w:r>
              <w:rPr>
                <w:rFonts w:ascii="Times New Roman" w:hAnsi="Times New Roman" w:eastAsia="Times New Roman"/>
                <w:sz w:val="14"/>
              </w:rPr>
              <w:t>170,816</w:t>
            </w:r>
          </w:p>
        </w:tc>
        <w:tc>
          <w:tcPr>
            <w:tcW w:type="dxa" w:w="1531"/>
          </w:tcPr>
          <w:p>
            <w:pPr>
              <w:spacing w:after="0" w:before="0" w:line="240" w:lineRule="auto"/>
            </w:pPr>
            <w:r>
              <w:rPr>
                <w:sz w:val="14"/>
              </w:rPr>
            </w:r>
            <w:r>
              <w:rPr>
                <w:rFonts w:ascii="Times New Roman" w:hAnsi="Times New Roman" w:eastAsia="Times New Roman"/>
                <w:sz w:val="14"/>
              </w:rPr>
              <w:t>167,016</w:t>
            </w:r>
          </w:p>
        </w:tc>
      </w:tr>
      <w:tr>
        <w:tc>
          <w:tcPr>
            <w:tcW w:type="dxa" w:w="4082"/>
          </w:tcPr>
          <w:p>
            <w:pPr>
              <w:spacing w:after="0" w:before="0" w:line="240" w:lineRule="auto"/>
            </w:pPr>
            <w:r>
              <w:rPr>
                <w:sz w:val="14"/>
              </w:rPr>
            </w:r>
            <w:r>
              <w:rPr>
                <w:rFonts w:ascii="Times New Roman" w:hAnsi="Times New Roman" w:eastAsia="Times New Roman"/>
                <w:sz w:val="14"/>
              </w:rPr>
              <w:t>LoanManager.repay</w:t>
            </w:r>
          </w:p>
        </w:tc>
        <w:tc>
          <w:tcPr>
            <w:tcW w:type="dxa" w:w="1587"/>
          </w:tcPr>
          <w:p>
            <w:pPr>
              <w:spacing w:after="0" w:before="0" w:line="240" w:lineRule="auto"/>
            </w:pPr>
            <w:r>
              <w:rPr>
                <w:sz w:val="14"/>
              </w:rPr>
            </w:r>
            <w:r>
              <w:rPr>
                <w:rFonts w:ascii="Times New Roman" w:hAnsi="Times New Roman" w:eastAsia="Times New Roman"/>
                <w:sz w:val="14"/>
              </w:rPr>
              <w:t>157,251</w:t>
            </w:r>
          </w:p>
        </w:tc>
        <w:tc>
          <w:tcPr>
            <w:tcW w:type="dxa" w:w="1587"/>
          </w:tcPr>
          <w:p>
            <w:pPr>
              <w:spacing w:after="0" w:before="0" w:line="240" w:lineRule="auto"/>
            </w:pPr>
            <w:r>
              <w:rPr>
                <w:sz w:val="14"/>
              </w:rPr>
            </w:r>
            <w:r>
              <w:rPr>
                <w:rFonts w:ascii="Times New Roman" w:hAnsi="Times New Roman" w:eastAsia="Times New Roman"/>
                <w:sz w:val="14"/>
              </w:rPr>
              <w:t>283,705</w:t>
            </w:r>
          </w:p>
        </w:tc>
        <w:tc>
          <w:tcPr>
            <w:tcW w:type="dxa" w:w="1531"/>
          </w:tcPr>
          <w:p>
            <w:pPr>
              <w:spacing w:after="0" w:before="0" w:line="240" w:lineRule="auto"/>
            </w:pPr>
            <w:r>
              <w:rPr>
                <w:sz w:val="14"/>
              </w:rPr>
            </w:r>
            <w:r>
              <w:rPr>
                <w:rFonts w:ascii="Times New Roman" w:hAnsi="Times New Roman" w:eastAsia="Times New Roman"/>
                <w:sz w:val="14"/>
              </w:rPr>
              <w:t>228,740</w:t>
            </w:r>
          </w:p>
        </w:tc>
      </w:tr>
      <w:tr>
        <w:tc>
          <w:tcPr>
            <w:tcW w:type="dxa" w:w="4082"/>
          </w:tcPr>
          <w:p>
            <w:pPr>
              <w:spacing w:after="0" w:before="0" w:line="240" w:lineRule="auto"/>
            </w:pPr>
            <w:r>
              <w:rPr>
                <w:sz w:val="14"/>
              </w:rPr>
            </w:r>
            <w:r>
              <w:rPr>
                <w:rFonts w:ascii="Times New Roman" w:hAnsi="Times New Roman" w:eastAsia="Times New Roman"/>
                <w:sz w:val="14"/>
              </w:rPr>
              <w:t>LoanManager.markDefault</w:t>
            </w:r>
          </w:p>
        </w:tc>
        <w:tc>
          <w:tcPr>
            <w:tcW w:type="dxa" w:w="1587"/>
          </w:tcPr>
          <w:p>
            <w:pPr>
              <w:spacing w:after="0" w:before="0" w:line="240" w:lineRule="auto"/>
            </w:pPr>
            <w:r>
              <w:rPr>
                <w:sz w:val="14"/>
              </w:rPr>
            </w:r>
            <w:r>
              <w:rPr>
                <w:rFonts w:ascii="Times New Roman" w:hAnsi="Times New Roman" w:eastAsia="Times New Roman"/>
                <w:sz w:val="14"/>
              </w:rPr>
              <w:t>177,519</w:t>
            </w:r>
          </w:p>
        </w:tc>
        <w:tc>
          <w:tcPr>
            <w:tcW w:type="dxa" w:w="1587"/>
          </w:tcPr>
          <w:p>
            <w:pPr>
              <w:spacing w:after="0" w:before="0" w:line="240" w:lineRule="auto"/>
            </w:pPr>
            <w:r>
              <w:rPr>
                <w:sz w:val="14"/>
              </w:rPr>
            </w:r>
            <w:r>
              <w:rPr>
                <w:rFonts w:ascii="Times New Roman" w:hAnsi="Times New Roman" w:eastAsia="Times New Roman"/>
                <w:sz w:val="14"/>
              </w:rPr>
              <w:t>297,041</w:t>
            </w:r>
          </w:p>
        </w:tc>
        <w:tc>
          <w:tcPr>
            <w:tcW w:type="dxa" w:w="1531"/>
          </w:tcPr>
          <w:p>
            <w:pPr>
              <w:spacing w:after="0" w:before="0" w:line="240" w:lineRule="auto"/>
            </w:pPr>
            <w:r>
              <w:rPr>
                <w:sz w:val="14"/>
              </w:rPr>
            </w:r>
            <w:r>
              <w:rPr>
                <w:rFonts w:ascii="Times New Roman" w:hAnsi="Times New Roman" w:eastAsia="Times New Roman"/>
                <w:sz w:val="14"/>
              </w:rPr>
              <w:t>241,268</w:t>
            </w:r>
          </w:p>
        </w:tc>
      </w:tr>
      <w:tr>
        <w:tc>
          <w:tcPr>
            <w:tcW w:type="dxa" w:w="4082"/>
          </w:tcPr>
          <w:p>
            <w:pPr>
              <w:spacing w:after="0" w:before="0" w:line="240" w:lineRule="auto"/>
            </w:pPr>
            <w:r>
              <w:rPr>
                <w:sz w:val="14"/>
              </w:rPr>
            </w:r>
            <w:r>
              <w:rPr>
                <w:rFonts w:ascii="Times New Roman" w:hAnsi="Times New Roman" w:eastAsia="Times New Roman"/>
                <w:sz w:val="14"/>
              </w:rPr>
              <w:t>CreditRegistry.updateScoreWithSignature</w:t>
            </w:r>
          </w:p>
        </w:tc>
        <w:tc>
          <w:tcPr>
            <w:tcW w:type="dxa" w:w="1587"/>
          </w:tcPr>
          <w:p>
            <w:pPr>
              <w:spacing w:after="0" w:before="0" w:line="240" w:lineRule="auto"/>
            </w:pPr>
            <w:r>
              <w:rPr>
                <w:sz w:val="14"/>
              </w:rPr>
            </w:r>
            <w:r>
              <w:rPr>
                <w:rFonts w:ascii="Times New Roman" w:hAnsi="Times New Roman" w:eastAsia="Times New Roman"/>
                <w:sz w:val="14"/>
              </w:rPr>
              <w:t>100,409</w:t>
            </w:r>
          </w:p>
        </w:tc>
        <w:tc>
          <w:tcPr>
            <w:tcW w:type="dxa" w:w="1587"/>
          </w:tcPr>
          <w:p>
            <w:pPr>
              <w:spacing w:after="0" w:before="0" w:line="240" w:lineRule="auto"/>
            </w:pPr>
            <w:r>
              <w:rPr>
                <w:sz w:val="14"/>
              </w:rPr>
            </w:r>
            <w:r>
              <w:rPr>
                <w:rFonts w:ascii="Times New Roman" w:hAnsi="Times New Roman" w:eastAsia="Times New Roman"/>
                <w:sz w:val="14"/>
              </w:rPr>
              <w:t>100,409</w:t>
            </w:r>
          </w:p>
        </w:tc>
        <w:tc>
          <w:tcPr>
            <w:tcW w:type="dxa" w:w="1531"/>
          </w:tcPr>
          <w:p>
            <w:pPr>
              <w:spacing w:after="0" w:before="0" w:line="240" w:lineRule="auto"/>
            </w:pPr>
            <w:r>
              <w:rPr>
                <w:sz w:val="14"/>
              </w:rPr>
            </w:r>
            <w:r>
              <w:rPr>
                <w:rFonts w:ascii="Times New Roman" w:hAnsi="Times New Roman" w:eastAsia="Times New Roman"/>
                <w:sz w:val="14"/>
              </w:rPr>
              <w:t>100,409</w:t>
            </w:r>
          </w:p>
        </w:tc>
      </w:tr>
      <w:tr>
        <w:tc>
          <w:tcPr>
            <w:tcW w:type="dxa" w:w="4082"/>
          </w:tcPr>
          <w:p>
            <w:pPr>
              <w:spacing w:after="0" w:before="0" w:line="240" w:lineRule="auto"/>
            </w:pPr>
            <w:r>
              <w:rPr>
                <w:sz w:val="14"/>
              </w:rPr>
            </w:r>
            <w:r>
              <w:rPr>
                <w:rFonts w:ascii="Times New Roman" w:hAnsi="Times New Roman" w:eastAsia="Times New Roman"/>
                <w:sz w:val="14"/>
              </w:rPr>
              <w:t>Other operations: withdraw, approveLoan, disburse</w:t>
            </w:r>
          </w:p>
        </w:tc>
        <w:tc>
          <w:tcPr>
            <w:tcW w:type="dxa" w:w="1587"/>
          </w:tcPr>
          <w:p>
            <w:pPr>
              <w:spacing w:after="0" w:before="0" w:line="240" w:lineRule="auto"/>
            </w:pPr>
            <w:r>
              <w:rPr>
                <w:sz w:val="14"/>
              </w:rPr>
            </w:r>
            <w:r>
              <w:rPr>
                <w:rFonts w:ascii="Times New Roman" w:hAnsi="Times New Roman" w:eastAsia="Times New Roman"/>
                <w:sz w:val="14"/>
              </w:rPr>
              <w:t>53,970</w:t>
            </w:r>
          </w:p>
        </w:tc>
        <w:tc>
          <w:tcPr>
            <w:tcW w:type="dxa" w:w="1587"/>
          </w:tcPr>
          <w:p>
            <w:pPr>
              <w:spacing w:after="0" w:before="0" w:line="240" w:lineRule="auto"/>
            </w:pPr>
            <w:r>
              <w:rPr>
                <w:sz w:val="14"/>
              </w:rPr>
            </w:r>
            <w:r>
              <w:rPr>
                <w:rFonts w:ascii="Times New Roman" w:hAnsi="Times New Roman" w:eastAsia="Times New Roman"/>
                <w:sz w:val="14"/>
              </w:rPr>
              <w:t>128,573</w:t>
            </w:r>
          </w:p>
        </w:tc>
        <w:tc>
          <w:tcPr>
            <w:tcW w:type="dxa" w:w="1531"/>
          </w:tcPr>
          <w:p>
            <w:pPr>
              <w:spacing w:after="0" w:before="0" w:line="240" w:lineRule="auto"/>
            </w:pPr>
            <w:r>
              <w:rPr>
                <w:sz w:val="14"/>
              </w:rPr>
            </w:r>
            <w:r>
              <w:rPr>
                <w:rFonts w:ascii="Times New Roman" w:hAnsi="Times New Roman" w:eastAsia="Times New Roman"/>
                <w:sz w:val="14"/>
              </w:rPr>
              <w:t>57,174 to 126,930</w:t>
            </w:r>
          </w:p>
        </w:tc>
      </w:tr>
      <w:tr>
        <w:tc>
          <w:tcPr>
            <w:tcW w:type="dxa" w:w="4082"/>
          </w:tcPr>
          <w:p>
            <w:pPr>
              <w:spacing w:after="0" w:before="0" w:line="240" w:lineRule="auto"/>
            </w:pPr>
            <w:r>
              <w:rPr>
                <w:sz w:val="14"/>
              </w:rPr>
            </w:r>
            <w:r>
              <w:rPr>
                <w:rFonts w:ascii="Times New Roman" w:hAnsi="Times New Roman" w:eastAsia="Times New Roman"/>
                <w:sz w:val="14"/>
              </w:rPr>
              <w:t>Deployment, per contract, average</w:t>
            </w:r>
          </w:p>
        </w:tc>
        <w:tc>
          <w:tcPr>
            <w:tcW w:type="dxa" w:w="1587"/>
          </w:tcPr>
          <w:p>
            <w:pPr>
              <w:spacing w:after="0" w:before="0" w:line="240" w:lineRule="auto"/>
            </w:pPr>
            <w:r>
              <w:rPr>
                <w:sz w:val="14"/>
              </w:rPr>
            </w:r>
            <w:r>
              <w:rPr>
                <w:rFonts w:ascii="Times New Roman" w:hAnsi="Times New Roman" w:eastAsia="Times New Roman"/>
                <w:sz w:val="14"/>
              </w:rPr>
              <w:t>not applicable</w:t>
            </w:r>
          </w:p>
        </w:tc>
        <w:tc>
          <w:tcPr>
            <w:tcW w:type="dxa" w:w="1587"/>
          </w:tcPr>
          <w:p>
            <w:pPr>
              <w:spacing w:after="0" w:before="0" w:line="240" w:lineRule="auto"/>
            </w:pPr>
            <w:r>
              <w:rPr>
                <w:sz w:val="14"/>
              </w:rPr>
            </w:r>
            <w:r>
              <w:rPr>
                <w:rFonts w:ascii="Times New Roman" w:hAnsi="Times New Roman" w:eastAsia="Times New Roman"/>
                <w:sz w:val="14"/>
              </w:rPr>
              <w:t>not applicable</w:t>
            </w:r>
          </w:p>
        </w:tc>
        <w:tc>
          <w:tcPr>
            <w:tcW w:type="dxa" w:w="1531"/>
          </w:tcPr>
          <w:p>
            <w:pPr>
              <w:spacing w:after="0" w:before="0" w:line="240" w:lineRule="auto"/>
            </w:pPr>
            <w:r>
              <w:rPr>
                <w:sz w:val="14"/>
              </w:rPr>
            </w:r>
            <w:r>
              <w:rPr>
                <w:rFonts w:ascii="Times New Roman" w:hAnsi="Times New Roman" w:eastAsia="Times New Roman"/>
                <w:sz w:val="14"/>
              </w:rPr>
              <w:t>717,821 to 2,249,123</w:t>
            </w:r>
          </w:p>
        </w:tc>
      </w:tr>
    </w:tbl>
    <w:p>
      <w:pPr>
        <w:spacing w:after="0" w:before="0"/>
      </w:pPr>
    </w:p>
    <w:p>
      <w:pPr>
        <w:pStyle w:val="Heading1"/>
      </w:pPr>
      <w:r>
        <w:t>6. Security</w:t>
      </w:r>
    </w:p>
    <w:p>
      <w:r>
        <w:rPr>
          <w:b/>
          <w:rFonts w:ascii="Times New Roman" w:hAnsi="Times New Roman" w:eastAsia="Times New Roman"/>
        </w:rPr>
        <w:t>Status: unaudited coursework code.</w:t>
      </w:r>
      <w:r>
        <w:rPr>
          <w:rFonts w:ascii="Times New Roman" w:hAnsi="Times New Roman" w:eastAsia="Times New Roman"/>
        </w:rPr>
        <w:t xml:space="preserve"> It has not been reviewed by a third party and has no formal verification and no fuzzing. The material below is a threat model, the controls actually implemented, and the results of static analysis; it is not a security guarantee.</w:t>
      </w:r>
    </w:p>
    <w:p>
      <w:pPr>
        <w:pStyle w:val="Heading2"/>
      </w:pPr>
      <w:r>
        <w:t>6.1 Threat model and controls</w:t>
      </w:r>
    </w:p>
    <w:p>
      <w:pPr>
        <w:keepNext/>
        <w:spacing w:after="40" w:before="80"/>
      </w:pPr>
      <w:r>
        <w:rPr>
          <w:b/>
          <w:color w:val="1F4E79"/>
          <w:sz w:val="16"/>
        </w:rPr>
        <w:t>Table 17. Threat model and implemented controls.</w:t>
      </w:r>
    </w:p>
    <w:tbl>
      <w:tblPr>
        <w:tblStyle w:val="TableGrid"/>
        <w:tblW w:type="auto" w:w="0"/>
        <w:jc w:val="center"/>
        <w:tblLook w:firstColumn="1" w:firstRow="1" w:lastColumn="0" w:lastRow="0" w:noHBand="0" w:noVBand="1" w:val="04A0"/>
      </w:tblPr>
      <w:tblGrid>
        <w:gridCol w:w="2929"/>
        <w:gridCol w:w="2929"/>
        <w:gridCol w:w="2929"/>
      </w:tblGrid>
      <w:tr>
        <w:tc>
          <w:tcPr>
            <w:tcW w:type="dxa" w:w="1811"/>
            <w:shd w:val="clear" w:color="auto" w:fill="1F4E79"/>
          </w:tcPr>
          <w:p>
            <w:pPr>
              <w:spacing w:after="0" w:line="240" w:lineRule="auto"/>
            </w:pPr>
            <w:r/>
            <w:r>
              <w:rPr>
                <w:b/>
                <w:color w:val="FFFFFF"/>
                <w:sz w:val="14"/>
                <w:rFonts w:ascii="Times New Roman" w:hAnsi="Times New Roman" w:eastAsia="Times New Roman"/>
              </w:rPr>
              <w:t>Risk</w:t>
            </w:r>
          </w:p>
        </w:tc>
        <w:tc>
          <w:tcPr>
            <w:tcW w:type="dxa" w:w="5539"/>
            <w:shd w:val="clear" w:color="auto" w:fill="1F4E79"/>
          </w:tcPr>
          <w:p>
            <w:pPr>
              <w:spacing w:after="0" w:line="240" w:lineRule="auto"/>
            </w:pPr>
            <w:r/>
            <w:r>
              <w:rPr>
                <w:b/>
                <w:color w:val="FFFFFF"/>
                <w:sz w:val="14"/>
                <w:rFonts w:ascii="Times New Roman" w:hAnsi="Times New Roman" w:eastAsia="Times New Roman"/>
              </w:rPr>
              <w:t>Control</w:t>
            </w:r>
          </w:p>
        </w:tc>
        <w:tc>
          <w:tcPr>
            <w:tcW w:type="dxa" w:w="1438"/>
            <w:shd w:val="clear" w:color="auto" w:fill="1F4E79"/>
          </w:tcPr>
          <w:p>
            <w:pPr>
              <w:spacing w:after="0" w:line="240" w:lineRule="auto"/>
            </w:pPr>
            <w:r/>
            <w:r>
              <w:rPr>
                <w:b/>
                <w:color w:val="FFFFFF"/>
                <w:sz w:val="14"/>
                <w:rFonts w:ascii="Times New Roman" w:hAnsi="Times New Roman" w:eastAsia="Times New Roman"/>
              </w:rPr>
              <w:t>Where</w:t>
            </w:r>
          </w:p>
        </w:tc>
      </w:tr>
      <w:tr>
        <w:tc>
          <w:tcPr>
            <w:tcW w:type="dxa" w:w="1811"/>
          </w:tcPr>
          <w:p>
            <w:pPr>
              <w:spacing w:after="0" w:before="0" w:line="240" w:lineRule="auto"/>
            </w:pPr>
            <w:r>
              <w:rPr>
                <w:sz w:val="14"/>
              </w:rPr>
            </w:r>
            <w:r>
              <w:rPr>
                <w:rFonts w:ascii="Times New Roman" w:hAnsi="Times New Roman" w:eastAsia="Times New Roman"/>
                <w:sz w:val="14"/>
              </w:rPr>
              <w:t>Reentrancy and unsafe token interaction</w:t>
            </w:r>
          </w:p>
        </w:tc>
        <w:tc>
          <w:tcPr>
            <w:tcW w:type="dxa" w:w="5539"/>
          </w:tcPr>
          <w:p>
            <w:pPr>
              <w:spacing w:after="0" w:before="0" w:line="240" w:lineRule="auto"/>
            </w:pPr>
            <w:r>
              <w:rPr>
                <w:sz w:val="14"/>
              </w:rPr>
            </w:r>
            <w:r>
              <w:rPr>
                <w:rFonts w:ascii="Times New Roman" w:hAnsi="Times New Roman" w:eastAsia="Times New Roman"/>
                <w:sz w:val="14"/>
              </w:rPr>
              <w:t>ReentrancyGuard on every state-changing entry point that moves tokens; checks-effects-interactions ordering, with state updated before any transfer; OpenZeppelin SafeERC20 throughout</w:t>
            </w:r>
          </w:p>
        </w:tc>
        <w:tc>
          <w:tcPr>
            <w:tcW w:type="dxa" w:w="1438"/>
          </w:tcPr>
          <w:p>
            <w:pPr>
              <w:spacing w:after="0" w:before="0" w:line="240" w:lineRule="auto"/>
            </w:pPr>
            <w:r>
              <w:rPr>
                <w:sz w:val="14"/>
              </w:rPr>
            </w:r>
            <w:r>
              <w:rPr>
                <w:rFonts w:ascii="Times New Roman" w:hAnsi="Times New Roman" w:eastAsia="Times New Roman"/>
                <w:sz w:val="14"/>
              </w:rPr>
              <w:t>all contracts</w:t>
            </w:r>
          </w:p>
        </w:tc>
      </w:tr>
      <w:tr>
        <w:tc>
          <w:tcPr>
            <w:tcW w:type="dxa" w:w="1811"/>
          </w:tcPr>
          <w:p>
            <w:pPr>
              <w:spacing w:after="0" w:before="0" w:line="240" w:lineRule="auto"/>
            </w:pPr>
            <w:r>
              <w:rPr>
                <w:sz w:val="14"/>
              </w:rPr>
            </w:r>
            <w:r>
              <w:rPr>
                <w:rFonts w:ascii="Times New Roman" w:hAnsi="Times New Roman" w:eastAsia="Times New Roman"/>
                <w:sz w:val="14"/>
              </w:rPr>
              <w:t>Privilege escalation</w:t>
            </w:r>
          </w:p>
        </w:tc>
        <w:tc>
          <w:tcPr>
            <w:tcW w:type="dxa" w:w="5539"/>
          </w:tcPr>
          <w:p>
            <w:pPr>
              <w:spacing w:after="0" w:before="0" w:line="240" w:lineRule="auto"/>
            </w:pPr>
            <w:r>
              <w:rPr>
                <w:sz w:val="14"/>
              </w:rPr>
            </w:r>
            <w:r>
              <w:rPr>
                <w:rFonts w:ascii="Times New Roman" w:hAnsi="Times New Roman" w:eastAsia="Times New Roman"/>
                <w:sz w:val="14"/>
              </w:rPr>
              <w:t>OpenZeppelin AccessControl; only LoanManager holds LOAN_MANAGER_ROLE on pool, vault and registry; no owner backdoors; roles granted explicitly by the deploy script</w:t>
            </w:r>
          </w:p>
        </w:tc>
        <w:tc>
          <w:tcPr>
            <w:tcW w:type="dxa" w:w="1438"/>
          </w:tcPr>
          <w:p>
            <w:pPr>
              <w:spacing w:after="0" w:before="0" w:line="240" w:lineRule="auto"/>
            </w:pPr>
            <w:r>
              <w:rPr>
                <w:sz w:val="14"/>
              </w:rPr>
            </w:r>
            <w:r>
              <w:rPr>
                <w:rFonts w:ascii="Times New Roman" w:hAnsi="Times New Roman" w:eastAsia="Times New Roman"/>
                <w:sz w:val="14"/>
              </w:rPr>
              <w:t>all contracts</w:t>
            </w:r>
          </w:p>
        </w:tc>
      </w:tr>
      <w:tr>
        <w:tc>
          <w:tcPr>
            <w:tcW w:type="dxa" w:w="1811"/>
          </w:tcPr>
          <w:p>
            <w:pPr>
              <w:spacing w:after="0" w:before="0" w:line="240" w:lineRule="auto"/>
            </w:pPr>
            <w:r>
              <w:rPr>
                <w:sz w:val="14"/>
              </w:rPr>
            </w:r>
            <w:r>
              <w:rPr>
                <w:rFonts w:ascii="Times New Roman" w:hAnsi="Times New Roman" w:eastAsia="Times New Roman"/>
                <w:sz w:val="14"/>
              </w:rPr>
              <w:t>Officer fraud</w:t>
            </w:r>
          </w:p>
        </w:tc>
        <w:tc>
          <w:tcPr>
            <w:tcW w:type="dxa" w:w="5539"/>
          </w:tcPr>
          <w:p>
            <w:pPr>
              <w:spacing w:after="0" w:before="0" w:line="240" w:lineRule="auto"/>
            </w:pPr>
            <w:r>
              <w:rPr>
                <w:sz w:val="14"/>
              </w:rPr>
            </w:r>
            <w:r>
              <w:rPr>
                <w:rFonts w:ascii="Times New Roman" w:hAnsi="Times New Roman" w:eastAsia="Times New Roman"/>
                <w:sz w:val="14"/>
              </w:rPr>
              <w:t>An officer cannot approve their own application; every approval and rejection is an event; auditors attach immutable notes</w:t>
            </w:r>
          </w:p>
        </w:tc>
        <w:tc>
          <w:tcPr>
            <w:tcW w:type="dxa" w:w="1438"/>
          </w:tcPr>
          <w:p>
            <w:pPr>
              <w:spacing w:after="0" w:before="0" w:line="240" w:lineRule="auto"/>
            </w:pPr>
            <w:r>
              <w:rPr>
                <w:sz w:val="14"/>
              </w:rPr>
            </w:r>
            <w:r>
              <w:rPr>
                <w:rFonts w:ascii="Times New Roman" w:hAnsi="Times New Roman" w:eastAsia="Times New Roman"/>
                <w:sz w:val="14"/>
              </w:rPr>
              <w:t>LoanManager</w:t>
            </w:r>
          </w:p>
        </w:tc>
      </w:tr>
      <w:tr>
        <w:tc>
          <w:tcPr>
            <w:tcW w:type="dxa" w:w="1811"/>
          </w:tcPr>
          <w:p>
            <w:pPr>
              <w:spacing w:after="0" w:before="0" w:line="240" w:lineRule="auto"/>
            </w:pPr>
            <w:r>
              <w:rPr>
                <w:sz w:val="14"/>
              </w:rPr>
            </w:r>
            <w:r>
              <w:rPr>
                <w:rFonts w:ascii="Times New Roman" w:hAnsi="Times New Roman" w:eastAsia="Times New Roman"/>
                <w:sz w:val="14"/>
              </w:rPr>
              <w:t>Pool and vault accounting manipulation</w:t>
            </w:r>
          </w:p>
        </w:tc>
        <w:tc>
          <w:tcPr>
            <w:tcW w:type="dxa" w:w="5539"/>
          </w:tcPr>
          <w:p>
            <w:pPr>
              <w:spacing w:after="0" w:before="0" w:line="240" w:lineRule="auto"/>
            </w:pPr>
            <w:r>
              <w:rPr>
                <w:sz w:val="14"/>
              </w:rPr>
            </w:r>
            <w:r>
              <w:rPr>
                <w:rFonts w:ascii="Times New Roman" w:hAnsi="Times New Roman" w:eastAsia="Times New Roman"/>
                <w:sz w:val="14"/>
              </w:rPr>
              <w:t>MINIMUM_SHARES of 1,000 minted to nobody on the first deposit, which blunts first-depositor inflation; recordRepayment reverts unless the pool balance really covers the reserve; lock reverts unless the vault holds totalLocked plus the new amount</w:t>
            </w:r>
          </w:p>
        </w:tc>
        <w:tc>
          <w:tcPr>
            <w:tcW w:type="dxa" w:w="1438"/>
          </w:tcPr>
          <w:p>
            <w:pPr>
              <w:spacing w:after="0" w:before="0" w:line="240" w:lineRule="auto"/>
            </w:pPr>
            <w:r>
              <w:rPr>
                <w:sz w:val="14"/>
              </w:rPr>
            </w:r>
            <w:r>
              <w:rPr>
                <w:rFonts w:ascii="Times New Roman" w:hAnsi="Times New Roman" w:eastAsia="Times New Roman"/>
                <w:sz w:val="14"/>
              </w:rPr>
              <w:t>LendingPool, CollateralVault</w:t>
            </w:r>
          </w:p>
        </w:tc>
      </w:tr>
      <w:tr>
        <w:tc>
          <w:tcPr>
            <w:tcW w:type="dxa" w:w="1811"/>
          </w:tcPr>
          <w:p>
            <w:pPr>
              <w:spacing w:after="0" w:before="0" w:line="240" w:lineRule="auto"/>
            </w:pPr>
            <w:r>
              <w:rPr>
                <w:sz w:val="14"/>
              </w:rPr>
            </w:r>
            <w:r>
              <w:rPr>
                <w:rFonts w:ascii="Times New Roman" w:hAnsi="Times New Roman" w:eastAsia="Times New Roman"/>
                <w:sz w:val="14"/>
              </w:rPr>
              <w:t>Liquidity run and over-lending</w:t>
            </w:r>
          </w:p>
        </w:tc>
        <w:tc>
          <w:tcPr>
            <w:tcW w:type="dxa" w:w="5539"/>
          </w:tcPr>
          <w:p>
            <w:pPr>
              <w:spacing w:after="0" w:before="0" w:line="240" w:lineRule="auto"/>
            </w:pPr>
            <w:r>
              <w:rPr>
                <w:sz w:val="14"/>
              </w:rPr>
            </w:r>
            <w:r>
              <w:rPr>
                <w:rFonts w:ascii="Times New Roman" w:hAnsi="Times New Roman" w:eastAsia="Times New Roman"/>
                <w:sz w:val="14"/>
              </w:rPr>
              <w:t>Utilisation cap, default 90%; withdrawals limited to idle cash</w:t>
            </w:r>
          </w:p>
        </w:tc>
        <w:tc>
          <w:tcPr>
            <w:tcW w:type="dxa" w:w="1438"/>
          </w:tcPr>
          <w:p>
            <w:pPr>
              <w:spacing w:after="0" w:before="0" w:line="240" w:lineRule="auto"/>
            </w:pPr>
            <w:r>
              <w:rPr>
                <w:sz w:val="14"/>
              </w:rPr>
            </w:r>
            <w:r>
              <w:rPr>
                <w:rFonts w:ascii="Times New Roman" w:hAnsi="Times New Roman" w:eastAsia="Times New Roman"/>
                <w:sz w:val="14"/>
              </w:rPr>
              <w:t>LendingPool</w:t>
            </w:r>
          </w:p>
        </w:tc>
      </w:tr>
      <w:tr>
        <w:tc>
          <w:tcPr>
            <w:tcW w:type="dxa" w:w="1811"/>
          </w:tcPr>
          <w:p>
            <w:pPr>
              <w:spacing w:after="0" w:before="0" w:line="240" w:lineRule="auto"/>
            </w:pPr>
            <w:r>
              <w:rPr>
                <w:sz w:val="14"/>
              </w:rPr>
            </w:r>
            <w:r>
              <w:rPr>
                <w:rFonts w:ascii="Times New Roman" w:hAnsi="Times New Roman" w:eastAsia="Times New Roman"/>
                <w:sz w:val="14"/>
              </w:rPr>
              <w:t>Rounding drift</w:t>
            </w:r>
          </w:p>
        </w:tc>
        <w:tc>
          <w:tcPr>
            <w:tcW w:type="dxa" w:w="5539"/>
          </w:tcPr>
          <w:p>
            <w:pPr>
              <w:spacing w:after="0" w:before="0" w:line="240" w:lineRule="auto"/>
            </w:pPr>
            <w:r>
              <w:rPr>
                <w:sz w:val="14"/>
              </w:rPr>
            </w:r>
            <w:r>
              <w:rPr>
                <w:rFonts w:ascii="Times New Roman" w:hAnsi="Times New Roman" w:eastAsia="Times New Roman"/>
                <w:sz w:val="14"/>
              </w:rPr>
              <w:t>All divisions round down, so shares and interest never favour the caller by more than one 6-decimal unit</w:t>
            </w:r>
          </w:p>
        </w:tc>
        <w:tc>
          <w:tcPr>
            <w:tcW w:type="dxa" w:w="1438"/>
          </w:tcPr>
          <w:p>
            <w:pPr>
              <w:spacing w:after="0" w:before="0" w:line="240" w:lineRule="auto"/>
            </w:pPr>
            <w:r>
              <w:rPr>
                <w:sz w:val="14"/>
              </w:rPr>
            </w:r>
            <w:r>
              <w:rPr>
                <w:rFonts w:ascii="Times New Roman" w:hAnsi="Times New Roman" w:eastAsia="Times New Roman"/>
                <w:sz w:val="14"/>
              </w:rPr>
              <w:t>LendingPool, LoanManager</w:t>
            </w:r>
          </w:p>
        </w:tc>
      </w:tr>
      <w:tr>
        <w:tc>
          <w:tcPr>
            <w:tcW w:type="dxa" w:w="1811"/>
          </w:tcPr>
          <w:p>
            <w:pPr>
              <w:spacing w:after="0" w:before="0" w:line="240" w:lineRule="auto"/>
            </w:pPr>
            <w:r>
              <w:rPr>
                <w:sz w:val="14"/>
              </w:rPr>
            </w:r>
            <w:r>
              <w:rPr>
                <w:rFonts w:ascii="Times New Roman" w:hAnsi="Times New Roman" w:eastAsia="Times New Roman"/>
                <w:sz w:val="14"/>
              </w:rPr>
              <w:t>Signature replay or forgery</w:t>
            </w:r>
          </w:p>
        </w:tc>
        <w:tc>
          <w:tcPr>
            <w:tcW w:type="dxa" w:w="5539"/>
          </w:tcPr>
          <w:p>
            <w:pPr>
              <w:spacing w:after="0" w:before="0" w:line="240" w:lineRule="auto"/>
            </w:pPr>
            <w:r>
              <w:rPr>
                <w:sz w:val="14"/>
              </w:rPr>
            </w:r>
            <w:r>
              <w:rPr>
                <w:rFonts w:ascii="Times New Roman" w:hAnsi="Times New Roman" w:eastAsia="Times New Roman"/>
                <w:sz w:val="14"/>
              </w:rPr>
              <w:t>The EIP-712 domain binds the chain id and verifying contract; a single-use per-borrower nonce; expiry of at most 180 days; the signer must hold SCORER_ROLE at verification time; OpenZeppelin ECDSA rejects malleable signatures</w:t>
            </w:r>
          </w:p>
        </w:tc>
        <w:tc>
          <w:tcPr>
            <w:tcW w:type="dxa" w:w="1438"/>
          </w:tcPr>
          <w:p>
            <w:pPr>
              <w:spacing w:after="0" w:before="0" w:line="240" w:lineRule="auto"/>
            </w:pPr>
            <w:r>
              <w:rPr>
                <w:sz w:val="14"/>
              </w:rPr>
            </w:r>
            <w:r>
              <w:rPr>
                <w:rFonts w:ascii="Times New Roman" w:hAnsi="Times New Roman" w:eastAsia="Times New Roman"/>
                <w:sz w:val="14"/>
              </w:rPr>
              <w:t>CreditRegistry</w:t>
            </w:r>
          </w:p>
        </w:tc>
      </w:tr>
      <w:tr>
        <w:tc>
          <w:tcPr>
            <w:tcW w:type="dxa" w:w="1811"/>
          </w:tcPr>
          <w:p>
            <w:pPr>
              <w:spacing w:after="0" w:before="0" w:line="240" w:lineRule="auto"/>
            </w:pPr>
            <w:r>
              <w:rPr>
                <w:sz w:val="14"/>
              </w:rPr>
            </w:r>
            <w:r>
              <w:rPr>
                <w:rFonts w:ascii="Times New Roman" w:hAnsi="Times New Roman" w:eastAsia="Times New Roman"/>
                <w:sz w:val="14"/>
              </w:rPr>
              <w:t>Stale approval</w:t>
            </w:r>
          </w:p>
        </w:tc>
        <w:tc>
          <w:tcPr>
            <w:tcW w:type="dxa" w:w="5539"/>
          </w:tcPr>
          <w:p>
            <w:pPr>
              <w:spacing w:after="0" w:before="0" w:line="240" w:lineRule="auto"/>
            </w:pPr>
            <w:r>
              <w:rPr>
                <w:sz w:val="14"/>
              </w:rPr>
            </w:r>
            <w:r>
              <w:rPr>
                <w:rFonts w:ascii="Times New Roman" w:hAnsi="Times New Roman" w:eastAsia="Times New Roman"/>
                <w:sz w:val="14"/>
              </w:rPr>
              <w:t>Approval expires after 7 days, and terms are fixed at approval so a later tier change cannot reprice the loan</w:t>
            </w:r>
          </w:p>
        </w:tc>
        <w:tc>
          <w:tcPr>
            <w:tcW w:type="dxa" w:w="1438"/>
          </w:tcPr>
          <w:p>
            <w:pPr>
              <w:spacing w:after="0" w:before="0" w:line="240" w:lineRule="auto"/>
            </w:pPr>
            <w:r>
              <w:rPr>
                <w:sz w:val="14"/>
              </w:rPr>
            </w:r>
            <w:r>
              <w:rPr>
                <w:rFonts w:ascii="Times New Roman" w:hAnsi="Times New Roman" w:eastAsia="Times New Roman"/>
                <w:sz w:val="14"/>
              </w:rPr>
              <w:t>LoanManager</w:t>
            </w:r>
          </w:p>
        </w:tc>
      </w:tr>
      <w:tr>
        <w:tc>
          <w:tcPr>
            <w:tcW w:type="dxa" w:w="1811"/>
          </w:tcPr>
          <w:p>
            <w:pPr>
              <w:spacing w:after="0" w:before="0" w:line="240" w:lineRule="auto"/>
            </w:pPr>
            <w:r>
              <w:rPr>
                <w:sz w:val="14"/>
              </w:rPr>
            </w:r>
            <w:r>
              <w:rPr>
                <w:rFonts w:ascii="Times New Roman" w:hAnsi="Times New Roman" w:eastAsia="Times New Roman"/>
                <w:sz w:val="14"/>
              </w:rPr>
              <w:t>Admin error and griefing</w:t>
            </w:r>
          </w:p>
        </w:tc>
        <w:tc>
          <w:tcPr>
            <w:tcW w:type="dxa" w:w="5539"/>
          </w:tcPr>
          <w:p>
            <w:pPr>
              <w:spacing w:after="0" w:before="0" w:line="240" w:lineRule="auto"/>
            </w:pPr>
            <w:r>
              <w:rPr>
                <w:sz w:val="14"/>
              </w:rPr>
            </w:r>
            <w:r>
              <w:rPr>
                <w:rFonts w:ascii="Times New Roman" w:hAnsi="Times New Roman" w:eastAsia="Times New Roman"/>
                <w:sz w:val="14"/>
              </w:rPr>
              <w:t>Tier updates are validated so thresholds stay strictly ascending and tier 0 starts at zero; the reserve share is capped at 50%; pausing never blocks repayment, cancellation, withdrawal or default handling; one open loan per wallet; markDefault only after the due date plus grace</w:t>
            </w:r>
          </w:p>
        </w:tc>
        <w:tc>
          <w:tcPr>
            <w:tcW w:type="dxa" w:w="1438"/>
          </w:tcPr>
          <w:p>
            <w:pPr>
              <w:spacing w:after="0" w:before="0" w:line="240" w:lineRule="auto"/>
            </w:pPr>
            <w:r>
              <w:rPr>
                <w:sz w:val="14"/>
              </w:rPr>
            </w:r>
            <w:r>
              <w:rPr>
                <w:rFonts w:ascii="Times New Roman" w:hAnsi="Times New Roman" w:eastAsia="Times New Roman"/>
                <w:sz w:val="14"/>
              </w:rPr>
              <w:t>CreditRegistry, LendingPool, LoanManager</w:t>
            </w:r>
          </w:p>
        </w:tc>
      </w:tr>
      <w:tr>
        <w:tc>
          <w:tcPr>
            <w:tcW w:type="dxa" w:w="1811"/>
          </w:tcPr>
          <w:p>
            <w:pPr>
              <w:spacing w:after="0" w:before="0" w:line="240" w:lineRule="auto"/>
            </w:pPr>
            <w:r>
              <w:rPr>
                <w:sz w:val="14"/>
              </w:rPr>
            </w:r>
            <w:r>
              <w:rPr>
                <w:rFonts w:ascii="Times New Roman" w:hAnsi="Times New Roman" w:eastAsia="Times New Roman"/>
                <w:sz w:val="14"/>
              </w:rPr>
              <w:t>Session forgery and scorer-key abuse</w:t>
            </w:r>
          </w:p>
        </w:tc>
        <w:tc>
          <w:tcPr>
            <w:tcW w:type="dxa" w:w="5539"/>
          </w:tcPr>
          <w:p>
            <w:pPr>
              <w:spacing w:after="0" w:before="0" w:line="240" w:lineRule="auto"/>
            </w:pPr>
            <w:r>
              <w:rPr>
                <w:sz w:val="14"/>
              </w:rPr>
            </w:r>
            <w:r>
              <w:rPr>
                <w:rFonts w:ascii="Times New Roman" w:hAnsi="Times New Roman" w:eastAsia="Times New Roman"/>
                <w:sz w:val="14"/>
              </w:rPr>
              <w:t>Wallet signature over a server-issued, single-use, 5-minute nonce that is burned even when verification fails; the JWT carries only the address, and roles are re-read from the chain every 30 seconds; scoring is limited to 10 requests per hour per wallet with range validation, every request is logged, the key is revocable on-chain and scores expire</w:t>
            </w:r>
          </w:p>
        </w:tc>
        <w:tc>
          <w:tcPr>
            <w:tcW w:type="dxa" w:w="1438"/>
          </w:tcPr>
          <w:p>
            <w:pPr>
              <w:spacing w:after="0" w:before="0" w:line="240" w:lineRule="auto"/>
            </w:pPr>
            <w:r>
              <w:rPr>
                <w:sz w:val="14"/>
              </w:rPr>
            </w:r>
            <w:r>
              <w:rPr>
                <w:rFonts w:ascii="Times New Roman" w:hAnsi="Times New Roman" w:eastAsia="Times New Roman"/>
                <w:sz w:val="14"/>
              </w:rPr>
              <w:t>auth module, scoring route</w:t>
            </w:r>
          </w:p>
        </w:tc>
      </w:tr>
      <w:tr>
        <w:tc>
          <w:tcPr>
            <w:tcW w:type="dxa" w:w="1811"/>
          </w:tcPr>
          <w:p>
            <w:pPr>
              <w:spacing w:after="0" w:before="0" w:line="240" w:lineRule="auto"/>
            </w:pPr>
            <w:r>
              <w:rPr>
                <w:sz w:val="14"/>
              </w:rPr>
            </w:r>
            <w:r>
              <w:rPr>
                <w:rFonts w:ascii="Times New Roman" w:hAnsi="Times New Roman" w:eastAsia="Times New Roman"/>
                <w:sz w:val="14"/>
              </w:rPr>
              <w:t>Injection and secret leakage</w:t>
            </w:r>
          </w:p>
        </w:tc>
        <w:tc>
          <w:tcPr>
            <w:tcW w:type="dxa" w:w="5539"/>
          </w:tcPr>
          <w:p>
            <w:pPr>
              <w:spacing w:after="0" w:before="0" w:line="240" w:lineRule="auto"/>
            </w:pPr>
            <w:r>
              <w:rPr>
                <w:sz w:val="14"/>
              </w:rPr>
            </w:r>
            <w:r>
              <w:rPr>
                <w:rFonts w:ascii="Times New Roman" w:hAnsi="Times New Roman" w:eastAsia="Times New Roman"/>
                <w:sz w:val="14"/>
              </w:rPr>
              <w:t>Parameterised queries through knex; zod request validation; a 50 kB body limit; helmet headers; a CORS allow-list; CSV export prefixes formula-leading characters; all secrets come from environment variables, and production refuses a JWT secret shorter than 32 characters</w:t>
            </w:r>
          </w:p>
        </w:tc>
        <w:tc>
          <w:tcPr>
            <w:tcW w:type="dxa" w:w="1438"/>
          </w:tcPr>
          <w:p>
            <w:pPr>
              <w:spacing w:after="0" w:before="0" w:line="240" w:lineRule="auto"/>
            </w:pPr>
            <w:r>
              <w:rPr>
                <w:sz w:val="14"/>
              </w:rPr>
            </w:r>
            <w:r>
              <w:rPr>
                <w:rFonts w:ascii="Times New Roman" w:hAnsi="Times New Roman" w:eastAsia="Times New Roman"/>
                <w:sz w:val="14"/>
              </w:rPr>
              <w:t>app, serializers, config</w:t>
            </w:r>
          </w:p>
        </w:tc>
      </w:tr>
    </w:tbl>
    <w:p>
      <w:pPr>
        <w:spacing w:after="0" w:before="0"/>
      </w:pPr>
    </w:p>
    <w:p>
      <w:pPr>
        <w:pStyle w:val="Heading2"/>
      </w:pPr>
      <w:r>
        <w:t>6.2 Static analysis</w:t>
      </w:r>
    </w:p>
    <w:p>
      <w:r>
        <w:rPr>
          <w:rFonts w:ascii="Times New Roman" w:hAnsi="Times New Roman" w:eastAsia="Times New Roman"/>
        </w:rPr>
        <w:t xml:space="preserve">Slither 0.11.6, with its 99 detectors, was run against Solidity 0.8.24 before and after remediation. Findings fell from </w:t>
      </w:r>
      <w:r>
        <w:rPr>
          <w:b/>
          <w:rFonts w:ascii="Times New Roman" w:hAnsi="Times New Roman" w:eastAsia="Times New Roman"/>
        </w:rPr>
        <w:t>10 to 7</w:t>
      </w:r>
      <w:r>
        <w:rPr>
          <w:rFonts w:ascii="Times New Roman" w:hAnsi="Times New Roman" w:eastAsia="Times New Roman"/>
        </w:rPr>
        <w:t xml:space="preserve">, with </w:t>
      </w:r>
      <w:r>
        <w:rPr>
          <w:b/>
          <w:rFonts w:ascii="Times New Roman" w:hAnsi="Times New Roman" w:eastAsia="Times New Roman"/>
        </w:rPr>
        <w:t>no High-severity</w:t>
      </w:r>
      <w:r>
        <w:rPr>
          <w:rFonts w:ascii="Times New Roman" w:hAnsi="Times New Roman" w:eastAsia="Times New Roman"/>
        </w:rPr>
        <w:t xml:space="preserve"> finding in either run. Every finding was triaged as fixed or accepted with a written reason.</w:t>
      </w:r>
    </w:p>
    <w:p>
      <w:pPr>
        <w:keepNext/>
        <w:spacing w:after="40" w:before="80"/>
      </w:pPr>
      <w:r>
        <w:rPr>
          <w:b/>
          <w:color w:val="1F4E79"/>
          <w:sz w:val="16"/>
        </w:rPr>
        <w:t>Table 18. Slither results before and after remediation.</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385"/>
            <w:shd w:val="clear" w:color="auto" w:fill="1F4E79"/>
          </w:tcPr>
          <w:p>
            <w:pPr>
              <w:spacing w:after="0" w:line="240" w:lineRule="auto"/>
            </w:pPr>
            <w:r/>
            <w:r>
              <w:rPr>
                <w:b/>
                <w:color w:val="FFFFFF"/>
                <w:sz w:val="14"/>
                <w:rFonts w:ascii="Times New Roman" w:hAnsi="Times New Roman" w:eastAsia="Times New Roman"/>
              </w:rPr>
              <w:t>Run</w:t>
            </w:r>
          </w:p>
        </w:tc>
        <w:tc>
          <w:tcPr>
            <w:tcW w:type="dxa" w:w="799"/>
            <w:shd w:val="clear" w:color="auto" w:fill="1F4E79"/>
          </w:tcPr>
          <w:p>
            <w:pPr>
              <w:spacing w:after="0" w:line="240" w:lineRule="auto"/>
            </w:pPr>
            <w:r/>
            <w:r>
              <w:rPr>
                <w:b/>
                <w:color w:val="FFFFFF"/>
                <w:sz w:val="14"/>
                <w:rFonts w:ascii="Times New Roman" w:hAnsi="Times New Roman" w:eastAsia="Times New Roman"/>
              </w:rPr>
              <w:t>Total</w:t>
            </w:r>
          </w:p>
        </w:tc>
        <w:tc>
          <w:tcPr>
            <w:tcW w:type="dxa" w:w="746"/>
            <w:shd w:val="clear" w:color="auto" w:fill="1F4E79"/>
          </w:tcPr>
          <w:p>
            <w:pPr>
              <w:spacing w:after="0" w:line="240" w:lineRule="auto"/>
            </w:pPr>
            <w:r/>
            <w:r>
              <w:rPr>
                <w:b/>
                <w:color w:val="FFFFFF"/>
                <w:sz w:val="14"/>
                <w:rFonts w:ascii="Times New Roman" w:hAnsi="Times New Roman" w:eastAsia="Times New Roman"/>
              </w:rPr>
              <w:t>High</w:t>
            </w:r>
          </w:p>
        </w:tc>
        <w:tc>
          <w:tcPr>
            <w:tcW w:type="dxa" w:w="2130"/>
            <w:shd w:val="clear" w:color="auto" w:fill="1F4E79"/>
          </w:tcPr>
          <w:p>
            <w:pPr>
              <w:spacing w:after="0" w:line="240" w:lineRule="auto"/>
            </w:pPr>
            <w:r/>
            <w:r>
              <w:rPr>
                <w:b/>
                <w:color w:val="FFFFFF"/>
                <w:sz w:val="14"/>
                <w:rFonts w:ascii="Times New Roman" w:hAnsi="Times New Roman" w:eastAsia="Times New Roman"/>
              </w:rPr>
              <w:t>Medium</w:t>
            </w:r>
          </w:p>
        </w:tc>
        <w:tc>
          <w:tcPr>
            <w:tcW w:type="dxa" w:w="1385"/>
            <w:shd w:val="clear" w:color="auto" w:fill="1F4E79"/>
          </w:tcPr>
          <w:p>
            <w:pPr>
              <w:spacing w:after="0" w:line="240" w:lineRule="auto"/>
            </w:pPr>
            <w:r/>
            <w:r>
              <w:rPr>
                <w:b/>
                <w:color w:val="FFFFFF"/>
                <w:sz w:val="14"/>
                <w:rFonts w:ascii="Times New Roman" w:hAnsi="Times New Roman" w:eastAsia="Times New Roman"/>
              </w:rPr>
              <w:t>Low</w:t>
            </w:r>
          </w:p>
        </w:tc>
        <w:tc>
          <w:tcPr>
            <w:tcW w:type="dxa" w:w="2343"/>
            <w:shd w:val="clear" w:color="auto" w:fill="1F4E79"/>
          </w:tcPr>
          <w:p>
            <w:pPr>
              <w:spacing w:after="0" w:line="240" w:lineRule="auto"/>
            </w:pPr>
            <w:r/>
            <w:r>
              <w:rPr>
                <w:b/>
                <w:color w:val="FFFFFF"/>
                <w:sz w:val="14"/>
                <w:rFonts w:ascii="Times New Roman" w:hAnsi="Times New Roman" w:eastAsia="Times New Roman"/>
              </w:rPr>
              <w:t>Disposition</w:t>
            </w:r>
          </w:p>
        </w:tc>
      </w:tr>
      <w:tr>
        <w:tc>
          <w:tcPr>
            <w:tcW w:type="dxa" w:w="1385"/>
          </w:tcPr>
          <w:p>
            <w:pPr>
              <w:spacing w:after="0" w:before="0" w:line="240" w:lineRule="auto"/>
            </w:pPr>
            <w:r>
              <w:rPr>
                <w:sz w:val="14"/>
              </w:rPr>
            </w:r>
            <w:r>
              <w:rPr>
                <w:rFonts w:ascii="Times New Roman" w:hAnsi="Times New Roman" w:eastAsia="Times New Roman"/>
                <w:sz w:val="14"/>
              </w:rPr>
              <w:t>Before fixes</w:t>
            </w:r>
          </w:p>
        </w:tc>
        <w:tc>
          <w:tcPr>
            <w:tcW w:type="dxa" w:w="799"/>
          </w:tcPr>
          <w:p>
            <w:pPr>
              <w:spacing w:after="0" w:before="0" w:line="240" w:lineRule="auto"/>
            </w:pPr>
            <w:r>
              <w:rPr>
                <w:sz w:val="14"/>
              </w:rPr>
            </w:r>
            <w:r>
              <w:rPr>
                <w:rFonts w:ascii="Times New Roman" w:hAnsi="Times New Roman" w:eastAsia="Times New Roman"/>
                <w:sz w:val="14"/>
              </w:rPr>
              <w:t>10</w:t>
            </w:r>
          </w:p>
        </w:tc>
        <w:tc>
          <w:tcPr>
            <w:tcW w:type="dxa" w:w="746"/>
          </w:tcPr>
          <w:p>
            <w:pPr>
              <w:spacing w:after="0" w:before="0" w:line="240" w:lineRule="auto"/>
            </w:pPr>
            <w:r>
              <w:rPr>
                <w:sz w:val="14"/>
              </w:rPr>
            </w:r>
            <w:r>
              <w:rPr>
                <w:rFonts w:ascii="Times New Roman" w:hAnsi="Times New Roman" w:eastAsia="Times New Roman"/>
                <w:sz w:val="14"/>
              </w:rPr>
              <w:t>0</w:t>
            </w:r>
          </w:p>
        </w:tc>
        <w:tc>
          <w:tcPr>
            <w:tcW w:type="dxa" w:w="2130"/>
          </w:tcPr>
          <w:p>
            <w:pPr>
              <w:spacing w:after="0" w:before="0" w:line="240" w:lineRule="auto"/>
            </w:pPr>
            <w:r>
              <w:rPr>
                <w:sz w:val="14"/>
              </w:rPr>
            </w:r>
            <w:r>
              <w:rPr>
                <w:rFonts w:ascii="Times New Roman" w:hAnsi="Times New Roman" w:eastAsia="Times New Roman"/>
                <w:sz w:val="14"/>
              </w:rPr>
              <w:t>7 incorrect-equality</w:t>
            </w:r>
          </w:p>
        </w:tc>
        <w:tc>
          <w:tcPr>
            <w:tcW w:type="dxa" w:w="1385"/>
          </w:tcPr>
          <w:p>
            <w:pPr>
              <w:spacing w:after="0" w:before="0" w:line="240" w:lineRule="auto"/>
            </w:pPr>
            <w:r>
              <w:rPr>
                <w:sz w:val="14"/>
              </w:rPr>
            </w:r>
            <w:r>
              <w:rPr>
                <w:rFonts w:ascii="Times New Roman" w:hAnsi="Times New Roman" w:eastAsia="Times New Roman"/>
                <w:sz w:val="14"/>
              </w:rPr>
              <w:t>3 reentrancy</w:t>
            </w:r>
          </w:p>
        </w:tc>
        <w:tc>
          <w:tcPr>
            <w:tcW w:type="dxa" w:w="2343"/>
          </w:tcPr>
          <w:p>
            <w:pPr>
              <w:spacing w:after="0" w:before="0" w:line="240" w:lineRule="auto"/>
            </w:pPr>
            <w:r>
              <w:rPr>
                <w:sz w:val="14"/>
              </w:rPr>
            </w:r>
            <w:r>
              <w:rPr>
                <w:rFonts w:ascii="Times New Roman" w:hAnsi="Times New Roman" w:eastAsia="Times New Roman"/>
                <w:sz w:val="14"/>
              </w:rPr>
              <w:t>baseline run, before remediation</w:t>
            </w:r>
          </w:p>
        </w:tc>
      </w:tr>
      <w:tr>
        <w:tc>
          <w:tcPr>
            <w:tcW w:type="dxa" w:w="1385"/>
          </w:tcPr>
          <w:p>
            <w:pPr>
              <w:spacing w:after="0" w:before="0" w:line="240" w:lineRule="auto"/>
            </w:pPr>
            <w:r>
              <w:rPr>
                <w:sz w:val="14"/>
              </w:rPr>
            </w:r>
            <w:r>
              <w:rPr>
                <w:rFonts w:ascii="Times New Roman" w:hAnsi="Times New Roman" w:eastAsia="Times New Roman"/>
                <w:sz w:val="14"/>
              </w:rPr>
              <w:t>After fixes</w:t>
            </w:r>
          </w:p>
        </w:tc>
        <w:tc>
          <w:tcPr>
            <w:tcW w:type="dxa" w:w="799"/>
          </w:tcPr>
          <w:p>
            <w:pPr>
              <w:spacing w:after="0" w:before="0" w:line="240" w:lineRule="auto"/>
            </w:pPr>
            <w:r>
              <w:rPr>
                <w:sz w:val="14"/>
              </w:rPr>
            </w:r>
            <w:r>
              <w:rPr>
                <w:rFonts w:ascii="Times New Roman" w:hAnsi="Times New Roman" w:eastAsia="Times New Roman"/>
                <w:sz w:val="14"/>
              </w:rPr>
              <w:t>7</w:t>
            </w:r>
          </w:p>
        </w:tc>
        <w:tc>
          <w:tcPr>
            <w:tcW w:type="dxa" w:w="746"/>
          </w:tcPr>
          <w:p>
            <w:pPr>
              <w:spacing w:after="0" w:before="0" w:line="240" w:lineRule="auto"/>
            </w:pPr>
            <w:r>
              <w:rPr>
                <w:sz w:val="14"/>
              </w:rPr>
            </w:r>
            <w:r>
              <w:rPr>
                <w:rFonts w:ascii="Times New Roman" w:hAnsi="Times New Roman" w:eastAsia="Times New Roman"/>
                <w:sz w:val="14"/>
              </w:rPr>
              <w:t>0</w:t>
            </w:r>
          </w:p>
        </w:tc>
        <w:tc>
          <w:tcPr>
            <w:tcW w:type="dxa" w:w="2130"/>
          </w:tcPr>
          <w:p>
            <w:pPr>
              <w:spacing w:after="0" w:before="0" w:line="240" w:lineRule="auto"/>
            </w:pPr>
            <w:r>
              <w:rPr>
                <w:sz w:val="14"/>
              </w:rPr>
            </w:r>
            <w:r>
              <w:rPr>
                <w:rFonts w:ascii="Times New Roman" w:hAnsi="Times New Roman" w:eastAsia="Times New Roman"/>
                <w:sz w:val="14"/>
              </w:rPr>
              <w:t>7 incorrect-equality</w:t>
            </w:r>
          </w:p>
        </w:tc>
        <w:tc>
          <w:tcPr>
            <w:tcW w:type="dxa" w:w="1385"/>
          </w:tcPr>
          <w:p>
            <w:pPr>
              <w:spacing w:after="0" w:before="0" w:line="240" w:lineRule="auto"/>
            </w:pPr>
            <w:r>
              <w:rPr>
                <w:sz w:val="14"/>
              </w:rPr>
            </w:r>
            <w:r>
              <w:rPr>
                <w:rFonts w:ascii="Times New Roman" w:hAnsi="Times New Roman" w:eastAsia="Times New Roman"/>
                <w:sz w:val="14"/>
              </w:rPr>
              <w:t>0</w:t>
            </w:r>
          </w:p>
        </w:tc>
        <w:tc>
          <w:tcPr>
            <w:tcW w:type="dxa" w:w="2343"/>
          </w:tcPr>
          <w:p>
            <w:pPr>
              <w:spacing w:after="0" w:before="0" w:line="240" w:lineRule="auto"/>
            </w:pPr>
            <w:r>
              <w:rPr>
                <w:sz w:val="14"/>
              </w:rPr>
            </w:r>
            <w:r>
              <w:rPr>
                <w:rFonts w:ascii="Times New Roman" w:hAnsi="Times New Roman" w:eastAsia="Times New Roman"/>
                <w:sz w:val="14"/>
              </w:rPr>
              <w:t>3 reentrancy findings fixed; 7 equality findings accepted</w:t>
            </w:r>
          </w:p>
        </w:tc>
      </w:tr>
    </w:tbl>
    <w:p>
      <w:pPr>
        <w:spacing w:after="0" w:before="0"/>
      </w:pPr>
    </w:p>
    <w:p>
      <w:pPr>
        <w:pStyle w:val="ListBullet"/>
        <w:spacing w:after="40"/>
      </w:pPr>
      <w:r>
        <w:rPr>
          <w:b/>
          <w:rFonts w:ascii="Times New Roman" w:hAnsi="Times New Roman" w:eastAsia="Times New Roman"/>
        </w:rPr>
        <w:t>Fixed: one reentrancy finding of low severity in LoanManager.repay.</w:t>
      </w:r>
      <w:r>
        <w:rPr>
          <w:rFonts w:ascii="Times New Roman" w:hAnsi="Times New Roman" w:eastAsia="Times New Roman"/>
        </w:rPr>
        <w:t xml:space="preserve"> A fully repaid loan was closed in storage after the external calls. The function now marks the loan repaid before transferring, and performs collateral release and credit-record updates afterwards. It was already non-reentrant and all callees are trusted contracts, so this was not exploitable, but the ordering now matches checks-effects-interactions.</w:t>
      </w:r>
    </w:p>
    <w:p>
      <w:pPr>
        <w:pStyle w:val="ListBullet"/>
        <w:spacing w:after="40"/>
      </w:pPr>
      <w:r>
        <w:rPr>
          <w:b/>
          <w:rFonts w:ascii="Times New Roman" w:hAnsi="Times New Roman" w:eastAsia="Times New Roman"/>
        </w:rPr>
        <w:t>Fixed: two event-ordering findings in CollateralVault.</w:t>
      </w:r>
      <w:r>
        <w:rPr>
          <w:rFonts w:ascii="Times New Roman" w:hAnsi="Times New Roman" w:eastAsia="Times New Roman"/>
        </w:rPr>
        <w:t xml:space="preserve"> The release and seize functions emitted events after the token transfers. Events now precede the transfers, so the log order matches the state.</w:t>
      </w:r>
    </w:p>
    <w:p>
      <w:pPr>
        <w:pStyle w:val="ListBullet"/>
        <w:spacing w:after="40"/>
      </w:pPr>
      <w:r>
        <w:rPr>
          <w:b/>
          <w:rFonts w:ascii="Times New Roman" w:hAnsi="Times New Roman" w:eastAsia="Times New Roman"/>
        </w:rPr>
        <w:t>Accepted: seven incorrect-equality findings in LendingPool.</w:t>
      </w:r>
      <w:r>
        <w:rPr>
          <w:rFonts w:ascii="Times New Roman" w:hAnsi="Times New Roman" w:eastAsia="Times New Roman"/>
        </w:rPr>
        <w:t xml:space="preserve"> These are zero-value guards, such as totalShares equal to zero or shares equal to zero, protecting division by zero and the first-deposit branch. Because the lender-assets figure depends on the token balance, any wallet can donate tokens to the pool; but a donation only raises the value and therefore cannot turn a zero guard into a harmful path. The classic first-depositor inflation attack is bounded by MINIMUM_SHARES, and any deposit that would round to zero shares reverts instead of silently losing funds. This reasoning has not yet been backed by a dedicated donation-attack test, which is a good candidate for extra coverage.</w:t>
      </w:r>
    </w:p>
    <w:p>
      <w:r>
        <w:rPr>
          <w:b/>
          <w:rFonts w:ascii="Times New Roman" w:hAnsi="Times New Roman" w:eastAsia="Times New Roman"/>
        </w:rPr>
        <w:t>What Slither cannot tell you.</w:t>
      </w:r>
      <w:r>
        <w:rPr>
          <w:rFonts w:ascii="Times New Roman" w:hAnsi="Times New Roman" w:eastAsia="Times New Roman"/>
        </w:rPr>
        <w:t xml:space="preserve"> Static analysis cannot validate business logic such as the loss waterfall or the share accounting; those rest on the 49 contract tests and the accounting invariant test. The configuration also excludes the mock token from the reported counts, so MockStablecoin is not covered by the 10 and 7 figures.</w:t>
      </w:r>
    </w:p>
    <w:p>
      <w:pPr>
        <w:pStyle w:val="Heading2"/>
      </w:pPr>
      <w:r>
        <w:t>6.3 A production finding worth reporting</w:t>
      </w:r>
    </w:p>
    <w:p>
      <w:r>
        <w:rPr>
          <w:rFonts w:ascii="Times New Roman" w:hAnsi="Times New Roman" w:eastAsia="Times New Roman"/>
        </w:rPr>
        <w:t xml:space="preserve">While the application was running on Render, an RPC failure caused the private RPC URL, which embeds an Alchemy API key, to be returned inside the </w:t>
      </w:r>
      <w:r>
        <w:rPr>
          <w:b/>
          <w:rFonts w:ascii="Times New Roman" w:hAnsi="Times New Roman" w:eastAsia="Times New Roman"/>
        </w:rPr>
        <w:t>public</w:t>
      </w:r>
      <w:r>
        <w:rPr>
          <w:rFonts w:ascii="Times New Roman" w:hAnsi="Times New Roman" w:eastAsia="Times New Roman"/>
        </w:rPr>
        <w:t xml:space="preserve"> error field of the health endpoint. The condition has since cleared, and the public configuration endpoint now exposes a credential-free RPC, so no live leak was observed at the time of writing. The code path that can echo a credential into a public error field is nevertheless still present. The correct response is to redact credentials from all public error output and to rotate the API key, on the assumption that the key has been exposed. This is a concrete lesson: the boundary between internal error detail and a public response has to be enforced, not assumed.</w:t>
      </w:r>
    </w:p>
    <w:p>
      <w:pPr>
        <w:pStyle w:val="Heading1"/>
      </w:pPr>
      <w:r>
        <w:t>7. Backend and data</w:t>
      </w:r>
    </w:p>
    <w:p>
      <w:r>
        <w:rPr>
          <w:rFonts w:ascii="Times New Roman" w:hAnsi="Times New Roman" w:eastAsia="Times New Roman"/>
        </w:rPr>
        <w:t>The backend is a stateless Express application plus one background loop. It holds no user funds; its only privileged capability is signing score attestations.</w:t>
      </w:r>
    </w:p>
    <w:p>
      <w:pPr>
        <w:keepNext/>
        <w:spacing w:after="40" w:before="80"/>
      </w:pPr>
      <w:r>
        <w:rPr>
          <w:b/>
          <w:color w:val="1F4E79"/>
          <w:sz w:val="16"/>
        </w:rPr>
        <w:t>Table 19. REST API surface: 17 endpoints, grouped. All routers are mounted under /api, and a global limit of 600 requests per 15 minutes per client applies.</w:t>
      </w:r>
    </w:p>
    <w:tbl>
      <w:tblPr>
        <w:tblStyle w:val="TableGrid"/>
        <w:tblW w:type="auto" w:w="0"/>
        <w:jc w:val="center"/>
        <w:tblLook w:firstColumn="1" w:firstRow="1" w:lastColumn="0" w:lastRow="0" w:noHBand="0" w:noVBand="1" w:val="04A0"/>
      </w:tblPr>
      <w:tblGrid>
        <w:gridCol w:w="2929"/>
        <w:gridCol w:w="2929"/>
        <w:gridCol w:w="2929"/>
      </w:tblGrid>
      <w:tr>
        <w:tc>
          <w:tcPr>
            <w:tcW w:type="dxa" w:w="2769"/>
            <w:shd w:val="clear" w:color="auto" w:fill="1F4E79"/>
          </w:tcPr>
          <w:p>
            <w:pPr>
              <w:spacing w:after="0" w:line="240" w:lineRule="auto"/>
            </w:pPr>
            <w:r/>
            <w:r>
              <w:rPr>
                <w:b/>
                <w:color w:val="FFFFFF"/>
                <w:sz w:val="14"/>
                <w:rFonts w:ascii="Times New Roman" w:hAnsi="Times New Roman" w:eastAsia="Times New Roman"/>
              </w:rPr>
              <w:t>Method and path</w:t>
            </w:r>
          </w:p>
        </w:tc>
        <w:tc>
          <w:tcPr>
            <w:tcW w:type="dxa" w:w="2130"/>
            <w:shd w:val="clear" w:color="auto" w:fill="1F4E79"/>
          </w:tcPr>
          <w:p>
            <w:pPr>
              <w:spacing w:after="0" w:line="240" w:lineRule="auto"/>
            </w:pPr>
            <w:r/>
            <w:r>
              <w:rPr>
                <w:b/>
                <w:color w:val="FFFFFF"/>
                <w:sz w:val="14"/>
                <w:rFonts w:ascii="Times New Roman" w:hAnsi="Times New Roman" w:eastAsia="Times New Roman"/>
              </w:rPr>
              <w:t>Auth and role</w:t>
            </w:r>
          </w:p>
        </w:tc>
        <w:tc>
          <w:tcPr>
            <w:tcW w:type="dxa" w:w="3888"/>
            <w:shd w:val="clear" w:color="auto" w:fill="1F4E79"/>
          </w:tcPr>
          <w:p>
            <w:pPr>
              <w:spacing w:after="0" w:line="240" w:lineRule="auto"/>
            </w:pPr>
            <w:r/>
            <w:r>
              <w:rPr>
                <w:b/>
                <w:color w:val="FFFFFF"/>
                <w:sz w:val="14"/>
                <w:rFonts w:ascii="Times New Roman" w:hAnsi="Times New Roman" w:eastAsia="Times New Roman"/>
              </w:rPr>
              <w:t>Purpose</w:t>
            </w:r>
          </w:p>
        </w:tc>
      </w:tr>
      <w:tr>
        <w:tc>
          <w:tcPr>
            <w:tcW w:type="dxa" w:w="2769"/>
          </w:tcPr>
          <w:p>
            <w:pPr>
              <w:spacing w:after="0" w:before="0" w:line="240" w:lineRule="auto"/>
            </w:pPr>
            <w:r>
              <w:rPr>
                <w:sz w:val="14"/>
              </w:rPr>
            </w:r>
            <w:r>
              <w:rPr>
                <w:rFonts w:ascii="Times New Roman" w:hAnsi="Times New Roman" w:eastAsia="Times New Roman"/>
                <w:sz w:val="14"/>
              </w:rPr>
              <w:t>GET /health, /config, /abis, /stats, /pool/history</w:t>
            </w:r>
          </w:p>
        </w:tc>
        <w:tc>
          <w:tcPr>
            <w:tcW w:type="dxa" w:w="2130"/>
          </w:tcPr>
          <w:p>
            <w:pPr>
              <w:spacing w:after="0" w:before="0" w:line="240" w:lineRule="auto"/>
            </w:pPr>
            <w:r>
              <w:rPr>
                <w:sz w:val="14"/>
              </w:rPr>
            </w:r>
            <w:r>
              <w:rPr>
                <w:rFonts w:ascii="Times New Roman" w:hAnsi="Times New Roman" w:eastAsia="Times New Roman"/>
                <w:sz w:val="14"/>
              </w:rPr>
              <w:t>public</w:t>
            </w:r>
          </w:p>
        </w:tc>
        <w:tc>
          <w:tcPr>
            <w:tcW w:type="dxa" w:w="3888"/>
          </w:tcPr>
          <w:p>
            <w:pPr>
              <w:spacing w:after="0" w:before="0" w:line="240" w:lineRule="auto"/>
            </w:pPr>
            <w:r>
              <w:rPr>
                <w:sz w:val="14"/>
              </w:rPr>
            </w:r>
            <w:r>
              <w:rPr>
                <w:rFonts w:ascii="Times New Roman" w:hAnsi="Times New Roman" w:eastAsia="Times New Roman"/>
                <w:sz w:val="14"/>
              </w:rPr>
              <w:t>Liveness and indexer status; deployment addresses and the model card; contract ABIs; pool, loan and scoring aggregates; the pool snapshot time series for the charts</w:t>
            </w:r>
          </w:p>
        </w:tc>
      </w:tr>
      <w:tr>
        <w:tc>
          <w:tcPr>
            <w:tcW w:type="dxa" w:w="2769"/>
          </w:tcPr>
          <w:p>
            <w:pPr>
              <w:spacing w:after="0" w:before="0" w:line="240" w:lineRule="auto"/>
            </w:pPr>
            <w:r>
              <w:rPr>
                <w:sz w:val="14"/>
              </w:rPr>
            </w:r>
            <w:r>
              <w:rPr>
                <w:rFonts w:ascii="Times New Roman" w:hAnsi="Times New Roman" w:eastAsia="Times New Roman"/>
                <w:sz w:val="14"/>
              </w:rPr>
              <w:t>POST /auth/nonce and /auth/verify</w:t>
            </w:r>
          </w:p>
        </w:tc>
        <w:tc>
          <w:tcPr>
            <w:tcW w:type="dxa" w:w="2130"/>
          </w:tcPr>
          <w:p>
            <w:pPr>
              <w:spacing w:after="0" w:before="0" w:line="240" w:lineRule="auto"/>
            </w:pPr>
            <w:r>
              <w:rPr>
                <w:sz w:val="14"/>
              </w:rPr>
            </w:r>
            <w:r>
              <w:rPr>
                <w:rFonts w:ascii="Times New Roman" w:hAnsi="Times New Roman" w:eastAsia="Times New Roman"/>
                <w:sz w:val="14"/>
              </w:rPr>
              <w:t>public, 60 per 15 min</w:t>
            </w:r>
          </w:p>
        </w:tc>
        <w:tc>
          <w:tcPr>
            <w:tcW w:type="dxa" w:w="3888"/>
          </w:tcPr>
          <w:p>
            <w:pPr>
              <w:spacing w:after="0" w:before="0" w:line="240" w:lineRule="auto"/>
            </w:pPr>
            <w:r>
              <w:rPr>
                <w:sz w:val="14"/>
              </w:rPr>
            </w:r>
            <w:r>
              <w:rPr>
                <w:rFonts w:ascii="Times New Roman" w:hAnsi="Times New Roman" w:eastAsia="Times New Roman"/>
                <w:sz w:val="14"/>
              </w:rPr>
              <w:t>Issue a single-use sign-in challenge, then verify the wallet signature and return a JWT with the caller's on-chain roles</w:t>
            </w:r>
          </w:p>
        </w:tc>
      </w:tr>
      <w:tr>
        <w:tc>
          <w:tcPr>
            <w:tcW w:type="dxa" w:w="2769"/>
          </w:tcPr>
          <w:p>
            <w:pPr>
              <w:spacing w:after="0" w:before="0" w:line="240" w:lineRule="auto"/>
            </w:pPr>
            <w:r>
              <w:rPr>
                <w:sz w:val="14"/>
              </w:rPr>
            </w:r>
            <w:r>
              <w:rPr>
                <w:rFonts w:ascii="Times New Roman" w:hAnsi="Times New Roman" w:eastAsia="Times New Roman"/>
                <w:sz w:val="14"/>
              </w:rPr>
              <w:t>GET /me and PUT /profile</w:t>
            </w:r>
          </w:p>
        </w:tc>
        <w:tc>
          <w:tcPr>
            <w:tcW w:type="dxa" w:w="2130"/>
          </w:tcPr>
          <w:p>
            <w:pPr>
              <w:spacing w:after="0" w:before="0" w:line="240" w:lineRule="auto"/>
            </w:pPr>
            <w:r>
              <w:rPr>
                <w:sz w:val="14"/>
              </w:rPr>
            </w:r>
            <w:r>
              <w:rPr>
                <w:rFonts w:ascii="Times New Roman" w:hAnsi="Times New Roman" w:eastAsia="Times New Roman"/>
                <w:sz w:val="14"/>
              </w:rPr>
              <w:t>JWT</w:t>
            </w:r>
          </w:p>
        </w:tc>
        <w:tc>
          <w:tcPr>
            <w:tcW w:type="dxa" w:w="3888"/>
          </w:tcPr>
          <w:p>
            <w:pPr>
              <w:spacing w:after="0" w:before="0" w:line="240" w:lineRule="auto"/>
            </w:pPr>
            <w:r>
              <w:rPr>
                <w:sz w:val="14"/>
              </w:rPr>
            </w:r>
            <w:r>
              <w:rPr>
                <w:rFonts w:ascii="Times New Roman" w:hAnsi="Times New Roman" w:eastAsia="Times New Roman"/>
                <w:sz w:val="14"/>
              </w:rPr>
              <w:t>Wallet, roles, credit profile, lender position and balances; upsert of the off-chain KYC-lite metadata that never goes on-chain</w:t>
            </w:r>
          </w:p>
        </w:tc>
      </w:tr>
      <w:tr>
        <w:tc>
          <w:tcPr>
            <w:tcW w:type="dxa" w:w="2769"/>
          </w:tcPr>
          <w:p>
            <w:pPr>
              <w:spacing w:after="0" w:before="0" w:line="240" w:lineRule="auto"/>
            </w:pPr>
            <w:r>
              <w:rPr>
                <w:sz w:val="14"/>
              </w:rPr>
            </w:r>
            <w:r>
              <w:rPr>
                <w:rFonts w:ascii="Times New Roman" w:hAnsi="Times New Roman" w:eastAsia="Times New Roman"/>
                <w:sz w:val="14"/>
              </w:rPr>
              <w:t>GET /loans and /loans/:id</w:t>
            </w:r>
          </w:p>
        </w:tc>
        <w:tc>
          <w:tcPr>
            <w:tcW w:type="dxa" w:w="2130"/>
          </w:tcPr>
          <w:p>
            <w:pPr>
              <w:spacing w:after="0" w:before="0" w:line="240" w:lineRule="auto"/>
            </w:pPr>
            <w:r>
              <w:rPr>
                <w:sz w:val="14"/>
              </w:rPr>
            </w:r>
            <w:r>
              <w:rPr>
                <w:rFonts w:ascii="Times New Roman" w:hAnsi="Times New Roman" w:eastAsia="Times New Roman"/>
                <w:sz w:val="14"/>
              </w:rPr>
              <w:t>JWT; own rows, or all rows for staff</w:t>
            </w:r>
          </w:p>
        </w:tc>
        <w:tc>
          <w:tcPr>
            <w:tcW w:type="dxa" w:w="3888"/>
          </w:tcPr>
          <w:p>
            <w:pPr>
              <w:spacing w:after="0" w:before="0" w:line="240" w:lineRule="auto"/>
            </w:pPr>
            <w:r>
              <w:rPr>
                <w:sz w:val="14"/>
              </w:rPr>
            </w:r>
            <w:r>
              <w:rPr>
                <w:rFonts w:ascii="Times New Roman" w:hAnsi="Times New Roman" w:eastAsia="Times New Roman"/>
                <w:sz w:val="14"/>
              </w:rPr>
              <w:t>Filterable paginated loan list; loan detail with its full event trail</w:t>
            </w:r>
          </w:p>
        </w:tc>
      </w:tr>
      <w:tr>
        <w:tc>
          <w:tcPr>
            <w:tcW w:type="dxa" w:w="2769"/>
          </w:tcPr>
          <w:p>
            <w:pPr>
              <w:spacing w:after="0" w:before="0" w:line="240" w:lineRule="auto"/>
            </w:pPr>
            <w:r>
              <w:rPr>
                <w:sz w:val="14"/>
              </w:rPr>
            </w:r>
            <w:r>
              <w:rPr>
                <w:rFonts w:ascii="Times New Roman" w:hAnsi="Times New Roman" w:eastAsia="Times New Roman"/>
                <w:sz w:val="14"/>
              </w:rPr>
              <w:t>GET /events and /events/export.csv</w:t>
            </w:r>
          </w:p>
        </w:tc>
        <w:tc>
          <w:tcPr>
            <w:tcW w:type="dxa" w:w="2130"/>
          </w:tcPr>
          <w:p>
            <w:pPr>
              <w:spacing w:after="0" w:before="0" w:line="240" w:lineRule="auto"/>
            </w:pPr>
            <w:r>
              <w:rPr>
                <w:sz w:val="14"/>
              </w:rPr>
            </w:r>
            <w:r>
              <w:rPr>
                <w:rFonts w:ascii="Times New Roman" w:hAnsi="Times New Roman" w:eastAsia="Times New Roman"/>
                <w:sz w:val="14"/>
              </w:rPr>
              <w:t>JWT for own rows; auditor or admin for the CSV</w:t>
            </w:r>
          </w:p>
        </w:tc>
        <w:tc>
          <w:tcPr>
            <w:tcW w:type="dxa" w:w="3888"/>
          </w:tcPr>
          <w:p>
            <w:pPr>
              <w:spacing w:after="0" w:before="0" w:line="240" w:lineRule="auto"/>
            </w:pPr>
            <w:r>
              <w:rPr>
                <w:sz w:val="14"/>
              </w:rPr>
            </w:r>
            <w:r>
              <w:rPr>
                <w:rFonts w:ascii="Times New Roman" w:hAnsi="Times New Roman" w:eastAsia="Times New Roman"/>
                <w:sz w:val="14"/>
              </w:rPr>
              <w:t>Audit-log query by event, loan, account and time window; full CSV export for offline audit</w:t>
            </w:r>
          </w:p>
        </w:tc>
      </w:tr>
      <w:tr>
        <w:tc>
          <w:tcPr>
            <w:tcW w:type="dxa" w:w="2769"/>
          </w:tcPr>
          <w:p>
            <w:pPr>
              <w:spacing w:after="0" w:before="0" w:line="240" w:lineRule="auto"/>
            </w:pPr>
            <w:r>
              <w:rPr>
                <w:sz w:val="14"/>
              </w:rPr>
            </w:r>
            <w:r>
              <w:rPr>
                <w:rFonts w:ascii="Times New Roman" w:hAnsi="Times New Roman" w:eastAsia="Times New Roman"/>
                <w:sz w:val="14"/>
              </w:rPr>
              <w:t>POST /score and GET /score/latest</w:t>
            </w:r>
          </w:p>
        </w:tc>
        <w:tc>
          <w:tcPr>
            <w:tcW w:type="dxa" w:w="2130"/>
          </w:tcPr>
          <w:p>
            <w:pPr>
              <w:spacing w:after="0" w:before="0" w:line="240" w:lineRule="auto"/>
            </w:pPr>
            <w:r>
              <w:rPr>
                <w:sz w:val="14"/>
              </w:rPr>
            </w:r>
            <w:r>
              <w:rPr>
                <w:rFonts w:ascii="Times New Roman" w:hAnsi="Times New Roman" w:eastAsia="Times New Roman"/>
                <w:sz w:val="14"/>
              </w:rPr>
              <w:t>JWT, 10 per hour per wallet</w:t>
            </w:r>
          </w:p>
        </w:tc>
        <w:tc>
          <w:tcPr>
            <w:tcW w:type="dxa" w:w="3888"/>
          </w:tcPr>
          <w:p>
            <w:pPr>
              <w:spacing w:after="0" w:before="0" w:line="240" w:lineRule="auto"/>
            </w:pPr>
            <w:r>
              <w:rPr>
                <w:sz w:val="14"/>
              </w:rPr>
            </w:r>
            <w:r>
              <w:rPr>
                <w:rFonts w:ascii="Times New Roman" w:hAnsi="Times New Roman" w:eastAsia="Times New Roman"/>
                <w:sz w:val="14"/>
              </w:rPr>
              <w:t>Off-chain score with its EIP-712 attestation; the most recent stored score for the caller</w:t>
            </w:r>
          </w:p>
        </w:tc>
      </w:tr>
      <w:tr>
        <w:tc>
          <w:tcPr>
            <w:tcW w:type="dxa" w:w="2769"/>
          </w:tcPr>
          <w:p>
            <w:pPr>
              <w:spacing w:after="0" w:before="0" w:line="240" w:lineRule="auto"/>
            </w:pPr>
            <w:r>
              <w:rPr>
                <w:sz w:val="14"/>
              </w:rPr>
            </w:r>
            <w:r>
              <w:rPr>
                <w:rFonts w:ascii="Times New Roman" w:hAnsi="Times New Roman" w:eastAsia="Times New Roman"/>
                <w:sz w:val="14"/>
              </w:rPr>
              <w:t>GET /officer/queue and /audit/summary</w:t>
            </w:r>
          </w:p>
        </w:tc>
        <w:tc>
          <w:tcPr>
            <w:tcW w:type="dxa" w:w="2130"/>
          </w:tcPr>
          <w:p>
            <w:pPr>
              <w:spacing w:after="0" w:before="0" w:line="240" w:lineRule="auto"/>
            </w:pPr>
            <w:r>
              <w:rPr>
                <w:sz w:val="14"/>
              </w:rPr>
            </w:r>
            <w:r>
              <w:rPr>
                <w:rFonts w:ascii="Times New Roman" w:hAnsi="Times New Roman" w:eastAsia="Times New Roman"/>
                <w:sz w:val="14"/>
              </w:rPr>
              <w:t>officer; auditor or admin</w:t>
            </w:r>
          </w:p>
        </w:tc>
        <w:tc>
          <w:tcPr>
            <w:tcW w:type="dxa" w:w="3888"/>
          </w:tcPr>
          <w:p>
            <w:pPr>
              <w:spacing w:after="0" w:before="0" w:line="240" w:lineRule="auto"/>
            </w:pPr>
            <w:r>
              <w:rPr>
                <w:sz w:val="14"/>
              </w:rPr>
            </w:r>
            <w:r>
              <w:rPr>
                <w:rFonts w:ascii="Times New Roman" w:hAnsi="Times New Roman" w:eastAsia="Times New Roman"/>
                <w:sz w:val="14"/>
              </w:rPr>
              <w:t>Pending applications with model inputs and past-loan history; approval and default rates, processing speed and reserve cover</w:t>
            </w:r>
          </w:p>
        </w:tc>
      </w:tr>
    </w:tbl>
    <w:p>
      <w:pPr>
        <w:spacing w:after="0" w:before="0"/>
      </w:pPr>
    </w:p>
    <w:p>
      <w:pPr>
        <w:pStyle w:val="Heading2"/>
      </w:pPr>
      <w:r>
        <w:t>7.1 Sign-in and authorisation</w:t>
      </w:r>
    </w:p>
    <w:p>
      <w:r>
        <w:rPr>
          <w:rFonts w:ascii="Times New Roman" w:hAnsi="Times New Roman" w:eastAsia="Times New Roman"/>
        </w:rPr>
        <w:t xml:space="preserve">There are no passwords. The nonce endpoint stores a 32-hex-character nonce against the lower-cased address and returns a human-readable message containing the address, chain id, nonce, timestamp and the sentence "This signature costs no gas and does not authorise any transaction." The wallet signs it with personal_sign. The verify endpoint deletes the nonce row </w:t>
      </w:r>
      <w:r>
        <w:rPr>
          <w:i/>
          <w:rFonts w:ascii="Times New Roman" w:hAnsi="Times New Roman" w:eastAsia="Times New Roman"/>
        </w:rPr>
        <w:t>before</w:t>
      </w:r>
      <w:r>
        <w:rPr>
          <w:rFonts w:ascii="Times New Roman" w:hAnsi="Times New Roman" w:eastAsia="Times New Roman"/>
        </w:rPr>
        <w:t xml:space="preserve"> recovering the signer, so it is single use whatever the outcome, then compares the recovered address with the claimed one, reads the caller's on-chain roles, and issues an HS256 token valid for 8 hours. Roles are never baked into the token; they are re-read from LoanManager on every request and cached for 30 seconds, so revoking a role takes effect within about half a minute even for an already-issued token.</w:t>
      </w:r>
    </w:p>
    <w:p>
      <w:pPr>
        <w:pStyle w:val="Heading2"/>
      </w:pPr>
      <w:r>
        <w:t>7.2 Event indexer</w:t>
      </w:r>
    </w:p>
    <w:p>
      <w:r>
        <w:rPr>
          <w:rFonts w:ascii="Times New Roman" w:hAnsi="Times New Roman" w:eastAsia="Times New Roman"/>
        </w:rPr>
        <w:t>The indexer is the only component that writes chain data to the database, and it is deliberately idempotent so that a crash is always recoverable.</w:t>
      </w:r>
    </w:p>
    <w:p>
      <w:pPr>
        <w:pStyle w:val="ListBullet"/>
        <w:spacing w:after="40"/>
      </w:pPr>
      <w:r>
        <w:rPr>
          <w:rFonts w:ascii="Times New Roman" w:hAnsi="Times New Roman" w:eastAsia="Times New Roman"/>
        </w:rPr>
        <w:t>Every 4 seconds it reads the chain head, computes a safe head by subtracting the confirmation depth (2 in production), and scans only up to that point. A reorganisation shallower than the confirmation depth therefore cannot be indexed; no rollback logic is needed because writes are idempotent and the checkpoint only moves forward.</w:t>
      </w:r>
    </w:p>
    <w:p>
      <w:pPr>
        <w:pStyle w:val="ListBullet"/>
        <w:spacing w:after="40"/>
      </w:pPr>
      <w:r>
        <w:rPr>
          <w:rFonts w:ascii="Times New Roman" w:hAnsi="Times New Roman" w:eastAsia="Times New Roman"/>
        </w:rPr>
        <w:t>It resumes from the stored checkpoint or from the deployment start block on a fresh database, and fetches logs in chunks whose size is configurable.</w:t>
      </w:r>
    </w:p>
    <w:p>
      <w:pPr>
        <w:pStyle w:val="ListBullet"/>
        <w:spacing w:after="40"/>
      </w:pPr>
      <w:r>
        <w:rPr>
          <w:rFonts w:ascii="Times New Roman" w:hAnsi="Times New Roman" w:eastAsia="Times New Roman"/>
        </w:rPr>
        <w:t>Logs are decoded against the committed ABIs, and the mock token is skipped to avoid ERC-20 transfer noise. Address-typed arguments are collected into an accounts column formatted with leading and trailing commas, so ownership filtering is a single indexed LIKE predicate.</w:t>
      </w:r>
    </w:p>
    <w:p>
      <w:pPr>
        <w:pStyle w:val="ListBullet"/>
        <w:spacing w:after="40"/>
      </w:pPr>
      <w:r>
        <w:rPr>
          <w:rFonts w:ascii="Times New Roman" w:hAnsi="Times New Roman" w:eastAsia="Times New Roman"/>
        </w:rPr>
        <w:t xml:space="preserve">Each chunk writes events with conflict-ignoring on transaction hash and log index, refreshes the denormalised loan rows, and advances the checkpoint </w:t>
      </w:r>
      <w:r>
        <w:rPr>
          <w:b/>
          <w:rFonts w:ascii="Times New Roman" w:hAnsi="Times New Roman" w:eastAsia="Times New Roman"/>
        </w:rPr>
        <w:t>inside one transaction</w:t>
      </w:r>
      <w:r>
        <w:rPr>
          <w:rFonts w:ascii="Times New Roman" w:hAnsi="Times New Roman" w:eastAsia="Times New Roman"/>
        </w:rPr>
        <w:t>, so state only advances if the writes committed. Pool snapshots are written afterwards, plus one idle heartbeat point per hour so the chart does not go flat.</w:t>
      </w:r>
    </w:p>
    <w:p>
      <w:pPr>
        <w:pStyle w:val="ListBullet"/>
        <w:spacing w:after="40"/>
      </w:pPr>
      <w:r>
        <w:rPr>
          <w:rFonts w:ascii="Times New Roman" w:hAnsi="Times New Roman" w:eastAsia="Times New Roman"/>
        </w:rPr>
        <w:t>Errors are swallowed after being recorded in the status object, so one failed poll does not kill the loop, and a running flag prevents overlapping polls.</w:t>
      </w:r>
    </w:p>
    <w:p>
      <w:r>
        <w:rPr>
          <w:rFonts w:ascii="Times New Roman" w:hAnsi="Times New Roman" w:eastAsia="Times New Roman"/>
        </w:rPr>
        <w:t xml:space="preserve">Operationally, the chunk size had to be lowered to </w:t>
      </w:r>
      <w:r>
        <w:rPr>
          <w:b/>
          <w:rFonts w:ascii="Times New Roman" w:hAnsi="Times New Roman" w:eastAsia="Times New Roman"/>
        </w:rPr>
        <w:t>10</w:t>
      </w:r>
      <w:r>
        <w:rPr>
          <w:rFonts w:ascii="Times New Roman" w:hAnsi="Times New Roman" w:eastAsia="Times New Roman"/>
        </w:rPr>
        <w:t xml:space="preserve"> in the hosting console, because the configured RPC endpoint rejected the default range of 2,000 blocks. That override lives in the console rather than in the blueprint file, which means recreating the service from the blueprint alone would silently reintroduce the failure. Recording such out-of-band configuration is part of deployment hygiene.</w:t>
      </w:r>
    </w:p>
    <w:p>
      <w:pPr>
        <w:pStyle w:val="Heading1"/>
      </w:pPr>
      <w:r>
        <w:t>8. Frontend and user experience</w:t>
      </w:r>
    </w:p>
    <w:p>
      <w:r>
        <w:rPr>
          <w:rFonts w:ascii="Times New Roman" w:hAnsi="Times New Roman" w:eastAsia="Times New Roman"/>
        </w:rPr>
        <w:t>The frontend is a single-page React application that renders a different set of tabs depending on the roles read from the chain. A wallet with no staff role sees three tabs; the admin wallet sees six.</w:t>
      </w:r>
    </w:p>
    <w:p>
      <w:pPr>
        <w:keepNext/>
        <w:spacing w:after="40" w:before="80"/>
      </w:pPr>
      <w:r>
        <w:rPr>
          <w:b/>
          <w:color w:val="1F4E79"/>
          <w:sz w:val="16"/>
        </w:rPr>
        <w:t>Table 20. Role-based pages.</w:t>
      </w:r>
    </w:p>
    <w:tbl>
      <w:tblPr>
        <w:tblStyle w:val="TableGrid"/>
        <w:tblW w:type="auto" w:w="0"/>
        <w:jc w:val="center"/>
        <w:tblLook w:firstColumn="1" w:firstRow="1" w:lastColumn="0" w:lastRow="0" w:noHBand="0" w:noVBand="1" w:val="04A0"/>
      </w:tblPr>
      <w:tblGrid>
        <w:gridCol w:w="2929"/>
        <w:gridCol w:w="2929"/>
        <w:gridCol w:w="2929"/>
      </w:tblGrid>
      <w:tr>
        <w:tc>
          <w:tcPr>
            <w:tcW w:type="dxa" w:w="1385"/>
            <w:shd w:val="clear" w:color="auto" w:fill="1F4E79"/>
          </w:tcPr>
          <w:p>
            <w:pPr>
              <w:spacing w:after="0" w:line="240" w:lineRule="auto"/>
            </w:pPr>
            <w:r/>
            <w:r>
              <w:rPr>
                <w:b/>
                <w:color w:val="FFFFFF"/>
                <w:sz w:val="14"/>
                <w:rFonts w:ascii="Times New Roman" w:hAnsi="Times New Roman" w:eastAsia="Times New Roman"/>
              </w:rPr>
              <w:t>Page</w:t>
            </w:r>
          </w:p>
        </w:tc>
        <w:tc>
          <w:tcPr>
            <w:tcW w:type="dxa" w:w="2237"/>
            <w:shd w:val="clear" w:color="auto" w:fill="1F4E79"/>
          </w:tcPr>
          <w:p>
            <w:pPr>
              <w:spacing w:after="0" w:line="240" w:lineRule="auto"/>
            </w:pPr>
            <w:r/>
            <w:r>
              <w:rPr>
                <w:b/>
                <w:color w:val="FFFFFF"/>
                <w:sz w:val="14"/>
                <w:rFonts w:ascii="Times New Roman" w:hAnsi="Times New Roman" w:eastAsia="Times New Roman"/>
              </w:rPr>
              <w:t>Visible to</w:t>
            </w:r>
          </w:p>
        </w:tc>
        <w:tc>
          <w:tcPr>
            <w:tcW w:type="dxa" w:w="5166"/>
            <w:shd w:val="clear" w:color="auto" w:fill="1F4E79"/>
          </w:tcPr>
          <w:p>
            <w:pPr>
              <w:spacing w:after="0" w:line="240" w:lineRule="auto"/>
            </w:pPr>
            <w:r/>
            <w:r>
              <w:rPr>
                <w:b/>
                <w:color w:val="FFFFFF"/>
                <w:sz w:val="14"/>
                <w:rFonts w:ascii="Times New Roman" w:hAnsi="Times New Roman" w:eastAsia="Times New Roman"/>
              </w:rPr>
              <w:t>Purpose</w:t>
            </w:r>
          </w:p>
        </w:tc>
      </w:tr>
      <w:tr>
        <w:tc>
          <w:tcPr>
            <w:tcW w:type="dxa" w:w="1385"/>
          </w:tcPr>
          <w:p>
            <w:pPr>
              <w:spacing w:after="0" w:before="0" w:line="240" w:lineRule="auto"/>
            </w:pPr>
            <w:r>
              <w:rPr>
                <w:sz w:val="14"/>
              </w:rPr>
            </w:r>
            <w:r>
              <w:rPr>
                <w:rFonts w:ascii="Times New Roman" w:hAnsi="Times New Roman" w:eastAsia="Times New Roman"/>
                <w:sz w:val="14"/>
              </w:rPr>
              <w:t>Overview</w:t>
            </w:r>
          </w:p>
        </w:tc>
        <w:tc>
          <w:tcPr>
            <w:tcW w:type="dxa" w:w="2237"/>
          </w:tcPr>
          <w:p>
            <w:pPr>
              <w:spacing w:after="0" w:before="0" w:line="240" w:lineRule="auto"/>
            </w:pPr>
            <w:r>
              <w:rPr>
                <w:sz w:val="14"/>
              </w:rPr>
            </w:r>
            <w:r>
              <w:rPr>
                <w:rFonts w:ascii="Times New Roman" w:hAnsi="Times New Roman" w:eastAsia="Times New Roman"/>
                <w:sz w:val="14"/>
              </w:rPr>
              <w:t>everyone, no wallet needed</w:t>
            </w:r>
          </w:p>
        </w:tc>
        <w:tc>
          <w:tcPr>
            <w:tcW w:type="dxa" w:w="5166"/>
          </w:tcPr>
          <w:p>
            <w:pPr>
              <w:spacing w:after="0" w:before="0" w:line="240" w:lineRule="auto"/>
            </w:pPr>
            <w:r>
              <w:rPr>
                <w:sz w:val="14"/>
              </w:rPr>
            </w:r>
            <w:r>
              <w:rPr>
                <w:rFonts w:ascii="Times New Roman" w:hAnsi="Times New Roman" w:eastAsia="Times New Roman"/>
                <w:sz w:val="14"/>
              </w:rPr>
              <w:t>Pool KPIs, pool history and loan-status charts, and the model card</w:t>
            </w:r>
          </w:p>
        </w:tc>
      </w:tr>
      <w:tr>
        <w:tc>
          <w:tcPr>
            <w:tcW w:type="dxa" w:w="1385"/>
          </w:tcPr>
          <w:p>
            <w:pPr>
              <w:spacing w:after="0" w:before="0" w:line="240" w:lineRule="auto"/>
            </w:pPr>
            <w:r>
              <w:rPr>
                <w:sz w:val="14"/>
              </w:rPr>
            </w:r>
            <w:r>
              <w:rPr>
                <w:rFonts w:ascii="Times New Roman" w:hAnsi="Times New Roman" w:eastAsia="Times New Roman"/>
                <w:sz w:val="14"/>
              </w:rPr>
              <w:t>Borrow</w:t>
            </w:r>
          </w:p>
        </w:tc>
        <w:tc>
          <w:tcPr>
            <w:tcW w:type="dxa" w:w="2237"/>
          </w:tcPr>
          <w:p>
            <w:pPr>
              <w:spacing w:after="0" w:before="0" w:line="240" w:lineRule="auto"/>
            </w:pPr>
            <w:r>
              <w:rPr>
                <w:sz w:val="14"/>
              </w:rPr>
            </w:r>
            <w:r>
              <w:rPr>
                <w:rFonts w:ascii="Times New Roman" w:hAnsi="Times New Roman" w:eastAsia="Times New Roman"/>
                <w:sz w:val="14"/>
              </w:rPr>
              <w:t>any connected wallet</w:t>
            </w:r>
          </w:p>
        </w:tc>
        <w:tc>
          <w:tcPr>
            <w:tcW w:type="dxa" w:w="5166"/>
          </w:tcPr>
          <w:p>
            <w:pPr>
              <w:spacing w:after="0" w:before="0" w:line="240" w:lineRule="auto"/>
            </w:pPr>
            <w:r>
              <w:rPr>
                <w:sz w:val="14"/>
              </w:rPr>
            </w:r>
            <w:r>
              <w:rPr>
                <w:rFonts w:ascii="Times New Roman" w:hAnsi="Times New Roman" w:eastAsia="Times New Roman"/>
                <w:sz w:val="14"/>
              </w:rPr>
              <w:t>Wallet card and test-token faucet, credit questionnaire, application, collateral, disbursement and repayment</w:t>
            </w:r>
          </w:p>
        </w:tc>
      </w:tr>
      <w:tr>
        <w:tc>
          <w:tcPr>
            <w:tcW w:type="dxa" w:w="1385"/>
          </w:tcPr>
          <w:p>
            <w:pPr>
              <w:spacing w:after="0" w:before="0" w:line="240" w:lineRule="auto"/>
            </w:pPr>
            <w:r>
              <w:rPr>
                <w:sz w:val="14"/>
              </w:rPr>
            </w:r>
            <w:r>
              <w:rPr>
                <w:rFonts w:ascii="Times New Roman" w:hAnsi="Times New Roman" w:eastAsia="Times New Roman"/>
                <w:sz w:val="14"/>
              </w:rPr>
              <w:t>Lend</w:t>
            </w:r>
          </w:p>
        </w:tc>
        <w:tc>
          <w:tcPr>
            <w:tcW w:type="dxa" w:w="2237"/>
          </w:tcPr>
          <w:p>
            <w:pPr>
              <w:spacing w:after="0" w:before="0" w:line="240" w:lineRule="auto"/>
            </w:pPr>
            <w:r>
              <w:rPr>
                <w:sz w:val="14"/>
              </w:rPr>
            </w:r>
            <w:r>
              <w:rPr>
                <w:rFonts w:ascii="Times New Roman" w:hAnsi="Times New Roman" w:eastAsia="Times New Roman"/>
                <w:sz w:val="14"/>
              </w:rPr>
              <w:t>any connected wallet</w:t>
            </w:r>
          </w:p>
        </w:tc>
        <w:tc>
          <w:tcPr>
            <w:tcW w:type="dxa" w:w="5166"/>
          </w:tcPr>
          <w:p>
            <w:pPr>
              <w:spacing w:after="0" w:before="0" w:line="240" w:lineRule="auto"/>
            </w:pPr>
            <w:r>
              <w:rPr>
                <w:sz w:val="14"/>
              </w:rPr>
            </w:r>
            <w:r>
              <w:rPr>
                <w:rFonts w:ascii="Times New Roman" w:hAnsi="Times New Roman" w:eastAsia="Times New Roman"/>
                <w:sz w:val="14"/>
              </w:rPr>
              <w:t>Deposit, position value and share price, withdrawal</w:t>
            </w:r>
          </w:p>
        </w:tc>
      </w:tr>
      <w:tr>
        <w:tc>
          <w:tcPr>
            <w:tcW w:type="dxa" w:w="1385"/>
          </w:tcPr>
          <w:p>
            <w:pPr>
              <w:spacing w:after="0" w:before="0" w:line="240" w:lineRule="auto"/>
            </w:pPr>
            <w:r>
              <w:rPr>
                <w:sz w:val="14"/>
              </w:rPr>
            </w:r>
            <w:r>
              <w:rPr>
                <w:rFonts w:ascii="Times New Roman" w:hAnsi="Times New Roman" w:eastAsia="Times New Roman"/>
                <w:sz w:val="14"/>
              </w:rPr>
              <w:t>Credit officer</w:t>
            </w:r>
          </w:p>
        </w:tc>
        <w:tc>
          <w:tcPr>
            <w:tcW w:type="dxa" w:w="2237"/>
          </w:tcPr>
          <w:p>
            <w:pPr>
              <w:spacing w:after="0" w:before="0" w:line="240" w:lineRule="auto"/>
            </w:pPr>
            <w:r>
              <w:rPr>
                <w:sz w:val="14"/>
              </w:rPr>
            </w:r>
            <w:r>
              <w:rPr>
                <w:rFonts w:ascii="Times New Roman" w:hAnsi="Times New Roman" w:eastAsia="Times New Roman"/>
                <w:sz w:val="14"/>
              </w:rPr>
              <w:t>officer and admin</w:t>
            </w:r>
          </w:p>
        </w:tc>
        <w:tc>
          <w:tcPr>
            <w:tcW w:type="dxa" w:w="5166"/>
          </w:tcPr>
          <w:p>
            <w:pPr>
              <w:spacing w:after="0" w:before="0" w:line="240" w:lineRule="auto"/>
            </w:pPr>
            <w:r>
              <w:rPr>
                <w:sz w:val="14"/>
              </w:rPr>
            </w:r>
            <w:r>
              <w:rPr>
                <w:rFonts w:ascii="Times New Roman" w:hAnsi="Times New Roman" w:eastAsia="Times New Roman"/>
                <w:sz w:val="14"/>
              </w:rPr>
              <w:t>Review queue with score, probability of default, questionnaire inputs and past loans</w:t>
            </w:r>
          </w:p>
        </w:tc>
      </w:tr>
      <w:tr>
        <w:tc>
          <w:tcPr>
            <w:tcW w:type="dxa" w:w="1385"/>
          </w:tcPr>
          <w:p>
            <w:pPr>
              <w:spacing w:after="0" w:before="0" w:line="240" w:lineRule="auto"/>
            </w:pPr>
            <w:r>
              <w:rPr>
                <w:sz w:val="14"/>
              </w:rPr>
            </w:r>
            <w:r>
              <w:rPr>
                <w:rFonts w:ascii="Times New Roman" w:hAnsi="Times New Roman" w:eastAsia="Times New Roman"/>
                <w:sz w:val="14"/>
              </w:rPr>
              <w:t>Audit</w:t>
            </w:r>
          </w:p>
        </w:tc>
        <w:tc>
          <w:tcPr>
            <w:tcW w:type="dxa" w:w="2237"/>
          </w:tcPr>
          <w:p>
            <w:pPr>
              <w:spacing w:after="0" w:before="0" w:line="240" w:lineRule="auto"/>
            </w:pPr>
            <w:r>
              <w:rPr>
                <w:sz w:val="14"/>
              </w:rPr>
            </w:r>
            <w:r>
              <w:rPr>
                <w:rFonts w:ascii="Times New Roman" w:hAnsi="Times New Roman" w:eastAsia="Times New Roman"/>
                <w:sz w:val="14"/>
              </w:rPr>
              <w:t>auditor and admin</w:t>
            </w:r>
          </w:p>
        </w:tc>
        <w:tc>
          <w:tcPr>
            <w:tcW w:type="dxa" w:w="5166"/>
          </w:tcPr>
          <w:p>
            <w:pPr>
              <w:spacing w:after="0" w:before="0" w:line="240" w:lineRule="auto"/>
            </w:pPr>
            <w:r>
              <w:rPr>
                <w:sz w:val="14"/>
              </w:rPr>
            </w:r>
            <w:r>
              <w:rPr>
                <w:rFonts w:ascii="Times New Roman" w:hAnsi="Times New Roman" w:eastAsia="Times New Roman"/>
                <w:sz w:val="14"/>
              </w:rPr>
              <w:t>Summary indicators, filterable event log with transaction hashes, CSV export and audit notes</w:t>
            </w:r>
          </w:p>
        </w:tc>
      </w:tr>
      <w:tr>
        <w:tc>
          <w:tcPr>
            <w:tcW w:type="dxa" w:w="1385"/>
          </w:tcPr>
          <w:p>
            <w:pPr>
              <w:spacing w:after="0" w:before="0" w:line="240" w:lineRule="auto"/>
            </w:pPr>
            <w:r>
              <w:rPr>
                <w:sz w:val="14"/>
              </w:rPr>
            </w:r>
            <w:r>
              <w:rPr>
                <w:rFonts w:ascii="Times New Roman" w:hAnsi="Times New Roman" w:eastAsia="Times New Roman"/>
                <w:sz w:val="14"/>
              </w:rPr>
              <w:t>Admin</w:t>
            </w:r>
          </w:p>
        </w:tc>
        <w:tc>
          <w:tcPr>
            <w:tcW w:type="dxa" w:w="2237"/>
          </w:tcPr>
          <w:p>
            <w:pPr>
              <w:spacing w:after="0" w:before="0" w:line="240" w:lineRule="auto"/>
            </w:pPr>
            <w:r>
              <w:rPr>
                <w:sz w:val="14"/>
              </w:rPr>
            </w:r>
            <w:r>
              <w:rPr>
                <w:rFonts w:ascii="Times New Roman" w:hAnsi="Times New Roman" w:eastAsia="Times New Roman"/>
                <w:sz w:val="14"/>
              </w:rPr>
              <w:t>admin</w:t>
            </w:r>
          </w:p>
        </w:tc>
        <w:tc>
          <w:tcPr>
            <w:tcW w:type="dxa" w:w="5166"/>
          </w:tcPr>
          <w:p>
            <w:pPr>
              <w:spacing w:after="0" w:before="0" w:line="240" w:lineRule="auto"/>
            </w:pPr>
            <w:r>
              <w:rPr>
                <w:sz w:val="14"/>
              </w:rPr>
            </w:r>
            <w:r>
              <w:rPr>
                <w:rFonts w:ascii="Times New Roman" w:hAnsi="Times New Roman" w:eastAsia="Times New Roman"/>
                <w:sz w:val="14"/>
              </w:rPr>
              <w:t>Pause controls, pool parameters, roles, reserve funding, borrower blocking and tier configuration</w:t>
            </w:r>
          </w:p>
        </w:tc>
      </w:tr>
    </w:tbl>
    <w:p>
      <w:pPr>
        <w:spacing w:after="0" w:before="0"/>
      </w:pPr>
    </w:p>
    <w:p>
      <w:pPr>
        <w:keepNext/>
        <w:spacing w:before="60" w:after="20"/>
        <w:jc w:val="center"/>
      </w:pPr>
      <w:r>
        <w:drawing>
          <wp:inline xmlns:a="http://schemas.openxmlformats.org/drawingml/2006/main" xmlns:pic="http://schemas.openxmlformats.org/drawingml/2006/picture">
            <wp:extent cx="5256000" cy="3195154"/>
            <wp:docPr id="8" name="Picture 8"/>
            <wp:cNvGraphicFramePr>
              <a:graphicFrameLocks noChangeAspect="1"/>
            </wp:cNvGraphicFramePr>
            <a:graphic>
              <a:graphicData uri="http://schemas.openxmlformats.org/drawingml/2006/picture">
                <pic:pic>
                  <pic:nvPicPr>
                    <pic:cNvPr id="0" name="fig_ui.png"/>
                    <pic:cNvPicPr/>
                  </pic:nvPicPr>
                  <pic:blipFill>
                    <a:blip r:embed="rId17"/>
                    <a:stretch>
                      <a:fillRect/>
                    </a:stretch>
                  </pic:blipFill>
                  <pic:spPr>
                    <a:xfrm>
                      <a:off x="0" y="0"/>
                      <a:ext cx="5256000" cy="3195154"/>
                    </a:xfrm>
                    <a:prstGeom prst="rect"/>
                  </pic:spPr>
                </pic:pic>
              </a:graphicData>
            </a:graphic>
          </wp:inline>
        </w:drawing>
      </w:r>
    </w:p>
    <w:p>
      <w:pPr>
        <w:keepLines/>
        <w:spacing w:after="120" w:line="240" w:lineRule="auto"/>
        <w:jc w:val="center"/>
      </w:pPr>
      <w:r>
        <w:rPr>
          <w:i/>
          <w:color w:val="595959"/>
          <w:sz w:val="15"/>
        </w:rPr>
        <w:t>Figure 8. Administrator screens from the running application, captured on the local Hardhat chain. Upper panel: the pool parameters card, with the reserve share set to 1,000 basis points (10% of interest) and the utilisation cap at 9,500 basis points (95%). Lower panel: the contract rejecting an invalid tier reconfiguration, because the proposed minimum scores were not strictly ascending. The wording of that rejection is itself defect BUG-03: the contract raises a specific custom error, but the front end falls back to a generic "unknown custom error" message instead of showing the explanation it already contains for this case.</w:t>
      </w:r>
    </w:p>
    <w:p>
      <w:r>
        <w:rPr>
          <w:b/>
          <w:rFonts w:ascii="Times New Roman" w:hAnsi="Times New Roman" w:eastAsia="Times New Roman"/>
        </w:rPr>
        <w:t>Responsive behaviour was verified at a 390-pixel viewport</w:t>
      </w:r>
      <w:r>
        <w:rPr>
          <w:rFonts w:ascii="Times New Roman" w:hAnsi="Times New Roman" w:eastAsia="Times New Roman"/>
        </w:rPr>
        <w:t>, the CSS width of a current phone. Figure 9 is that capture of the deployed application. The header keeps the brand, the chain badge and the truncated wallet address on one line and pushes the "Sign in" control to its own column; the two-column statistic grid collapses from four columns to two, with the labels reflowing inside each card rather than being truncated. No horizontal scrolling is required at this width.</w:t>
      </w:r>
    </w:p>
    <w:p>
      <w:pPr>
        <w:keepNext/>
        <w:spacing w:before="60" w:after="20"/>
        <w:jc w:val="center"/>
      </w:pPr>
      <w:r>
        <w:drawing>
          <wp:inline xmlns:a="http://schemas.openxmlformats.org/drawingml/2006/main" xmlns:pic="http://schemas.openxmlformats.org/drawingml/2006/picture">
            <wp:extent cx="3240000" cy="3422769"/>
            <wp:docPr id="9" name="Picture 9"/>
            <wp:cNvGraphicFramePr>
              <a:graphicFrameLocks noChangeAspect="1"/>
            </wp:cNvGraphicFramePr>
            <a:graphic>
              <a:graphicData uri="http://schemas.openxmlformats.org/drawingml/2006/picture">
                <pic:pic>
                  <pic:nvPicPr>
                    <pic:cNvPr id="0" name="fig_mobile.png"/>
                    <pic:cNvPicPr/>
                  </pic:nvPicPr>
                  <pic:blipFill>
                    <a:blip r:embed="rId18"/>
                    <a:stretch>
                      <a:fillRect/>
                    </a:stretch>
                  </pic:blipFill>
                  <pic:spPr>
                    <a:xfrm>
                      <a:off x="0" y="0"/>
                      <a:ext cx="3240000" cy="3422769"/>
                    </a:xfrm>
                    <a:prstGeom prst="rect"/>
                  </pic:spPr>
                </pic:pic>
              </a:graphicData>
            </a:graphic>
          </wp:inline>
        </w:drawing>
      </w:r>
    </w:p>
    <w:p>
      <w:pPr>
        <w:keepLines/>
        <w:spacing w:after="120" w:line="240" w:lineRule="auto"/>
        <w:jc w:val="center"/>
      </w:pPr>
      <w:r>
        <w:rPr>
          <w:i/>
          <w:color w:val="595959"/>
          <w:sz w:val="15"/>
        </w:rPr>
        <w:t>Figure 9. The deployed application at a 390-pixel viewport, captured from the browser device toolbar at 390 x 844. The statistic grid reflows to two columns and the header stacks, with no horizontal overflow.</w:t>
      </w:r>
    </w:p>
    <w:p>
      <w:pPr>
        <w:pStyle w:val="Heading2"/>
      </w:pPr>
      <w:r>
        <w:t>8.1 Usability observations</w:t>
      </w:r>
    </w:p>
    <w:p>
      <w:r>
        <w:rPr>
          <w:rFonts w:ascii="Times New Roman" w:hAnsi="Times New Roman" w:eastAsia="Times New Roman"/>
        </w:rPr>
        <w:t xml:space="preserve">The independent test pass surfaced four defects, all in the presentation layer, listed in full in Section 9.5. The most consequential is </w:t>
      </w:r>
      <w:r>
        <w:rPr>
          <w:b/>
          <w:rFonts w:ascii="Times New Roman" w:hAnsi="Times New Roman" w:eastAsia="Times New Roman"/>
        </w:rPr>
        <w:t>BUG-03</w:t>
      </w:r>
      <w:r>
        <w:rPr>
          <w:rFonts w:ascii="Times New Roman" w:hAnsi="Times New Roman" w:eastAsia="Times New Roman"/>
        </w:rPr>
        <w:t>: contract reverts reach the user as "execution reverted (unknown custom error)", because the decoder does not walk the nested revert data through the contract interface, so the friendly message the application already holds is never shown. A second is that staff wallets see other borrowers' loans beneath a heading that says "My loans" (BUG-01); the exposure is intentional for staff but the labelling is misleading.</w:t>
      </w:r>
    </w:p>
    <w:p>
      <w:r>
        <w:rPr>
          <w:rFonts w:ascii="Times New Roman" w:hAnsi="Times New Roman" w:eastAsia="Times New Roman"/>
        </w:rPr>
        <w:t xml:space="preserve">A structured expert review of the interface, applying Nielsen's ten heuristics to the frontend source and the captured screens, produced </w:t>
      </w:r>
      <w:r>
        <w:rPr>
          <w:b/>
          <w:rFonts w:ascii="Times New Roman" w:hAnsi="Times New Roman" w:eastAsia="Times New Roman"/>
        </w:rPr>
        <w:t>fifteen findings</w:t>
      </w:r>
      <w:r>
        <w:rPr>
          <w:rFonts w:ascii="Times New Roman" w:hAnsi="Times New Roman" w:eastAsia="Times New Roman"/>
        </w:rPr>
        <w:t xml:space="preserve">: one high, eight medium and six low severity. The theme is not layout but </w:t>
      </w:r>
      <w:r>
        <w:rPr>
          <w:b/>
          <w:rFonts w:ascii="Times New Roman" w:hAnsi="Times New Roman" w:eastAsia="Times New Roman"/>
        </w:rPr>
        <w:t>feedback</w:t>
      </w:r>
      <w:r>
        <w:rPr>
          <w:rFonts w:ascii="Times New Roman" w:hAnsi="Times New Roman" w:eastAsia="Times New Roman"/>
        </w:rPr>
        <w:t xml:space="preserve"> — six of the fifteen concern the system failing to say what is happening or why an action failed, which is consistent with the defect log above: two independent methods converged on the same short list. The full review and a remedy for each finding are in the companion document </w:t>
      </w:r>
      <w:r>
        <w:rPr>
          <w:i/>
          <w:rFonts w:ascii="Times New Roman" w:hAnsi="Times New Roman" w:eastAsia="Times New Roman"/>
        </w:rPr>
        <w:t>MicroLend: Usability Evaluation and User-Test Kit</w:t>
      </w:r>
      <w:r>
        <w:rPr>
          <w:rFonts w:ascii="Times New Roman" w:hAnsi="Times New Roman" w:eastAsia="Times New Roman"/>
        </w:rPr>
        <w:t xml:space="preserve">, with the protocol for the participant test, which has </w:t>
      </w:r>
      <w:r>
        <w:rPr>
          <w:b/>
          <w:rFonts w:ascii="Times New Roman" w:hAnsi="Times New Roman" w:eastAsia="Times New Roman"/>
        </w:rPr>
        <w:t>not</w:t>
      </w:r>
      <w:r>
        <w:rPr>
          <w:rFonts w:ascii="Times New Roman" w:hAnsi="Times New Roman" w:eastAsia="Times New Roman"/>
        </w:rPr>
        <w:t xml:space="preserve"> been run; Section 9.7 records the status.</w:t>
      </w:r>
    </w:p>
    <w:p>
      <w:pPr>
        <w:pStyle w:val="Heading1"/>
      </w:pPr>
      <w:r>
        <w:t>9. Testing and evaluation</w:t>
      </w:r>
    </w:p>
    <w:p>
      <w:pPr>
        <w:pStyle w:val="Heading2"/>
      </w:pPr>
      <w:r>
        <w:t>9.1 Automated test results</w:t>
      </w:r>
    </w:p>
    <w:p>
      <w:pPr>
        <w:keepNext/>
        <w:spacing w:after="40" w:before="80"/>
      </w:pPr>
      <w:r>
        <w:rPr>
          <w:b/>
          <w:color w:val="1F4E79"/>
          <w:sz w:val="16"/>
        </w:rPr>
        <w:t>Table 21. Test results at a glance. The automated suites were re-run on an independent machine (macOS, Node 20.20.2) and reproduced the recorded coverage to one decimal place.</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2700"/>
            <w:shd w:val="clear" w:color="auto" w:fill="1F4E79"/>
          </w:tcPr>
          <w:p>
            <w:pPr>
              <w:spacing w:after="0" w:line="240" w:lineRule="auto"/>
            </w:pPr>
            <w:r/>
            <w:r>
              <w:rPr>
                <w:b/>
                <w:color w:val="FFFFFF"/>
                <w:sz w:val="14"/>
                <w:rFonts w:ascii="Times New Roman" w:hAnsi="Times New Roman" w:eastAsia="Times New Roman"/>
              </w:rPr>
              <w:t>Level</w:t>
            </w:r>
          </w:p>
        </w:tc>
        <w:tc>
          <w:tcPr>
            <w:tcW w:type="dxa" w:w="2488"/>
            <w:shd w:val="clear" w:color="auto" w:fill="1F4E79"/>
          </w:tcPr>
          <w:p>
            <w:pPr>
              <w:spacing w:after="0" w:line="240" w:lineRule="auto"/>
            </w:pPr>
            <w:r/>
            <w:r>
              <w:rPr>
                <w:b/>
                <w:color w:val="FFFFFF"/>
                <w:sz w:val="14"/>
                <w:rFonts w:ascii="Times New Roman" w:hAnsi="Times New Roman" w:eastAsia="Times New Roman"/>
              </w:rPr>
              <w:t>Command</w:t>
            </w:r>
          </w:p>
        </w:tc>
        <w:tc>
          <w:tcPr>
            <w:tcW w:type="dxa" w:w="1006"/>
            <w:shd w:val="clear" w:color="auto" w:fill="1F4E79"/>
          </w:tcPr>
          <w:p>
            <w:pPr>
              <w:spacing w:after="0" w:line="240" w:lineRule="auto"/>
            </w:pPr>
            <w:r/>
            <w:r>
              <w:rPr>
                <w:b/>
                <w:color w:val="FFFFFF"/>
                <w:sz w:val="14"/>
                <w:rFonts w:ascii="Times New Roman" w:hAnsi="Times New Roman" w:eastAsia="Times New Roman"/>
              </w:rPr>
              <w:t>Executed</w:t>
            </w:r>
          </w:p>
        </w:tc>
        <w:tc>
          <w:tcPr>
            <w:tcW w:type="dxa" w:w="900"/>
            <w:shd w:val="clear" w:color="auto" w:fill="1F4E79"/>
          </w:tcPr>
          <w:p>
            <w:pPr>
              <w:spacing w:after="0" w:line="240" w:lineRule="auto"/>
            </w:pPr>
            <w:r/>
            <w:r>
              <w:rPr>
                <w:b/>
                <w:color w:val="FFFFFF"/>
                <w:sz w:val="14"/>
                <w:rFonts w:ascii="Times New Roman" w:hAnsi="Times New Roman" w:eastAsia="Times New Roman"/>
              </w:rPr>
              <w:t>Passed</w:t>
            </w:r>
          </w:p>
        </w:tc>
        <w:tc>
          <w:tcPr>
            <w:tcW w:type="dxa" w:w="794"/>
            <w:shd w:val="clear" w:color="auto" w:fill="1F4E79"/>
          </w:tcPr>
          <w:p>
            <w:pPr>
              <w:spacing w:after="0" w:line="240" w:lineRule="auto"/>
            </w:pPr>
            <w:r/>
            <w:r>
              <w:rPr>
                <w:b/>
                <w:color w:val="FFFFFF"/>
                <w:sz w:val="14"/>
                <w:rFonts w:ascii="Times New Roman" w:hAnsi="Times New Roman" w:eastAsia="Times New Roman"/>
              </w:rPr>
              <w:t>Failed</w:t>
            </w:r>
          </w:p>
        </w:tc>
        <w:tc>
          <w:tcPr>
            <w:tcW w:type="dxa" w:w="900"/>
            <w:shd w:val="clear" w:color="auto" w:fill="1F4E79"/>
          </w:tcPr>
          <w:p>
            <w:pPr>
              <w:spacing w:after="0" w:line="240" w:lineRule="auto"/>
            </w:pPr>
            <w:r/>
            <w:r>
              <w:rPr>
                <w:b/>
                <w:color w:val="FFFFFF"/>
                <w:sz w:val="14"/>
                <w:rFonts w:ascii="Times New Roman" w:hAnsi="Times New Roman" w:eastAsia="Times New Roman"/>
              </w:rPr>
              <w:t>Pass rate</w:t>
            </w:r>
          </w:p>
        </w:tc>
      </w:tr>
      <w:tr>
        <w:tc>
          <w:tcPr>
            <w:tcW w:type="dxa" w:w="2700"/>
          </w:tcPr>
          <w:p>
            <w:pPr>
              <w:spacing w:after="0" w:before="0" w:line="240" w:lineRule="auto"/>
            </w:pPr>
            <w:r>
              <w:rPr>
                <w:sz w:val="14"/>
              </w:rPr>
            </w:r>
            <w:r>
              <w:rPr>
                <w:rFonts w:ascii="Times New Roman" w:hAnsi="Times New Roman" w:eastAsia="Times New Roman"/>
                <w:sz w:val="14"/>
              </w:rPr>
              <w:t>Smart-contract unit and integration tests</w:t>
            </w:r>
          </w:p>
        </w:tc>
        <w:tc>
          <w:tcPr>
            <w:tcW w:type="dxa" w:w="2488"/>
          </w:tcPr>
          <w:p>
            <w:pPr>
              <w:spacing w:after="0" w:before="0" w:line="240" w:lineRule="auto"/>
            </w:pPr>
            <w:r>
              <w:rPr>
                <w:sz w:val="14"/>
              </w:rPr>
            </w:r>
            <w:r>
              <w:rPr>
                <w:rFonts w:ascii="Times New Roman" w:hAnsi="Times New Roman" w:eastAsia="Times New Roman"/>
                <w:sz w:val="14"/>
              </w:rPr>
              <w:t>npm test</w:t>
            </w:r>
          </w:p>
        </w:tc>
        <w:tc>
          <w:tcPr>
            <w:tcW w:type="dxa" w:w="1006"/>
          </w:tcPr>
          <w:p>
            <w:pPr>
              <w:spacing w:after="0" w:before="0" w:line="240" w:lineRule="auto"/>
            </w:pPr>
            <w:r>
              <w:rPr>
                <w:sz w:val="14"/>
              </w:rPr>
            </w:r>
            <w:r>
              <w:rPr>
                <w:rFonts w:ascii="Times New Roman" w:hAnsi="Times New Roman" w:eastAsia="Times New Roman"/>
                <w:sz w:val="14"/>
              </w:rPr>
              <w:t>49</w:t>
            </w:r>
          </w:p>
        </w:tc>
        <w:tc>
          <w:tcPr>
            <w:tcW w:type="dxa" w:w="900"/>
          </w:tcPr>
          <w:p>
            <w:pPr>
              <w:spacing w:after="0" w:before="0" w:line="240" w:lineRule="auto"/>
            </w:pPr>
            <w:r>
              <w:rPr>
                <w:sz w:val="14"/>
              </w:rPr>
            </w:r>
            <w:r>
              <w:rPr>
                <w:rFonts w:ascii="Times New Roman" w:hAnsi="Times New Roman" w:eastAsia="Times New Roman"/>
                <w:sz w:val="14"/>
              </w:rPr>
              <w:t>49</w:t>
            </w:r>
          </w:p>
        </w:tc>
        <w:tc>
          <w:tcPr>
            <w:tcW w:type="dxa" w:w="794"/>
          </w:tcPr>
          <w:p>
            <w:pPr>
              <w:spacing w:after="0" w:before="0" w:line="240" w:lineRule="auto"/>
            </w:pPr>
            <w:r>
              <w:rPr>
                <w:sz w:val="14"/>
              </w:rPr>
            </w:r>
            <w:r>
              <w:rPr>
                <w:rFonts w:ascii="Times New Roman" w:hAnsi="Times New Roman" w:eastAsia="Times New Roman"/>
                <w:sz w:val="14"/>
              </w:rPr>
              <w:t>0</w:t>
            </w:r>
          </w:p>
        </w:tc>
        <w:tc>
          <w:tcPr>
            <w:tcW w:type="dxa" w:w="900"/>
          </w:tcPr>
          <w:p>
            <w:pPr>
              <w:spacing w:after="0" w:before="0" w:line="240" w:lineRule="auto"/>
            </w:pPr>
            <w:r>
              <w:rPr>
                <w:sz w:val="14"/>
              </w:rPr>
            </w:r>
            <w:r>
              <w:rPr>
                <w:rFonts w:ascii="Times New Roman" w:hAnsi="Times New Roman" w:eastAsia="Times New Roman"/>
                <w:sz w:val="14"/>
              </w:rPr>
              <w:t>100%</w:t>
            </w:r>
          </w:p>
        </w:tc>
      </w:tr>
      <w:tr>
        <w:tc>
          <w:tcPr>
            <w:tcW w:type="dxa" w:w="2700"/>
          </w:tcPr>
          <w:p>
            <w:pPr>
              <w:spacing w:after="0" w:before="0" w:line="240" w:lineRule="auto"/>
            </w:pPr>
            <w:r>
              <w:rPr>
                <w:sz w:val="14"/>
              </w:rPr>
            </w:r>
            <w:r>
              <w:rPr>
                <w:rFonts w:ascii="Times New Roman" w:hAnsi="Times New Roman" w:eastAsia="Times New Roman"/>
                <w:sz w:val="14"/>
              </w:rPr>
              <w:t>Backend: scoring logic and REST API</w:t>
            </w:r>
          </w:p>
        </w:tc>
        <w:tc>
          <w:tcPr>
            <w:tcW w:type="dxa" w:w="2488"/>
          </w:tcPr>
          <w:p>
            <w:pPr>
              <w:spacing w:after="0" w:before="0" w:line="240" w:lineRule="auto"/>
            </w:pPr>
            <w:r>
              <w:rPr>
                <w:sz w:val="14"/>
              </w:rPr>
            </w:r>
            <w:r>
              <w:rPr>
                <w:rFonts w:ascii="Times New Roman" w:hAnsi="Times New Roman" w:eastAsia="Times New Roman"/>
                <w:sz w:val="14"/>
              </w:rPr>
              <w:t>npm --prefix backend test</w:t>
            </w:r>
          </w:p>
        </w:tc>
        <w:tc>
          <w:tcPr>
            <w:tcW w:type="dxa" w:w="1006"/>
          </w:tcPr>
          <w:p>
            <w:pPr>
              <w:spacing w:after="0" w:before="0" w:line="240" w:lineRule="auto"/>
            </w:pPr>
            <w:r>
              <w:rPr>
                <w:sz w:val="14"/>
              </w:rPr>
            </w:r>
            <w:r>
              <w:rPr>
                <w:rFonts w:ascii="Times New Roman" w:hAnsi="Times New Roman" w:eastAsia="Times New Roman"/>
                <w:sz w:val="14"/>
              </w:rPr>
              <w:t>16</w:t>
            </w:r>
          </w:p>
        </w:tc>
        <w:tc>
          <w:tcPr>
            <w:tcW w:type="dxa" w:w="900"/>
          </w:tcPr>
          <w:p>
            <w:pPr>
              <w:spacing w:after="0" w:before="0" w:line="240" w:lineRule="auto"/>
            </w:pPr>
            <w:r>
              <w:rPr>
                <w:sz w:val="14"/>
              </w:rPr>
            </w:r>
            <w:r>
              <w:rPr>
                <w:rFonts w:ascii="Times New Roman" w:hAnsi="Times New Roman" w:eastAsia="Times New Roman"/>
                <w:sz w:val="14"/>
              </w:rPr>
              <w:t>16</w:t>
            </w:r>
          </w:p>
        </w:tc>
        <w:tc>
          <w:tcPr>
            <w:tcW w:type="dxa" w:w="794"/>
          </w:tcPr>
          <w:p>
            <w:pPr>
              <w:spacing w:after="0" w:before="0" w:line="240" w:lineRule="auto"/>
            </w:pPr>
            <w:r>
              <w:rPr>
                <w:sz w:val="14"/>
              </w:rPr>
            </w:r>
            <w:r>
              <w:rPr>
                <w:rFonts w:ascii="Times New Roman" w:hAnsi="Times New Roman" w:eastAsia="Times New Roman"/>
                <w:sz w:val="14"/>
              </w:rPr>
              <w:t>0</w:t>
            </w:r>
          </w:p>
        </w:tc>
        <w:tc>
          <w:tcPr>
            <w:tcW w:type="dxa" w:w="900"/>
          </w:tcPr>
          <w:p>
            <w:pPr>
              <w:spacing w:after="0" w:before="0" w:line="240" w:lineRule="auto"/>
            </w:pPr>
            <w:r>
              <w:rPr>
                <w:sz w:val="14"/>
              </w:rPr>
            </w:r>
            <w:r>
              <w:rPr>
                <w:rFonts w:ascii="Times New Roman" w:hAnsi="Times New Roman" w:eastAsia="Times New Roman"/>
                <w:sz w:val="14"/>
              </w:rPr>
              <w:t>100%</w:t>
            </w:r>
          </w:p>
        </w:tc>
      </w:tr>
      <w:tr>
        <w:tc>
          <w:tcPr>
            <w:tcW w:type="dxa" w:w="2700"/>
          </w:tcPr>
          <w:p>
            <w:pPr>
              <w:spacing w:after="0" w:before="0" w:line="240" w:lineRule="auto"/>
            </w:pPr>
            <w:r>
              <w:rPr>
                <w:sz w:val="14"/>
              </w:rPr>
            </w:r>
            <w:r>
              <w:rPr>
                <w:rFonts w:ascii="Times New Roman" w:hAnsi="Times New Roman" w:eastAsia="Times New Roman"/>
                <w:sz w:val="14"/>
              </w:rPr>
              <w:t>Frontend production build</w:t>
            </w:r>
          </w:p>
        </w:tc>
        <w:tc>
          <w:tcPr>
            <w:tcW w:type="dxa" w:w="2488"/>
          </w:tcPr>
          <w:p>
            <w:pPr>
              <w:spacing w:after="0" w:before="0" w:line="240" w:lineRule="auto"/>
            </w:pPr>
            <w:r>
              <w:rPr>
                <w:sz w:val="14"/>
              </w:rPr>
            </w:r>
            <w:r>
              <w:rPr>
                <w:rFonts w:ascii="Times New Roman" w:hAnsi="Times New Roman" w:eastAsia="Times New Roman"/>
                <w:sz w:val="14"/>
              </w:rPr>
              <w:t>npm --prefix frontend run build</w:t>
            </w:r>
          </w:p>
        </w:tc>
        <w:tc>
          <w:tcPr>
            <w:tcW w:type="dxa" w:w="1006"/>
          </w:tcPr>
          <w:p>
            <w:pPr>
              <w:spacing w:after="0" w:before="0" w:line="240" w:lineRule="auto"/>
            </w:pPr>
            <w:r>
              <w:rPr>
                <w:sz w:val="14"/>
              </w:rPr>
            </w:r>
            <w:r>
              <w:rPr>
                <w:rFonts w:ascii="Times New Roman" w:hAnsi="Times New Roman" w:eastAsia="Times New Roman"/>
                <w:sz w:val="14"/>
              </w:rPr>
              <w:t>1</w:t>
            </w:r>
          </w:p>
        </w:tc>
        <w:tc>
          <w:tcPr>
            <w:tcW w:type="dxa" w:w="900"/>
          </w:tcPr>
          <w:p>
            <w:pPr>
              <w:spacing w:after="0" w:before="0" w:line="240" w:lineRule="auto"/>
            </w:pPr>
            <w:r>
              <w:rPr>
                <w:sz w:val="14"/>
              </w:rPr>
            </w:r>
            <w:r>
              <w:rPr>
                <w:rFonts w:ascii="Times New Roman" w:hAnsi="Times New Roman" w:eastAsia="Times New Roman"/>
                <w:sz w:val="14"/>
              </w:rPr>
              <w:t>1</w:t>
            </w:r>
          </w:p>
        </w:tc>
        <w:tc>
          <w:tcPr>
            <w:tcW w:type="dxa" w:w="794"/>
          </w:tcPr>
          <w:p>
            <w:pPr>
              <w:spacing w:after="0" w:before="0" w:line="240" w:lineRule="auto"/>
            </w:pPr>
            <w:r>
              <w:rPr>
                <w:sz w:val="14"/>
              </w:rPr>
            </w:r>
            <w:r>
              <w:rPr>
                <w:rFonts w:ascii="Times New Roman" w:hAnsi="Times New Roman" w:eastAsia="Times New Roman"/>
                <w:sz w:val="14"/>
              </w:rPr>
              <w:t>0</w:t>
            </w:r>
          </w:p>
        </w:tc>
        <w:tc>
          <w:tcPr>
            <w:tcW w:type="dxa" w:w="900"/>
          </w:tcPr>
          <w:p>
            <w:pPr>
              <w:spacing w:after="0" w:before="0" w:line="240" w:lineRule="auto"/>
            </w:pPr>
            <w:r>
              <w:rPr>
                <w:sz w:val="14"/>
              </w:rPr>
            </w:r>
            <w:r>
              <w:rPr>
                <w:rFonts w:ascii="Times New Roman" w:hAnsi="Times New Roman" w:eastAsia="Times New Roman"/>
                <w:sz w:val="14"/>
              </w:rPr>
              <w:t>100%</w:t>
            </w:r>
          </w:p>
        </w:tc>
      </w:tr>
      <w:tr>
        <w:tc>
          <w:tcPr>
            <w:tcW w:type="dxa" w:w="2700"/>
          </w:tcPr>
          <w:p>
            <w:pPr>
              <w:spacing w:after="0" w:before="0" w:line="240" w:lineRule="auto"/>
            </w:pPr>
            <w:r>
              <w:rPr>
                <w:sz w:val="14"/>
              </w:rPr>
            </w:r>
            <w:r>
              <w:rPr>
                <w:rFonts w:ascii="Times New Roman" w:hAnsi="Times New Roman" w:eastAsia="Times New Roman"/>
                <w:sz w:val="14"/>
              </w:rPr>
              <w:t>Functional main flow, F1 to F11</w:t>
            </w:r>
          </w:p>
        </w:tc>
        <w:tc>
          <w:tcPr>
            <w:tcW w:type="dxa" w:w="2488"/>
          </w:tcPr>
          <w:p>
            <w:pPr>
              <w:spacing w:after="0" w:before="0" w:line="240" w:lineRule="auto"/>
            </w:pPr>
            <w:r>
              <w:rPr>
                <w:sz w:val="14"/>
              </w:rPr>
            </w:r>
            <w:r>
              <w:rPr>
                <w:rFonts w:ascii="Times New Roman" w:hAnsi="Times New Roman" w:eastAsia="Times New Roman"/>
                <w:sz w:val="14"/>
              </w:rPr>
              <w:t>manual, browser and wallet</w:t>
            </w:r>
          </w:p>
        </w:tc>
        <w:tc>
          <w:tcPr>
            <w:tcW w:type="dxa" w:w="1006"/>
          </w:tcPr>
          <w:p>
            <w:pPr>
              <w:spacing w:after="0" w:before="0" w:line="240" w:lineRule="auto"/>
            </w:pPr>
            <w:r>
              <w:rPr>
                <w:sz w:val="14"/>
              </w:rPr>
            </w:r>
            <w:r>
              <w:rPr>
                <w:rFonts w:ascii="Times New Roman" w:hAnsi="Times New Roman" w:eastAsia="Times New Roman"/>
                <w:sz w:val="14"/>
              </w:rPr>
              <w:t>11</w:t>
            </w:r>
          </w:p>
        </w:tc>
        <w:tc>
          <w:tcPr>
            <w:tcW w:type="dxa" w:w="900"/>
          </w:tcPr>
          <w:p>
            <w:pPr>
              <w:spacing w:after="0" w:before="0" w:line="240" w:lineRule="auto"/>
            </w:pPr>
            <w:r>
              <w:rPr>
                <w:sz w:val="14"/>
              </w:rPr>
            </w:r>
            <w:r>
              <w:rPr>
                <w:rFonts w:ascii="Times New Roman" w:hAnsi="Times New Roman" w:eastAsia="Times New Roman"/>
                <w:sz w:val="14"/>
              </w:rPr>
              <w:t>11</w:t>
            </w:r>
          </w:p>
        </w:tc>
        <w:tc>
          <w:tcPr>
            <w:tcW w:type="dxa" w:w="794"/>
          </w:tcPr>
          <w:p>
            <w:pPr>
              <w:spacing w:after="0" w:before="0" w:line="240" w:lineRule="auto"/>
            </w:pPr>
            <w:r>
              <w:rPr>
                <w:sz w:val="14"/>
              </w:rPr>
            </w:r>
            <w:r>
              <w:rPr>
                <w:rFonts w:ascii="Times New Roman" w:hAnsi="Times New Roman" w:eastAsia="Times New Roman"/>
                <w:sz w:val="14"/>
              </w:rPr>
              <w:t>0</w:t>
            </w:r>
          </w:p>
        </w:tc>
        <w:tc>
          <w:tcPr>
            <w:tcW w:type="dxa" w:w="900"/>
          </w:tcPr>
          <w:p>
            <w:pPr>
              <w:spacing w:after="0" w:before="0" w:line="240" w:lineRule="auto"/>
            </w:pPr>
            <w:r>
              <w:rPr>
                <w:sz w:val="14"/>
              </w:rPr>
            </w:r>
            <w:r>
              <w:rPr>
                <w:rFonts w:ascii="Times New Roman" w:hAnsi="Times New Roman" w:eastAsia="Times New Roman"/>
                <w:sz w:val="14"/>
              </w:rPr>
              <w:t>100%</w:t>
            </w:r>
          </w:p>
        </w:tc>
      </w:tr>
      <w:tr>
        <w:tc>
          <w:tcPr>
            <w:tcW w:type="dxa" w:w="2700"/>
          </w:tcPr>
          <w:p>
            <w:pPr>
              <w:spacing w:after="0" w:before="0" w:line="240" w:lineRule="auto"/>
            </w:pPr>
            <w:r>
              <w:rPr>
                <w:sz w:val="14"/>
              </w:rPr>
            </w:r>
            <w:r>
              <w:rPr>
                <w:rFonts w:ascii="Times New Roman" w:hAnsi="Times New Roman" w:eastAsia="Times New Roman"/>
                <w:sz w:val="14"/>
              </w:rPr>
              <w:t>Functional edge cases and access control</w:t>
            </w:r>
          </w:p>
        </w:tc>
        <w:tc>
          <w:tcPr>
            <w:tcW w:type="dxa" w:w="2488"/>
          </w:tcPr>
          <w:p>
            <w:pPr>
              <w:spacing w:after="0" w:before="0" w:line="240" w:lineRule="auto"/>
            </w:pPr>
            <w:r>
              <w:rPr>
                <w:sz w:val="14"/>
              </w:rPr>
            </w:r>
            <w:r>
              <w:rPr>
                <w:rFonts w:ascii="Times New Roman" w:hAnsi="Times New Roman" w:eastAsia="Times New Roman"/>
                <w:sz w:val="14"/>
              </w:rPr>
              <w:t>manual, browser and wallet</w:t>
            </w:r>
          </w:p>
        </w:tc>
        <w:tc>
          <w:tcPr>
            <w:tcW w:type="dxa" w:w="1006"/>
          </w:tcPr>
          <w:p>
            <w:pPr>
              <w:spacing w:after="0" w:before="0" w:line="240" w:lineRule="auto"/>
            </w:pPr>
            <w:r>
              <w:rPr>
                <w:sz w:val="14"/>
              </w:rPr>
            </w:r>
            <w:r>
              <w:rPr>
                <w:rFonts w:ascii="Times New Roman" w:hAnsi="Times New Roman" w:eastAsia="Times New Roman"/>
                <w:sz w:val="14"/>
              </w:rPr>
              <w:t>6</w:t>
            </w:r>
          </w:p>
        </w:tc>
        <w:tc>
          <w:tcPr>
            <w:tcW w:type="dxa" w:w="900"/>
          </w:tcPr>
          <w:p>
            <w:pPr>
              <w:spacing w:after="0" w:before="0" w:line="240" w:lineRule="auto"/>
            </w:pPr>
            <w:r>
              <w:rPr>
                <w:sz w:val="14"/>
              </w:rPr>
            </w:r>
            <w:r>
              <w:rPr>
                <w:rFonts w:ascii="Times New Roman" w:hAnsi="Times New Roman" w:eastAsia="Times New Roman"/>
                <w:sz w:val="14"/>
              </w:rPr>
              <w:t>6</w:t>
            </w:r>
          </w:p>
        </w:tc>
        <w:tc>
          <w:tcPr>
            <w:tcW w:type="dxa" w:w="794"/>
          </w:tcPr>
          <w:p>
            <w:pPr>
              <w:spacing w:after="0" w:before="0" w:line="240" w:lineRule="auto"/>
            </w:pPr>
            <w:r>
              <w:rPr>
                <w:sz w:val="14"/>
              </w:rPr>
            </w:r>
            <w:r>
              <w:rPr>
                <w:rFonts w:ascii="Times New Roman" w:hAnsi="Times New Roman" w:eastAsia="Times New Roman"/>
                <w:sz w:val="14"/>
              </w:rPr>
              <w:t>0</w:t>
            </w:r>
          </w:p>
        </w:tc>
        <w:tc>
          <w:tcPr>
            <w:tcW w:type="dxa" w:w="900"/>
          </w:tcPr>
          <w:p>
            <w:pPr>
              <w:spacing w:after="0" w:before="0" w:line="240" w:lineRule="auto"/>
            </w:pPr>
            <w:r>
              <w:rPr>
                <w:sz w:val="14"/>
              </w:rPr>
            </w:r>
            <w:r>
              <w:rPr>
                <w:rFonts w:ascii="Times New Roman" w:hAnsi="Times New Roman" w:eastAsia="Times New Roman"/>
                <w:sz w:val="14"/>
              </w:rPr>
              <w:t>100%</w:t>
            </w:r>
          </w:p>
        </w:tc>
      </w:tr>
      <w:tr>
        <w:tc>
          <w:tcPr>
            <w:tcW w:type="dxa" w:w="2700"/>
          </w:tcPr>
          <w:p>
            <w:pPr>
              <w:spacing w:after="0" w:before="0" w:line="240" w:lineRule="auto"/>
            </w:pPr>
            <w:r>
              <w:rPr>
                <w:sz w:val="14"/>
              </w:rPr>
            </w:r>
            <w:r>
              <w:rPr>
                <w:b/>
                <w:rFonts w:ascii="Times New Roman" w:hAnsi="Times New Roman" w:eastAsia="Times New Roman"/>
                <w:sz w:val="14"/>
              </w:rPr>
              <w:t>Total</w:t>
            </w:r>
          </w:p>
        </w:tc>
        <w:tc>
          <w:tcPr>
            <w:tcW w:type="dxa" w:w="2488"/>
          </w:tcPr>
          <w:p>
            <w:pPr>
              <w:spacing w:after="0" w:before="0" w:line="240" w:lineRule="auto"/>
            </w:pPr>
            <w:r>
              <w:rPr>
                <w:sz w:val="14"/>
              </w:rPr>
            </w:r>
            <w:r>
              <w:rPr>
                <w:rFonts w:ascii="Times New Roman" w:hAnsi="Times New Roman" w:eastAsia="Times New Roman"/>
                <w:sz w:val="14"/>
              </w:rPr>
              <w:t>—</w:t>
            </w:r>
          </w:p>
        </w:tc>
        <w:tc>
          <w:tcPr>
            <w:tcW w:type="dxa" w:w="1006"/>
          </w:tcPr>
          <w:p>
            <w:pPr>
              <w:spacing w:after="0" w:before="0" w:line="240" w:lineRule="auto"/>
            </w:pPr>
            <w:r>
              <w:rPr>
                <w:sz w:val="14"/>
              </w:rPr>
            </w:r>
            <w:r>
              <w:rPr>
                <w:b/>
                <w:rFonts w:ascii="Times New Roman" w:hAnsi="Times New Roman" w:eastAsia="Times New Roman"/>
                <w:sz w:val="14"/>
              </w:rPr>
              <w:t>83</w:t>
            </w:r>
          </w:p>
        </w:tc>
        <w:tc>
          <w:tcPr>
            <w:tcW w:type="dxa" w:w="900"/>
          </w:tcPr>
          <w:p>
            <w:pPr>
              <w:spacing w:after="0" w:before="0" w:line="240" w:lineRule="auto"/>
            </w:pPr>
            <w:r>
              <w:rPr>
                <w:sz w:val="14"/>
              </w:rPr>
            </w:r>
            <w:r>
              <w:rPr>
                <w:b/>
                <w:rFonts w:ascii="Times New Roman" w:hAnsi="Times New Roman" w:eastAsia="Times New Roman"/>
                <w:sz w:val="14"/>
              </w:rPr>
              <w:t>83</w:t>
            </w:r>
          </w:p>
        </w:tc>
        <w:tc>
          <w:tcPr>
            <w:tcW w:type="dxa" w:w="794"/>
          </w:tcPr>
          <w:p>
            <w:pPr>
              <w:spacing w:after="0" w:before="0" w:line="240" w:lineRule="auto"/>
            </w:pPr>
            <w:r>
              <w:rPr>
                <w:sz w:val="14"/>
              </w:rPr>
            </w:r>
            <w:r>
              <w:rPr>
                <w:b/>
                <w:rFonts w:ascii="Times New Roman" w:hAnsi="Times New Roman" w:eastAsia="Times New Roman"/>
                <w:sz w:val="14"/>
              </w:rPr>
              <w:t>0</w:t>
            </w:r>
          </w:p>
        </w:tc>
        <w:tc>
          <w:tcPr>
            <w:tcW w:type="dxa" w:w="900"/>
          </w:tcPr>
          <w:p>
            <w:pPr>
              <w:spacing w:after="0" w:before="0" w:line="240" w:lineRule="auto"/>
            </w:pPr>
            <w:r>
              <w:rPr>
                <w:sz w:val="14"/>
              </w:rPr>
            </w:r>
            <w:r>
              <w:rPr>
                <w:b/>
                <w:rFonts w:ascii="Times New Roman" w:hAnsi="Times New Roman" w:eastAsia="Times New Roman"/>
                <w:sz w:val="14"/>
              </w:rPr>
              <w:t>100%</w:t>
            </w:r>
          </w:p>
        </w:tc>
      </w:tr>
    </w:tbl>
    <w:p>
      <w:pPr>
        <w:spacing w:after="0" w:before="0"/>
      </w:pPr>
    </w:p>
    <w:p>
      <w:pPr>
        <w:keepNext/>
        <w:spacing w:after="40" w:before="80"/>
      </w:pPr>
      <w:r>
        <w:rPr>
          <w:b/>
          <w:color w:val="1F4E79"/>
          <w:sz w:val="16"/>
        </w:rPr>
        <w:t>Table 22. Coverage by contract. Branch coverage is the weakest metric: the untested failure paths are concentrated in CollateralVault and LendingPool.</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769"/>
            <w:shd w:val="clear" w:color="auto" w:fill="1F4E79"/>
          </w:tcPr>
          <w:p>
            <w:pPr>
              <w:spacing w:after="0" w:line="240" w:lineRule="auto"/>
            </w:pPr>
            <w:r/>
            <w:r>
              <w:rPr>
                <w:b/>
                <w:color w:val="FFFFFF"/>
                <w:sz w:val="14"/>
                <w:rFonts w:ascii="Times New Roman" w:hAnsi="Times New Roman" w:eastAsia="Times New Roman"/>
              </w:rPr>
              <w:t>Contract</w:t>
            </w:r>
          </w:p>
        </w:tc>
        <w:tc>
          <w:tcPr>
            <w:tcW w:type="dxa" w:w="1326"/>
            <w:shd w:val="clear" w:color="auto" w:fill="1F4E79"/>
          </w:tcPr>
          <w:p>
            <w:pPr>
              <w:spacing w:after="0" w:line="240" w:lineRule="auto"/>
            </w:pPr>
            <w:r/>
            <w:r>
              <w:rPr>
                <w:b/>
                <w:color w:val="FFFFFF"/>
                <w:sz w:val="14"/>
                <w:rFonts w:ascii="Times New Roman" w:hAnsi="Times New Roman" w:eastAsia="Times New Roman"/>
              </w:rPr>
              <w:t>Statements</w:t>
            </w:r>
          </w:p>
        </w:tc>
        <w:tc>
          <w:tcPr>
            <w:tcW w:type="dxa" w:w="1271"/>
            <w:shd w:val="clear" w:color="auto" w:fill="1F4E79"/>
          </w:tcPr>
          <w:p>
            <w:pPr>
              <w:spacing w:after="0" w:line="240" w:lineRule="auto"/>
            </w:pPr>
            <w:r/>
            <w:r>
              <w:rPr>
                <w:b/>
                <w:color w:val="FFFFFF"/>
                <w:sz w:val="14"/>
                <w:rFonts w:ascii="Times New Roman" w:hAnsi="Times New Roman" w:eastAsia="Times New Roman"/>
              </w:rPr>
              <w:t>Branches</w:t>
            </w:r>
          </w:p>
        </w:tc>
        <w:tc>
          <w:tcPr>
            <w:tcW w:type="dxa" w:w="1216"/>
            <w:shd w:val="clear" w:color="auto" w:fill="1F4E79"/>
          </w:tcPr>
          <w:p>
            <w:pPr>
              <w:spacing w:after="0" w:line="240" w:lineRule="auto"/>
            </w:pPr>
            <w:r/>
            <w:r>
              <w:rPr>
                <w:b/>
                <w:color w:val="FFFFFF"/>
                <w:sz w:val="14"/>
                <w:rFonts w:ascii="Times New Roman" w:hAnsi="Times New Roman" w:eastAsia="Times New Roman"/>
              </w:rPr>
              <w:t>Functions</w:t>
            </w:r>
          </w:p>
        </w:tc>
        <w:tc>
          <w:tcPr>
            <w:tcW w:type="dxa" w:w="1161"/>
            <w:shd w:val="clear" w:color="auto" w:fill="1F4E79"/>
          </w:tcPr>
          <w:p>
            <w:pPr>
              <w:spacing w:after="0" w:line="240" w:lineRule="auto"/>
            </w:pPr>
            <w:r/>
            <w:r>
              <w:rPr>
                <w:b/>
                <w:color w:val="FFFFFF"/>
                <w:sz w:val="14"/>
                <w:rFonts w:ascii="Times New Roman" w:hAnsi="Times New Roman" w:eastAsia="Times New Roman"/>
              </w:rPr>
              <w:t>Lines</w:t>
            </w:r>
          </w:p>
        </w:tc>
        <w:tc>
          <w:tcPr>
            <w:tcW w:type="dxa" w:w="2045"/>
            <w:shd w:val="clear" w:color="auto" w:fill="1F4E79"/>
          </w:tcPr>
          <w:p>
            <w:pPr>
              <w:spacing w:after="0" w:line="240" w:lineRule="auto"/>
            </w:pPr>
            <w:r/>
            <w:r>
              <w:rPr>
                <w:b/>
                <w:color w:val="FFFFFF"/>
                <w:sz w:val="14"/>
                <w:rFonts w:ascii="Times New Roman" w:hAnsi="Times New Roman" w:eastAsia="Times New Roman"/>
              </w:rPr>
              <w:t>Uncovered lines</w:t>
            </w:r>
          </w:p>
        </w:tc>
      </w:tr>
      <w:tr>
        <w:tc>
          <w:tcPr>
            <w:tcW w:type="dxa" w:w="1769"/>
          </w:tcPr>
          <w:p>
            <w:pPr>
              <w:spacing w:after="0" w:before="0" w:line="240" w:lineRule="auto"/>
            </w:pPr>
            <w:r>
              <w:rPr>
                <w:sz w:val="14"/>
              </w:rPr>
            </w:r>
            <w:r>
              <w:rPr>
                <w:rFonts w:ascii="Times New Roman" w:hAnsi="Times New Roman" w:eastAsia="Times New Roman"/>
                <w:sz w:val="14"/>
              </w:rPr>
              <w:t>CollateralVault</w:t>
            </w:r>
          </w:p>
        </w:tc>
        <w:tc>
          <w:tcPr>
            <w:tcW w:type="dxa" w:w="1326"/>
          </w:tcPr>
          <w:p>
            <w:pPr>
              <w:spacing w:after="0" w:before="0" w:line="240" w:lineRule="auto"/>
            </w:pPr>
            <w:r>
              <w:rPr>
                <w:sz w:val="14"/>
              </w:rPr>
            </w:r>
            <w:r>
              <w:rPr>
                <w:rFonts w:ascii="Times New Roman" w:hAnsi="Times New Roman" w:eastAsia="Times New Roman"/>
                <w:sz w:val="14"/>
              </w:rPr>
              <w:t>100%</w:t>
            </w:r>
          </w:p>
        </w:tc>
        <w:tc>
          <w:tcPr>
            <w:tcW w:type="dxa" w:w="1271"/>
          </w:tcPr>
          <w:p>
            <w:pPr>
              <w:spacing w:after="0" w:before="0" w:line="240" w:lineRule="auto"/>
            </w:pPr>
            <w:r>
              <w:rPr>
                <w:sz w:val="14"/>
              </w:rPr>
            </w:r>
            <w:r>
              <w:rPr>
                <w:rFonts w:ascii="Times New Roman" w:hAnsi="Times New Roman" w:eastAsia="Times New Roman"/>
                <w:sz w:val="14"/>
              </w:rPr>
              <w:t>58.33%</w:t>
            </w:r>
          </w:p>
        </w:tc>
        <w:tc>
          <w:tcPr>
            <w:tcW w:type="dxa" w:w="1216"/>
          </w:tcPr>
          <w:p>
            <w:pPr>
              <w:spacing w:after="0" w:before="0" w:line="240" w:lineRule="auto"/>
            </w:pPr>
            <w:r>
              <w:rPr>
                <w:sz w:val="14"/>
              </w:rPr>
            </w:r>
            <w:r>
              <w:rPr>
                <w:rFonts w:ascii="Times New Roman" w:hAnsi="Times New Roman" w:eastAsia="Times New Roman"/>
                <w:sz w:val="14"/>
              </w:rPr>
              <w:t>100%</w:t>
            </w:r>
          </w:p>
        </w:tc>
        <w:tc>
          <w:tcPr>
            <w:tcW w:type="dxa" w:w="1161"/>
          </w:tcPr>
          <w:p>
            <w:pPr>
              <w:spacing w:after="0" w:before="0" w:line="240" w:lineRule="auto"/>
            </w:pPr>
            <w:r>
              <w:rPr>
                <w:sz w:val="14"/>
              </w:rPr>
            </w:r>
            <w:r>
              <w:rPr>
                <w:rFonts w:ascii="Times New Roman" w:hAnsi="Times New Roman" w:eastAsia="Times New Roman"/>
                <w:sz w:val="14"/>
              </w:rPr>
              <w:t>100%</w:t>
            </w:r>
          </w:p>
        </w:tc>
        <w:tc>
          <w:tcPr>
            <w:tcW w:type="dxa" w:w="2045"/>
          </w:tcPr>
          <w:p>
            <w:pPr>
              <w:spacing w:after="0" w:before="0" w:line="240" w:lineRule="auto"/>
            </w:pPr>
            <w:r>
              <w:rPr>
                <w:sz w:val="14"/>
              </w:rPr>
            </w:r>
            <w:r>
              <w:rPr>
                <w:rFonts w:ascii="Times New Roman" w:hAnsi="Times New Roman" w:eastAsia="Times New Roman"/>
                <w:sz w:val="14"/>
              </w:rPr>
              <w:t>none</w:t>
            </w:r>
          </w:p>
        </w:tc>
      </w:tr>
      <w:tr>
        <w:tc>
          <w:tcPr>
            <w:tcW w:type="dxa" w:w="1769"/>
          </w:tcPr>
          <w:p>
            <w:pPr>
              <w:spacing w:after="0" w:before="0" w:line="240" w:lineRule="auto"/>
            </w:pPr>
            <w:r>
              <w:rPr>
                <w:sz w:val="14"/>
              </w:rPr>
            </w:r>
            <w:r>
              <w:rPr>
                <w:rFonts w:ascii="Times New Roman" w:hAnsi="Times New Roman" w:eastAsia="Times New Roman"/>
                <w:sz w:val="14"/>
              </w:rPr>
              <w:t>CreditRegistry</w:t>
            </w:r>
          </w:p>
        </w:tc>
        <w:tc>
          <w:tcPr>
            <w:tcW w:type="dxa" w:w="1326"/>
          </w:tcPr>
          <w:p>
            <w:pPr>
              <w:spacing w:after="0" w:before="0" w:line="240" w:lineRule="auto"/>
            </w:pPr>
            <w:r>
              <w:rPr>
                <w:sz w:val="14"/>
              </w:rPr>
            </w:r>
            <w:r>
              <w:rPr>
                <w:rFonts w:ascii="Times New Roman" w:hAnsi="Times New Roman" w:eastAsia="Times New Roman"/>
                <w:sz w:val="14"/>
              </w:rPr>
              <w:t>100%</w:t>
            </w:r>
          </w:p>
        </w:tc>
        <w:tc>
          <w:tcPr>
            <w:tcW w:type="dxa" w:w="1271"/>
          </w:tcPr>
          <w:p>
            <w:pPr>
              <w:spacing w:after="0" w:before="0" w:line="240" w:lineRule="auto"/>
            </w:pPr>
            <w:r>
              <w:rPr>
                <w:sz w:val="14"/>
              </w:rPr>
            </w:r>
            <w:r>
              <w:rPr>
                <w:rFonts w:ascii="Times New Roman" w:hAnsi="Times New Roman" w:eastAsia="Times New Roman"/>
                <w:sz w:val="14"/>
              </w:rPr>
              <w:t>79.55%</w:t>
            </w:r>
          </w:p>
        </w:tc>
        <w:tc>
          <w:tcPr>
            <w:tcW w:type="dxa" w:w="1216"/>
          </w:tcPr>
          <w:p>
            <w:pPr>
              <w:spacing w:after="0" w:before="0" w:line="240" w:lineRule="auto"/>
            </w:pPr>
            <w:r>
              <w:rPr>
                <w:sz w:val="14"/>
              </w:rPr>
            </w:r>
            <w:r>
              <w:rPr>
                <w:rFonts w:ascii="Times New Roman" w:hAnsi="Times New Roman" w:eastAsia="Times New Roman"/>
                <w:sz w:val="14"/>
              </w:rPr>
              <w:t>100%</w:t>
            </w:r>
          </w:p>
        </w:tc>
        <w:tc>
          <w:tcPr>
            <w:tcW w:type="dxa" w:w="1161"/>
          </w:tcPr>
          <w:p>
            <w:pPr>
              <w:spacing w:after="0" w:before="0" w:line="240" w:lineRule="auto"/>
            </w:pPr>
            <w:r>
              <w:rPr>
                <w:sz w:val="14"/>
              </w:rPr>
            </w:r>
            <w:r>
              <w:rPr>
                <w:rFonts w:ascii="Times New Roman" w:hAnsi="Times New Roman" w:eastAsia="Times New Roman"/>
                <w:sz w:val="14"/>
              </w:rPr>
              <w:t>100%</w:t>
            </w:r>
          </w:p>
        </w:tc>
        <w:tc>
          <w:tcPr>
            <w:tcW w:type="dxa" w:w="2045"/>
          </w:tcPr>
          <w:p>
            <w:pPr>
              <w:spacing w:after="0" w:before="0" w:line="240" w:lineRule="auto"/>
            </w:pPr>
            <w:r>
              <w:rPr>
                <w:sz w:val="14"/>
              </w:rPr>
            </w:r>
            <w:r>
              <w:rPr>
                <w:rFonts w:ascii="Times New Roman" w:hAnsi="Times New Roman" w:eastAsia="Times New Roman"/>
                <w:sz w:val="14"/>
              </w:rPr>
              <w:t>none</w:t>
            </w:r>
          </w:p>
        </w:tc>
      </w:tr>
      <w:tr>
        <w:tc>
          <w:tcPr>
            <w:tcW w:type="dxa" w:w="1769"/>
          </w:tcPr>
          <w:p>
            <w:pPr>
              <w:spacing w:after="0" w:before="0" w:line="240" w:lineRule="auto"/>
            </w:pPr>
            <w:r>
              <w:rPr>
                <w:sz w:val="14"/>
              </w:rPr>
            </w:r>
            <w:r>
              <w:rPr>
                <w:rFonts w:ascii="Times New Roman" w:hAnsi="Times New Roman" w:eastAsia="Times New Roman"/>
                <w:sz w:val="14"/>
              </w:rPr>
              <w:t>LendingPool</w:t>
            </w:r>
          </w:p>
        </w:tc>
        <w:tc>
          <w:tcPr>
            <w:tcW w:type="dxa" w:w="1326"/>
          </w:tcPr>
          <w:p>
            <w:pPr>
              <w:spacing w:after="0" w:before="0" w:line="240" w:lineRule="auto"/>
            </w:pPr>
            <w:r>
              <w:rPr>
                <w:sz w:val="14"/>
              </w:rPr>
            </w:r>
            <w:r>
              <w:rPr>
                <w:rFonts w:ascii="Times New Roman" w:hAnsi="Times New Roman" w:eastAsia="Times New Roman"/>
                <w:sz w:val="14"/>
              </w:rPr>
              <w:t>92.31%</w:t>
            </w:r>
          </w:p>
        </w:tc>
        <w:tc>
          <w:tcPr>
            <w:tcW w:type="dxa" w:w="1271"/>
          </w:tcPr>
          <w:p>
            <w:pPr>
              <w:spacing w:after="0" w:before="0" w:line="240" w:lineRule="auto"/>
            </w:pPr>
            <w:r>
              <w:rPr>
                <w:sz w:val="14"/>
              </w:rPr>
            </w:r>
            <w:r>
              <w:rPr>
                <w:rFonts w:ascii="Times New Roman" w:hAnsi="Times New Roman" w:eastAsia="Times New Roman"/>
                <w:sz w:val="14"/>
              </w:rPr>
              <w:t>69.51%</w:t>
            </w:r>
          </w:p>
        </w:tc>
        <w:tc>
          <w:tcPr>
            <w:tcW w:type="dxa" w:w="1216"/>
          </w:tcPr>
          <w:p>
            <w:pPr>
              <w:spacing w:after="0" w:before="0" w:line="240" w:lineRule="auto"/>
            </w:pPr>
            <w:r>
              <w:rPr>
                <w:sz w:val="14"/>
              </w:rPr>
            </w:r>
            <w:r>
              <w:rPr>
                <w:rFonts w:ascii="Times New Roman" w:hAnsi="Times New Roman" w:eastAsia="Times New Roman"/>
                <w:sz w:val="14"/>
              </w:rPr>
              <w:t>95%</w:t>
            </w:r>
          </w:p>
        </w:tc>
        <w:tc>
          <w:tcPr>
            <w:tcW w:type="dxa" w:w="1161"/>
          </w:tcPr>
          <w:p>
            <w:pPr>
              <w:spacing w:after="0" w:before="0" w:line="240" w:lineRule="auto"/>
            </w:pPr>
            <w:r>
              <w:rPr>
                <w:sz w:val="14"/>
              </w:rPr>
            </w:r>
            <w:r>
              <w:rPr>
                <w:rFonts w:ascii="Times New Roman" w:hAnsi="Times New Roman" w:eastAsia="Times New Roman"/>
                <w:sz w:val="14"/>
              </w:rPr>
              <w:t>94.44%</w:t>
            </w:r>
          </w:p>
        </w:tc>
        <w:tc>
          <w:tcPr>
            <w:tcW w:type="dxa" w:w="2045"/>
          </w:tcPr>
          <w:p>
            <w:pPr>
              <w:spacing w:after="0" w:before="0" w:line="240" w:lineRule="auto"/>
            </w:pPr>
            <w:r>
              <w:rPr>
                <w:sz w:val="14"/>
              </w:rPr>
            </w:r>
            <w:r>
              <w:rPr>
                <w:rFonts w:ascii="Times New Roman" w:hAnsi="Times New Roman" w:eastAsia="Times New Roman"/>
                <w:sz w:val="14"/>
              </w:rPr>
              <w:t>169, 170, 208, 209</w:t>
            </w:r>
          </w:p>
        </w:tc>
      </w:tr>
      <w:tr>
        <w:tc>
          <w:tcPr>
            <w:tcW w:type="dxa" w:w="1769"/>
          </w:tcPr>
          <w:p>
            <w:pPr>
              <w:spacing w:after="0" w:before="0" w:line="240" w:lineRule="auto"/>
            </w:pPr>
            <w:r>
              <w:rPr>
                <w:sz w:val="14"/>
              </w:rPr>
            </w:r>
            <w:r>
              <w:rPr>
                <w:rFonts w:ascii="Times New Roman" w:hAnsi="Times New Roman" w:eastAsia="Times New Roman"/>
                <w:sz w:val="14"/>
              </w:rPr>
              <w:t>LoanManager</w:t>
            </w:r>
          </w:p>
        </w:tc>
        <w:tc>
          <w:tcPr>
            <w:tcW w:type="dxa" w:w="1326"/>
          </w:tcPr>
          <w:p>
            <w:pPr>
              <w:spacing w:after="0" w:before="0" w:line="240" w:lineRule="auto"/>
            </w:pPr>
            <w:r>
              <w:rPr>
                <w:sz w:val="14"/>
              </w:rPr>
            </w:r>
            <w:r>
              <w:rPr>
                <w:rFonts w:ascii="Times New Roman" w:hAnsi="Times New Roman" w:eastAsia="Times New Roman"/>
                <w:sz w:val="14"/>
              </w:rPr>
              <w:t>97.89%</w:t>
            </w:r>
          </w:p>
        </w:tc>
        <w:tc>
          <w:tcPr>
            <w:tcW w:type="dxa" w:w="1271"/>
          </w:tcPr>
          <w:p>
            <w:pPr>
              <w:spacing w:after="0" w:before="0" w:line="240" w:lineRule="auto"/>
            </w:pPr>
            <w:r>
              <w:rPr>
                <w:sz w:val="14"/>
              </w:rPr>
            </w:r>
            <w:r>
              <w:rPr>
                <w:rFonts w:ascii="Times New Roman" w:hAnsi="Times New Roman" w:eastAsia="Times New Roman"/>
                <w:sz w:val="14"/>
              </w:rPr>
              <w:t>82.14%</w:t>
            </w:r>
          </w:p>
        </w:tc>
        <w:tc>
          <w:tcPr>
            <w:tcW w:type="dxa" w:w="1216"/>
          </w:tcPr>
          <w:p>
            <w:pPr>
              <w:spacing w:after="0" w:before="0" w:line="240" w:lineRule="auto"/>
            </w:pPr>
            <w:r>
              <w:rPr>
                <w:sz w:val="14"/>
              </w:rPr>
            </w:r>
            <w:r>
              <w:rPr>
                <w:rFonts w:ascii="Times New Roman" w:hAnsi="Times New Roman" w:eastAsia="Times New Roman"/>
                <w:sz w:val="14"/>
              </w:rPr>
              <w:t>95%</w:t>
            </w:r>
          </w:p>
        </w:tc>
        <w:tc>
          <w:tcPr>
            <w:tcW w:type="dxa" w:w="1161"/>
          </w:tcPr>
          <w:p>
            <w:pPr>
              <w:spacing w:after="0" w:before="0" w:line="240" w:lineRule="auto"/>
            </w:pPr>
            <w:r>
              <w:rPr>
                <w:sz w:val="14"/>
              </w:rPr>
            </w:r>
            <w:r>
              <w:rPr>
                <w:rFonts w:ascii="Times New Roman" w:hAnsi="Times New Roman" w:eastAsia="Times New Roman"/>
                <w:sz w:val="14"/>
              </w:rPr>
              <w:t>99.22%</w:t>
            </w:r>
          </w:p>
        </w:tc>
        <w:tc>
          <w:tcPr>
            <w:tcW w:type="dxa" w:w="2045"/>
          </w:tcPr>
          <w:p>
            <w:pPr>
              <w:spacing w:after="0" w:before="0" w:line="240" w:lineRule="auto"/>
            </w:pPr>
            <w:r>
              <w:rPr>
                <w:sz w:val="14"/>
              </w:rPr>
            </w:r>
            <w:r>
              <w:rPr>
                <w:rFonts w:ascii="Times New Roman" w:hAnsi="Times New Roman" w:eastAsia="Times New Roman"/>
                <w:sz w:val="14"/>
              </w:rPr>
              <w:t>356</w:t>
            </w:r>
          </w:p>
        </w:tc>
      </w:tr>
      <w:tr>
        <w:tc>
          <w:tcPr>
            <w:tcW w:type="dxa" w:w="1769"/>
          </w:tcPr>
          <w:p>
            <w:pPr>
              <w:spacing w:after="0" w:before="0" w:line="240" w:lineRule="auto"/>
            </w:pPr>
            <w:r>
              <w:rPr>
                <w:sz w:val="14"/>
              </w:rPr>
            </w:r>
            <w:r>
              <w:rPr>
                <w:rFonts w:ascii="Times New Roman" w:hAnsi="Times New Roman" w:eastAsia="Times New Roman"/>
                <w:sz w:val="14"/>
              </w:rPr>
              <w:t>MockStablecoin</w:t>
            </w:r>
          </w:p>
        </w:tc>
        <w:tc>
          <w:tcPr>
            <w:tcW w:type="dxa" w:w="1326"/>
          </w:tcPr>
          <w:p>
            <w:pPr>
              <w:spacing w:after="0" w:before="0" w:line="240" w:lineRule="auto"/>
            </w:pPr>
            <w:r>
              <w:rPr>
                <w:sz w:val="14"/>
              </w:rPr>
            </w:r>
            <w:r>
              <w:rPr>
                <w:rFonts w:ascii="Times New Roman" w:hAnsi="Times New Roman" w:eastAsia="Times New Roman"/>
                <w:sz w:val="14"/>
              </w:rPr>
              <w:t>100%</w:t>
            </w:r>
          </w:p>
        </w:tc>
        <w:tc>
          <w:tcPr>
            <w:tcW w:type="dxa" w:w="1271"/>
          </w:tcPr>
          <w:p>
            <w:pPr>
              <w:spacing w:after="0" w:before="0" w:line="240" w:lineRule="auto"/>
            </w:pPr>
            <w:r>
              <w:rPr>
                <w:sz w:val="14"/>
              </w:rPr>
            </w:r>
            <w:r>
              <w:rPr>
                <w:rFonts w:ascii="Times New Roman" w:hAnsi="Times New Roman" w:eastAsia="Times New Roman"/>
                <w:sz w:val="14"/>
              </w:rPr>
              <w:t>100%</w:t>
            </w:r>
          </w:p>
        </w:tc>
        <w:tc>
          <w:tcPr>
            <w:tcW w:type="dxa" w:w="1216"/>
          </w:tcPr>
          <w:p>
            <w:pPr>
              <w:spacing w:after="0" w:before="0" w:line="240" w:lineRule="auto"/>
            </w:pPr>
            <w:r>
              <w:rPr>
                <w:sz w:val="14"/>
              </w:rPr>
            </w:r>
            <w:r>
              <w:rPr>
                <w:rFonts w:ascii="Times New Roman" w:hAnsi="Times New Roman" w:eastAsia="Times New Roman"/>
                <w:sz w:val="14"/>
              </w:rPr>
              <w:t>100%</w:t>
            </w:r>
          </w:p>
        </w:tc>
        <w:tc>
          <w:tcPr>
            <w:tcW w:type="dxa" w:w="1161"/>
          </w:tcPr>
          <w:p>
            <w:pPr>
              <w:spacing w:after="0" w:before="0" w:line="240" w:lineRule="auto"/>
            </w:pPr>
            <w:r>
              <w:rPr>
                <w:sz w:val="14"/>
              </w:rPr>
            </w:r>
            <w:r>
              <w:rPr>
                <w:rFonts w:ascii="Times New Roman" w:hAnsi="Times New Roman" w:eastAsia="Times New Roman"/>
                <w:sz w:val="14"/>
              </w:rPr>
              <w:t>100%</w:t>
            </w:r>
          </w:p>
        </w:tc>
        <w:tc>
          <w:tcPr>
            <w:tcW w:type="dxa" w:w="2045"/>
          </w:tcPr>
          <w:p>
            <w:pPr>
              <w:spacing w:after="0" w:before="0" w:line="240" w:lineRule="auto"/>
            </w:pPr>
            <w:r>
              <w:rPr>
                <w:sz w:val="14"/>
              </w:rPr>
            </w:r>
            <w:r>
              <w:rPr>
                <w:rFonts w:ascii="Times New Roman" w:hAnsi="Times New Roman" w:eastAsia="Times New Roman"/>
                <w:sz w:val="14"/>
              </w:rPr>
              <w:t>none</w:t>
            </w:r>
          </w:p>
        </w:tc>
      </w:tr>
      <w:tr>
        <w:tc>
          <w:tcPr>
            <w:tcW w:type="dxa" w:w="1769"/>
          </w:tcPr>
          <w:p>
            <w:pPr>
              <w:spacing w:after="0" w:before="0" w:line="240" w:lineRule="auto"/>
            </w:pPr>
            <w:r>
              <w:rPr>
                <w:sz w:val="14"/>
              </w:rPr>
            </w:r>
            <w:r>
              <w:rPr>
                <w:b/>
                <w:rFonts w:ascii="Times New Roman" w:hAnsi="Times New Roman" w:eastAsia="Times New Roman"/>
                <w:sz w:val="14"/>
              </w:rPr>
              <w:t>All files</w:t>
            </w:r>
          </w:p>
        </w:tc>
        <w:tc>
          <w:tcPr>
            <w:tcW w:type="dxa" w:w="1326"/>
          </w:tcPr>
          <w:p>
            <w:pPr>
              <w:spacing w:after="0" w:before="0" w:line="240" w:lineRule="auto"/>
            </w:pPr>
            <w:r>
              <w:rPr>
                <w:sz w:val="14"/>
              </w:rPr>
            </w:r>
            <w:r>
              <w:rPr>
                <w:b/>
                <w:rFonts w:ascii="Times New Roman" w:hAnsi="Times New Roman" w:eastAsia="Times New Roman"/>
                <w:sz w:val="14"/>
              </w:rPr>
              <w:t>97.13%</w:t>
            </w:r>
          </w:p>
        </w:tc>
        <w:tc>
          <w:tcPr>
            <w:tcW w:type="dxa" w:w="1271"/>
          </w:tcPr>
          <w:p>
            <w:pPr>
              <w:spacing w:after="0" w:before="0" w:line="240" w:lineRule="auto"/>
            </w:pPr>
            <w:r>
              <w:rPr>
                <w:sz w:val="14"/>
              </w:rPr>
            </w:r>
            <w:r>
              <w:rPr>
                <w:b/>
                <w:rFonts w:ascii="Times New Roman" w:hAnsi="Times New Roman" w:eastAsia="Times New Roman"/>
                <w:sz w:val="14"/>
              </w:rPr>
              <w:t>75.94%</w:t>
            </w:r>
          </w:p>
        </w:tc>
        <w:tc>
          <w:tcPr>
            <w:tcW w:type="dxa" w:w="1216"/>
          </w:tcPr>
          <w:p>
            <w:pPr>
              <w:spacing w:after="0" w:before="0" w:line="240" w:lineRule="auto"/>
            </w:pPr>
            <w:r>
              <w:rPr>
                <w:sz w:val="14"/>
              </w:rPr>
            </w:r>
            <w:r>
              <w:rPr>
                <w:b/>
                <w:rFonts w:ascii="Times New Roman" w:hAnsi="Times New Roman" w:eastAsia="Times New Roman"/>
                <w:sz w:val="14"/>
              </w:rPr>
              <w:t>96.72%</w:t>
            </w:r>
          </w:p>
        </w:tc>
        <w:tc>
          <w:tcPr>
            <w:tcW w:type="dxa" w:w="1161"/>
          </w:tcPr>
          <w:p>
            <w:pPr>
              <w:spacing w:after="0" w:before="0" w:line="240" w:lineRule="auto"/>
            </w:pPr>
            <w:r>
              <w:rPr>
                <w:sz w:val="14"/>
              </w:rPr>
            </w:r>
            <w:r>
              <w:rPr>
                <w:b/>
                <w:rFonts w:ascii="Times New Roman" w:hAnsi="Times New Roman" w:eastAsia="Times New Roman"/>
                <w:sz w:val="14"/>
              </w:rPr>
              <w:t>98.31%</w:t>
            </w:r>
          </w:p>
        </w:tc>
        <w:tc>
          <w:tcPr>
            <w:tcW w:type="dxa" w:w="2045"/>
          </w:tcPr>
          <w:p>
            <w:pPr>
              <w:spacing w:after="0" w:before="0" w:line="240" w:lineRule="auto"/>
            </w:pPr>
            <w:r>
              <w:rPr>
                <w:sz w:val="14"/>
              </w:rPr>
            </w:r>
            <w:r>
              <w:rPr>
                <w:rFonts w:ascii="Times New Roman" w:hAnsi="Times New Roman" w:eastAsia="Times New Roman"/>
                <w:sz w:val="14"/>
              </w:rPr>
              <w:t>n/a for the aggregate</w:t>
            </w:r>
          </w:p>
        </w:tc>
      </w:tr>
    </w:tbl>
    <w:p>
      <w:pPr>
        <w:spacing w:after="0" w:before="0"/>
      </w:pPr>
    </w:p>
    <w:p>
      <w:pPr>
        <w:pStyle w:val="Heading2"/>
      </w:pPr>
      <w:r>
        <w:t>9.2 End-to-end scenarios</w:t>
      </w:r>
    </w:p>
    <w:p>
      <w:r>
        <w:rPr>
          <w:rFonts w:ascii="Times New Roman" w:hAnsi="Times New Roman" w:eastAsia="Times New Roman"/>
        </w:rPr>
        <w:t xml:space="preserve">The scenarios below were executed against the </w:t>
      </w:r>
      <w:r>
        <w:rPr>
          <w:b/>
          <w:rFonts w:ascii="Times New Roman" w:hAnsi="Times New Roman" w:eastAsia="Times New Roman"/>
        </w:rPr>
        <w:t>deployed application on Sepolia on 13 October 2026</w:t>
      </w:r>
      <w:r>
        <w:rPr>
          <w:rFonts w:ascii="Times New Roman" w:hAnsi="Times New Roman" w:eastAsia="Times New Roman"/>
        </w:rPr>
        <w:t>, and the ten-minute demonstration video records the run. The main flow is loan #2: 50 mUSDC for 30 days at a rate of 0.82, collateral 5.00, due 12 November 2026, repaid in full at 50.82. The same run moved the borrower from a score of 594 (Builder, tier 1) to 624 (Trusted, tier 2), the 30-point history bonus included, and exercised the lender side with a deposit of 500 mUSDC and a withdrawal of 100.</w:t>
      </w:r>
    </w:p>
    <w:p>
      <w:pPr>
        <w:keepNext/>
        <w:spacing w:after="40" w:before="80"/>
      </w:pPr>
      <w:r>
        <w:rPr>
          <w:b/>
          <w:color w:val="1F4E79"/>
          <w:sz w:val="16"/>
        </w:rPr>
        <w:t>Table 23. Manual end-to-end scenarios. "Sepolia 13 Oct" means executed against the deployed application on 13 October 2026 and recorded in the demonstration video; scenario definitions follow the repository testing guide.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507"/>
            <w:shd w:val="clear" w:color="auto" w:fill="1F4E79"/>
          </w:tcPr>
          <w:p>
            <w:pPr>
              <w:spacing w:after="0" w:line="240" w:lineRule="auto"/>
            </w:pPr>
            <w:r/>
            <w:r>
              <w:rPr>
                <w:b/>
                <w:color w:val="FFFFFF"/>
                <w:sz w:val="14"/>
                <w:rFonts w:ascii="Times New Roman" w:hAnsi="Times New Roman" w:eastAsia="Times New Roman"/>
              </w:rPr>
              <w:t>ID</w:t>
            </w:r>
          </w:p>
        </w:tc>
        <w:tc>
          <w:tcPr>
            <w:tcW w:type="dxa" w:w="2929"/>
            <w:shd w:val="clear" w:color="auto" w:fill="1F4E79"/>
          </w:tcPr>
          <w:p>
            <w:pPr>
              <w:spacing w:after="0" w:line="240" w:lineRule="auto"/>
            </w:pPr>
            <w:r/>
            <w:r>
              <w:rPr>
                <w:b/>
                <w:color w:val="FFFFFF"/>
                <w:sz w:val="14"/>
                <w:rFonts w:ascii="Times New Roman" w:hAnsi="Times New Roman" w:eastAsia="Times New Roman"/>
              </w:rPr>
              <w:t>Scenario</w:t>
            </w:r>
          </w:p>
        </w:tc>
        <w:tc>
          <w:tcPr>
            <w:tcW w:type="dxa" w:w="2591"/>
            <w:shd w:val="clear" w:color="auto" w:fill="1F4E79"/>
          </w:tcPr>
          <w:p>
            <w:pPr>
              <w:spacing w:after="0" w:line="240" w:lineRule="auto"/>
            </w:pPr>
            <w:r/>
            <w:r>
              <w:rPr>
                <w:b/>
                <w:color w:val="FFFFFF"/>
                <w:sz w:val="14"/>
                <w:rFonts w:ascii="Times New Roman" w:hAnsi="Times New Roman" w:eastAsia="Times New Roman"/>
              </w:rPr>
              <w:t>Expected result</w:t>
            </w:r>
          </w:p>
        </w:tc>
        <w:tc>
          <w:tcPr>
            <w:tcW w:type="dxa" w:w="2760"/>
            <w:shd w:val="clear" w:color="auto" w:fill="1F4E79"/>
          </w:tcPr>
          <w:p>
            <w:pPr>
              <w:spacing w:after="0" w:line="240" w:lineRule="auto"/>
            </w:pPr>
            <w:r/>
            <w:r>
              <w:rPr>
                <w:b/>
                <w:color w:val="FFFFFF"/>
                <w:sz w:val="14"/>
                <w:rFonts w:ascii="Times New Roman" w:hAnsi="Times New Roman" w:eastAsia="Times New Roman"/>
              </w:rPr>
              <w:t>Status</w:t>
            </w:r>
          </w:p>
        </w:tc>
      </w:tr>
      <w:tr>
        <w:tc>
          <w:tcPr>
            <w:tcW w:type="dxa" w:w="507"/>
          </w:tcPr>
          <w:p>
            <w:pPr>
              <w:spacing w:after="0" w:before="0" w:line="240" w:lineRule="auto"/>
            </w:pPr>
            <w:r>
              <w:rPr>
                <w:sz w:val="14"/>
              </w:rPr>
            </w:r>
            <w:r>
              <w:rPr>
                <w:rFonts w:ascii="Times New Roman" w:hAnsi="Times New Roman" w:eastAsia="Times New Roman"/>
                <w:sz w:val="14"/>
              </w:rPr>
              <w:t>S1</w:t>
            </w:r>
          </w:p>
        </w:tc>
        <w:tc>
          <w:tcPr>
            <w:tcW w:type="dxa" w:w="2929"/>
          </w:tcPr>
          <w:p>
            <w:pPr>
              <w:spacing w:after="0" w:before="0" w:line="240" w:lineRule="auto"/>
            </w:pPr>
            <w:r>
              <w:rPr>
                <w:sz w:val="14"/>
              </w:rPr>
            </w:r>
            <w:r>
              <w:rPr>
                <w:rFonts w:ascii="Times New Roman" w:hAnsi="Times New Roman" w:eastAsia="Times New Roman"/>
                <w:sz w:val="14"/>
              </w:rPr>
              <w:t>Unscored borrower requests 101 mUSDC against a limit of 100</w:t>
            </w:r>
          </w:p>
        </w:tc>
        <w:tc>
          <w:tcPr>
            <w:tcW w:type="dxa" w:w="2591"/>
          </w:tcPr>
          <w:p>
            <w:pPr>
              <w:spacing w:after="0" w:before="0" w:line="240" w:lineRule="auto"/>
            </w:pPr>
            <w:r>
              <w:rPr>
                <w:sz w:val="14"/>
              </w:rPr>
            </w:r>
            <w:r>
              <w:rPr>
                <w:rFonts w:ascii="Times New Roman" w:hAnsi="Times New Roman" w:eastAsia="Times New Roman"/>
                <w:sz w:val="14"/>
              </w:rPr>
              <w:t>Refused</w:t>
            </w:r>
          </w:p>
        </w:tc>
        <w:tc>
          <w:tcPr>
            <w:tcW w:type="dxa" w:w="2760"/>
          </w:tcPr>
          <w:p>
            <w:pPr>
              <w:spacing w:after="0" w:before="0" w:line="240" w:lineRule="auto"/>
            </w:pPr>
            <w:r>
              <w:rPr>
                <w:sz w:val="14"/>
              </w:rPr>
            </w:r>
            <w:r>
              <w:rPr>
                <w:rFonts w:ascii="Times New Roman" w:hAnsi="Times New Roman" w:eastAsia="Times New Roman"/>
                <w:sz w:val="14"/>
              </w:rPr>
              <w:t>Pass, Sepolia 13 Oct</w:t>
            </w:r>
          </w:p>
        </w:tc>
      </w:tr>
      <w:tr>
        <w:tc>
          <w:tcPr>
            <w:tcW w:type="dxa" w:w="507"/>
          </w:tcPr>
          <w:p>
            <w:pPr>
              <w:spacing w:after="0" w:before="0" w:line="240" w:lineRule="auto"/>
            </w:pPr>
            <w:r>
              <w:rPr>
                <w:sz w:val="14"/>
              </w:rPr>
            </w:r>
            <w:r>
              <w:rPr>
                <w:rFonts w:ascii="Times New Roman" w:hAnsi="Times New Roman" w:eastAsia="Times New Roman"/>
                <w:sz w:val="14"/>
              </w:rPr>
              <w:t>S2</w:t>
            </w:r>
          </w:p>
        </w:tc>
        <w:tc>
          <w:tcPr>
            <w:tcW w:type="dxa" w:w="2929"/>
          </w:tcPr>
          <w:p>
            <w:pPr>
              <w:spacing w:after="0" w:before="0" w:line="240" w:lineRule="auto"/>
            </w:pPr>
            <w:r>
              <w:rPr>
                <w:sz w:val="14"/>
              </w:rPr>
            </w:r>
            <w:r>
              <w:rPr>
                <w:rFonts w:ascii="Times New Roman" w:hAnsi="Times New Roman" w:eastAsia="Times New Roman"/>
                <w:sz w:val="14"/>
              </w:rPr>
              <w:t>Borrower scores, records on-chain and applies for 400</w:t>
            </w:r>
          </w:p>
        </w:tc>
        <w:tc>
          <w:tcPr>
            <w:tcW w:type="dxa" w:w="2591"/>
          </w:tcPr>
          <w:p>
            <w:pPr>
              <w:spacing w:after="0" w:before="0" w:line="240" w:lineRule="auto"/>
            </w:pPr>
            <w:r>
              <w:rPr>
                <w:sz w:val="14"/>
              </w:rPr>
            </w:r>
            <w:r>
              <w:rPr>
                <w:rFonts w:ascii="Times New Roman" w:hAnsi="Times New Roman" w:eastAsia="Times New Roman"/>
                <w:sz w:val="14"/>
              </w:rPr>
              <w:t>Tier applied; the officer queried</w:t>
            </w:r>
          </w:p>
        </w:tc>
        <w:tc>
          <w:tcPr>
            <w:tcW w:type="dxa" w:w="2760"/>
          </w:tcPr>
          <w:p>
            <w:pPr>
              <w:spacing w:after="0" w:before="0" w:line="240" w:lineRule="auto"/>
            </w:pPr>
            <w:r>
              <w:rPr>
                <w:sz w:val="14"/>
              </w:rPr>
            </w:r>
            <w:r>
              <w:rPr>
                <w:rFonts w:ascii="Times New Roman" w:hAnsi="Times New Roman" w:eastAsia="Times New Roman"/>
                <w:sz w:val="14"/>
              </w:rPr>
              <w:t>Pass, Sepolia 13 Oct</w:t>
            </w:r>
          </w:p>
        </w:tc>
      </w:tr>
      <w:tr>
        <w:tc>
          <w:tcPr>
            <w:tcW w:type="dxa" w:w="507"/>
          </w:tcPr>
          <w:p>
            <w:pPr>
              <w:spacing w:after="0" w:before="0" w:line="240" w:lineRule="auto"/>
            </w:pPr>
            <w:r>
              <w:rPr>
                <w:sz w:val="14"/>
              </w:rPr>
            </w:r>
            <w:r>
              <w:rPr>
                <w:rFonts w:ascii="Times New Roman" w:hAnsi="Times New Roman" w:eastAsia="Times New Roman"/>
                <w:sz w:val="14"/>
              </w:rPr>
              <w:t>S3</w:t>
            </w:r>
          </w:p>
        </w:tc>
        <w:tc>
          <w:tcPr>
            <w:tcW w:type="dxa" w:w="2929"/>
          </w:tcPr>
          <w:p>
            <w:pPr>
              <w:spacing w:after="0" w:before="0" w:line="240" w:lineRule="auto"/>
            </w:pPr>
            <w:r>
              <w:rPr>
                <w:sz w:val="14"/>
              </w:rPr>
            </w:r>
            <w:r>
              <w:rPr>
                <w:rFonts w:ascii="Times New Roman" w:hAnsi="Times New Roman" w:eastAsia="Times New Roman"/>
                <w:sz w:val="14"/>
              </w:rPr>
              <w:t>Officer approves, borrower posts collateral, funds received</w:t>
            </w:r>
          </w:p>
        </w:tc>
        <w:tc>
          <w:tcPr>
            <w:tcW w:type="dxa" w:w="2591"/>
          </w:tcPr>
          <w:p>
            <w:pPr>
              <w:spacing w:after="0" w:before="0" w:line="240" w:lineRule="auto"/>
            </w:pPr>
            <w:r>
              <w:rPr>
                <w:sz w:val="14"/>
              </w:rPr>
            </w:r>
            <w:r>
              <w:rPr>
                <w:rFonts w:ascii="Times New Roman" w:hAnsi="Times New Roman" w:eastAsia="Times New Roman"/>
                <w:sz w:val="14"/>
              </w:rPr>
              <w:t>Events emitted in order</w:t>
            </w:r>
          </w:p>
        </w:tc>
        <w:tc>
          <w:tcPr>
            <w:tcW w:type="dxa" w:w="2760"/>
          </w:tcPr>
          <w:p>
            <w:pPr>
              <w:spacing w:after="0" w:before="0" w:line="240" w:lineRule="auto"/>
            </w:pPr>
            <w:r>
              <w:rPr>
                <w:sz w:val="14"/>
              </w:rPr>
            </w:r>
            <w:r>
              <w:rPr>
                <w:rFonts w:ascii="Times New Roman" w:hAnsi="Times New Roman" w:eastAsia="Times New Roman"/>
                <w:sz w:val="14"/>
              </w:rPr>
              <w:t>Pass, Sepolia 13 Oct</w:t>
            </w:r>
          </w:p>
        </w:tc>
      </w:tr>
      <w:tr>
        <w:tc>
          <w:tcPr>
            <w:tcW w:type="dxa" w:w="507"/>
          </w:tcPr>
          <w:p>
            <w:pPr>
              <w:spacing w:after="0" w:before="0" w:line="240" w:lineRule="auto"/>
            </w:pPr>
            <w:r>
              <w:rPr>
                <w:sz w:val="14"/>
              </w:rPr>
            </w:r>
            <w:r>
              <w:rPr>
                <w:rFonts w:ascii="Times New Roman" w:hAnsi="Times New Roman" w:eastAsia="Times New Roman"/>
                <w:sz w:val="14"/>
              </w:rPr>
              <w:t>S4</w:t>
            </w:r>
          </w:p>
        </w:tc>
        <w:tc>
          <w:tcPr>
            <w:tcW w:type="dxa" w:w="2929"/>
          </w:tcPr>
          <w:p>
            <w:pPr>
              <w:spacing w:after="0" w:before="0" w:line="240" w:lineRule="auto"/>
            </w:pPr>
            <w:r>
              <w:rPr>
                <w:sz w:val="14"/>
              </w:rPr>
            </w:r>
            <w:r>
              <w:rPr>
                <w:rFonts w:ascii="Times New Roman" w:hAnsi="Times New Roman" w:eastAsia="Times New Roman"/>
                <w:sz w:val="14"/>
              </w:rPr>
              <w:t>Borrower repays on time, in instalments</w:t>
            </w:r>
          </w:p>
        </w:tc>
        <w:tc>
          <w:tcPr>
            <w:tcW w:type="dxa" w:w="2591"/>
          </w:tcPr>
          <w:p>
            <w:pPr>
              <w:spacing w:after="0" w:before="0" w:line="240" w:lineRule="auto"/>
            </w:pPr>
            <w:r>
              <w:rPr>
                <w:sz w:val="14"/>
              </w:rPr>
            </w:r>
            <w:r>
              <w:rPr>
                <w:rFonts w:ascii="Times New Roman" w:hAnsi="Times New Roman" w:eastAsia="Times New Roman"/>
                <w:sz w:val="14"/>
              </w:rPr>
              <w:t>Repaid; collateral returned; +30 bonus</w:t>
            </w:r>
          </w:p>
        </w:tc>
        <w:tc>
          <w:tcPr>
            <w:tcW w:type="dxa" w:w="2760"/>
          </w:tcPr>
          <w:p>
            <w:pPr>
              <w:spacing w:after="0" w:before="0" w:line="240" w:lineRule="auto"/>
            </w:pPr>
            <w:r>
              <w:rPr>
                <w:sz w:val="14"/>
              </w:rPr>
            </w:r>
            <w:r>
              <w:rPr>
                <w:rFonts w:ascii="Times New Roman" w:hAnsi="Times New Roman" w:eastAsia="Times New Roman"/>
                <w:sz w:val="14"/>
              </w:rPr>
              <w:t>Pass, Sepolia 13 Oct</w:t>
            </w:r>
          </w:p>
        </w:tc>
      </w:tr>
      <w:tr>
        <w:tc>
          <w:tcPr>
            <w:tcW w:type="dxa" w:w="507"/>
          </w:tcPr>
          <w:p>
            <w:pPr>
              <w:spacing w:after="0" w:before="0" w:line="240" w:lineRule="auto"/>
            </w:pPr>
            <w:r>
              <w:rPr>
                <w:sz w:val="14"/>
              </w:rPr>
            </w:r>
            <w:r>
              <w:rPr>
                <w:rFonts w:ascii="Times New Roman" w:hAnsi="Times New Roman" w:eastAsia="Times New Roman"/>
                <w:sz w:val="14"/>
              </w:rPr>
              <w:t>S5</w:t>
            </w:r>
          </w:p>
        </w:tc>
        <w:tc>
          <w:tcPr>
            <w:tcW w:type="dxa" w:w="2929"/>
          </w:tcPr>
          <w:p>
            <w:pPr>
              <w:spacing w:after="0" w:before="0" w:line="240" w:lineRule="auto"/>
            </w:pPr>
            <w:r>
              <w:rPr>
                <w:sz w:val="14"/>
              </w:rPr>
            </w:r>
            <w:r>
              <w:rPr>
                <w:rFonts w:ascii="Times New Roman" w:hAnsi="Times New Roman" w:eastAsia="Times New Roman"/>
                <w:sz w:val="14"/>
              </w:rPr>
              <w:t>Same borrower applies again</w:t>
            </w:r>
          </w:p>
        </w:tc>
        <w:tc>
          <w:tcPr>
            <w:tcW w:type="dxa" w:w="2591"/>
          </w:tcPr>
          <w:p>
            <w:pPr>
              <w:spacing w:after="0" w:before="0" w:line="240" w:lineRule="auto"/>
            </w:pPr>
            <w:r>
              <w:rPr>
                <w:sz w:val="14"/>
              </w:rPr>
            </w:r>
            <w:r>
              <w:rPr>
                <w:rFonts w:ascii="Times New Roman" w:hAnsi="Times New Roman" w:eastAsia="Times New Roman"/>
                <w:sz w:val="14"/>
              </w:rPr>
              <w:t>Higher limit, lower collateral</w:t>
            </w:r>
          </w:p>
        </w:tc>
        <w:tc>
          <w:tcPr>
            <w:tcW w:type="dxa" w:w="2760"/>
          </w:tcPr>
          <w:p>
            <w:pPr>
              <w:spacing w:after="0" w:before="0" w:line="240" w:lineRule="auto"/>
            </w:pPr>
            <w:r>
              <w:rPr>
                <w:sz w:val="14"/>
              </w:rPr>
            </w:r>
            <w:r>
              <w:rPr>
                <w:rFonts w:ascii="Times New Roman" w:hAnsi="Times New Roman" w:eastAsia="Times New Roman"/>
                <w:sz w:val="14"/>
              </w:rPr>
              <w:t>Pass, Sepolia 13 Oct</w:t>
            </w:r>
          </w:p>
        </w:tc>
      </w:tr>
      <w:tr>
        <w:tc>
          <w:tcPr>
            <w:tcW w:type="dxa" w:w="507"/>
          </w:tcPr>
          <w:p>
            <w:pPr>
              <w:spacing w:after="0" w:before="0" w:line="240" w:lineRule="auto"/>
            </w:pPr>
            <w:r>
              <w:rPr>
                <w:sz w:val="14"/>
              </w:rPr>
            </w:r>
            <w:r>
              <w:rPr>
                <w:rFonts w:ascii="Times New Roman" w:hAnsi="Times New Roman" w:eastAsia="Times New Roman"/>
                <w:sz w:val="14"/>
              </w:rPr>
              <w:t>S6</w:t>
            </w:r>
          </w:p>
        </w:tc>
        <w:tc>
          <w:tcPr>
            <w:tcW w:type="dxa" w:w="2929"/>
          </w:tcPr>
          <w:p>
            <w:pPr>
              <w:spacing w:after="0" w:before="0" w:line="240" w:lineRule="auto"/>
            </w:pPr>
            <w:r>
              <w:rPr>
                <w:sz w:val="14"/>
              </w:rPr>
            </w:r>
            <w:r>
              <w:rPr>
                <w:rFonts w:ascii="Times New Roman" w:hAnsi="Times New Roman" w:eastAsia="Times New Roman"/>
                <w:sz w:val="14"/>
              </w:rPr>
              <w:t>Loan passes due date plus 7 days, then markDefault is called</w:t>
            </w:r>
          </w:p>
        </w:tc>
        <w:tc>
          <w:tcPr>
            <w:tcW w:type="dxa" w:w="2591"/>
          </w:tcPr>
          <w:p>
            <w:pPr>
              <w:spacing w:after="0" w:before="0" w:line="240" w:lineRule="auto"/>
            </w:pPr>
            <w:r>
              <w:rPr>
                <w:sz w:val="14"/>
              </w:rPr>
            </w:r>
            <w:r>
              <w:rPr>
                <w:rFonts w:ascii="Times New Roman" w:hAnsi="Times New Roman" w:eastAsia="Times New Roman"/>
                <w:sz w:val="14"/>
              </w:rPr>
              <w:t>Seizure, reserve use, share price falls</w:t>
            </w:r>
          </w:p>
        </w:tc>
        <w:tc>
          <w:tcPr>
            <w:tcW w:type="dxa" w:w="2760"/>
          </w:tcPr>
          <w:p>
            <w:pPr>
              <w:spacing w:after="0" w:before="0" w:line="240" w:lineRule="auto"/>
            </w:pPr>
            <w:r>
              <w:rPr>
                <w:sz w:val="14"/>
              </w:rPr>
            </w:r>
            <w:r>
              <w:rPr>
                <w:rFonts w:ascii="Times New Roman" w:hAnsi="Times New Roman" w:eastAsia="Times New Roman"/>
                <w:sz w:val="14"/>
              </w:rPr>
              <w:t>Automated tests only, see 9.3</w:t>
            </w:r>
          </w:p>
        </w:tc>
      </w:tr>
      <w:tr>
        <w:tc>
          <w:tcPr>
            <w:tcW w:type="dxa" w:w="507"/>
          </w:tcPr>
          <w:p>
            <w:pPr>
              <w:spacing w:after="0" w:before="0" w:line="240" w:lineRule="auto"/>
            </w:pPr>
            <w:r>
              <w:rPr>
                <w:sz w:val="14"/>
              </w:rPr>
            </w:r>
            <w:r>
              <w:rPr>
                <w:rFonts w:ascii="Times New Roman" w:hAnsi="Times New Roman" w:eastAsia="Times New Roman"/>
                <w:sz w:val="14"/>
              </w:rPr>
              <w:t>S7</w:t>
            </w:r>
          </w:p>
        </w:tc>
        <w:tc>
          <w:tcPr>
            <w:tcW w:type="dxa" w:w="2929"/>
          </w:tcPr>
          <w:p>
            <w:pPr>
              <w:spacing w:after="0" w:before="0" w:line="240" w:lineRule="auto"/>
            </w:pPr>
            <w:r>
              <w:rPr>
                <w:sz w:val="14"/>
              </w:rPr>
            </w:r>
            <w:r>
              <w:rPr>
                <w:rFonts w:ascii="Times New Roman" w:hAnsi="Times New Roman" w:eastAsia="Times New Roman"/>
                <w:sz w:val="14"/>
              </w:rPr>
              <w:t>Lender withdraws more than the idle cash</w:t>
            </w:r>
          </w:p>
        </w:tc>
        <w:tc>
          <w:tcPr>
            <w:tcW w:type="dxa" w:w="2591"/>
          </w:tcPr>
          <w:p>
            <w:pPr>
              <w:spacing w:after="0" w:before="0" w:line="240" w:lineRule="auto"/>
            </w:pPr>
            <w:r>
              <w:rPr>
                <w:sz w:val="14"/>
              </w:rPr>
            </w:r>
            <w:r>
              <w:rPr>
                <w:rFonts w:ascii="Times New Roman" w:hAnsi="Times New Roman" w:eastAsia="Times New Roman"/>
                <w:sz w:val="14"/>
              </w:rPr>
              <w:t>Clear error; maximum works</w:t>
            </w:r>
          </w:p>
        </w:tc>
        <w:tc>
          <w:tcPr>
            <w:tcW w:type="dxa" w:w="2760"/>
          </w:tcPr>
          <w:p>
            <w:pPr>
              <w:spacing w:after="0" w:before="0" w:line="240" w:lineRule="auto"/>
            </w:pPr>
            <w:r>
              <w:rPr>
                <w:sz w:val="14"/>
              </w:rPr>
            </w:r>
            <w:r>
              <w:rPr>
                <w:rFonts w:ascii="Times New Roman" w:hAnsi="Times New Roman" w:eastAsia="Times New Roman"/>
                <w:sz w:val="14"/>
              </w:rPr>
              <w:t>Pass, Sepolia 13 Oct</w:t>
            </w:r>
          </w:p>
        </w:tc>
      </w:tr>
      <w:tr>
        <w:tc>
          <w:tcPr>
            <w:tcW w:type="dxa" w:w="507"/>
          </w:tcPr>
          <w:p>
            <w:pPr>
              <w:spacing w:after="0" w:before="0" w:line="240" w:lineRule="auto"/>
            </w:pPr>
            <w:r>
              <w:rPr>
                <w:sz w:val="14"/>
              </w:rPr>
            </w:r>
            <w:r>
              <w:rPr>
                <w:rFonts w:ascii="Times New Roman" w:hAnsi="Times New Roman" w:eastAsia="Times New Roman"/>
                <w:sz w:val="14"/>
              </w:rPr>
              <w:t>S8</w:t>
            </w:r>
          </w:p>
        </w:tc>
        <w:tc>
          <w:tcPr>
            <w:tcW w:type="dxa" w:w="2929"/>
          </w:tcPr>
          <w:p>
            <w:pPr>
              <w:spacing w:after="0" w:before="0" w:line="240" w:lineRule="auto"/>
            </w:pPr>
            <w:r>
              <w:rPr>
                <w:sz w:val="14"/>
              </w:rPr>
            </w:r>
            <w:r>
              <w:rPr>
                <w:rFonts w:ascii="Times New Roman" w:hAnsi="Times New Roman" w:eastAsia="Times New Roman"/>
                <w:sz w:val="14"/>
              </w:rPr>
              <w:t>Admin pauses the loan manager</w:t>
            </w:r>
          </w:p>
        </w:tc>
        <w:tc>
          <w:tcPr>
            <w:tcW w:type="dxa" w:w="2591"/>
          </w:tcPr>
          <w:p>
            <w:pPr>
              <w:spacing w:after="0" w:before="0" w:line="240" w:lineRule="auto"/>
            </w:pPr>
            <w:r>
              <w:rPr>
                <w:sz w:val="14"/>
              </w:rPr>
            </w:r>
            <w:r>
              <w:rPr>
                <w:rFonts w:ascii="Times New Roman" w:hAnsi="Times New Roman" w:eastAsia="Times New Roman"/>
                <w:sz w:val="14"/>
              </w:rPr>
              <w:t>Applications blocked, repayment works</w:t>
            </w:r>
          </w:p>
        </w:tc>
        <w:tc>
          <w:tcPr>
            <w:tcW w:type="dxa" w:w="2760"/>
          </w:tcPr>
          <w:p>
            <w:pPr>
              <w:spacing w:after="0" w:before="0" w:line="240" w:lineRule="auto"/>
            </w:pPr>
            <w:r>
              <w:rPr>
                <w:sz w:val="14"/>
              </w:rPr>
            </w:r>
            <w:r>
              <w:rPr>
                <w:rFonts w:ascii="Times New Roman" w:hAnsi="Times New Roman" w:eastAsia="Times New Roman"/>
                <w:sz w:val="14"/>
              </w:rPr>
              <w:t>Pause on Sepolia; repayment while paused by tests, see 9.3</w:t>
            </w:r>
          </w:p>
        </w:tc>
      </w:tr>
      <w:tr>
        <w:tc>
          <w:tcPr>
            <w:tcW w:type="dxa" w:w="507"/>
          </w:tcPr>
          <w:p>
            <w:pPr>
              <w:spacing w:after="0" w:before="0" w:line="240" w:lineRule="auto"/>
            </w:pPr>
            <w:r>
              <w:rPr>
                <w:sz w:val="14"/>
              </w:rPr>
            </w:r>
            <w:r>
              <w:rPr>
                <w:rFonts w:ascii="Times New Roman" w:hAnsi="Times New Roman" w:eastAsia="Times New Roman"/>
                <w:sz w:val="14"/>
              </w:rPr>
              <w:t>S9</w:t>
            </w:r>
          </w:p>
        </w:tc>
        <w:tc>
          <w:tcPr>
            <w:tcW w:type="dxa" w:w="2929"/>
          </w:tcPr>
          <w:p>
            <w:pPr>
              <w:spacing w:after="0" w:before="0" w:line="240" w:lineRule="auto"/>
            </w:pPr>
            <w:r>
              <w:rPr>
                <w:sz w:val="14"/>
              </w:rPr>
            </w:r>
            <w:r>
              <w:rPr>
                <w:rFonts w:ascii="Times New Roman" w:hAnsi="Times New Roman" w:eastAsia="Times New Roman"/>
                <w:sz w:val="14"/>
              </w:rPr>
              <w:t>Non-staff wallet opens staff pages or calls a staff route</w:t>
            </w:r>
          </w:p>
        </w:tc>
        <w:tc>
          <w:tcPr>
            <w:tcW w:type="dxa" w:w="2591"/>
          </w:tcPr>
          <w:p>
            <w:pPr>
              <w:spacing w:after="0" w:before="0" w:line="240" w:lineRule="auto"/>
            </w:pPr>
            <w:r>
              <w:rPr>
                <w:sz w:val="14"/>
              </w:rPr>
            </w:r>
            <w:r>
              <w:rPr>
                <w:rFonts w:ascii="Times New Roman" w:hAnsi="Times New Roman" w:eastAsia="Times New Roman"/>
                <w:sz w:val="14"/>
              </w:rPr>
              <w:t>Tab hidden; API returns 403</w:t>
            </w:r>
          </w:p>
        </w:tc>
        <w:tc>
          <w:tcPr>
            <w:tcW w:type="dxa" w:w="2760"/>
          </w:tcPr>
          <w:p>
            <w:pPr>
              <w:spacing w:after="0" w:before="0" w:line="240" w:lineRule="auto"/>
            </w:pPr>
            <w:r>
              <w:rPr>
                <w:sz w:val="14"/>
              </w:rPr>
            </w:r>
            <w:r>
              <w:rPr>
                <w:rFonts w:ascii="Times New Roman" w:hAnsi="Times New Roman" w:eastAsia="Times New Roman"/>
                <w:sz w:val="14"/>
              </w:rPr>
              <w:t>Pass, Sepolia 13 Oct</w:t>
            </w:r>
          </w:p>
        </w:tc>
      </w:tr>
      <w:tr>
        <w:tc>
          <w:tcPr>
            <w:tcW w:type="dxa" w:w="507"/>
          </w:tcPr>
          <w:p>
            <w:pPr>
              <w:spacing w:after="0" w:before="0" w:line="240" w:lineRule="auto"/>
            </w:pPr>
            <w:r>
              <w:rPr>
                <w:sz w:val="14"/>
              </w:rPr>
            </w:r>
            <w:r>
              <w:rPr>
                <w:rFonts w:ascii="Times New Roman" w:hAnsi="Times New Roman" w:eastAsia="Times New Roman"/>
                <w:sz w:val="14"/>
              </w:rPr>
              <w:t>S10</w:t>
            </w:r>
          </w:p>
        </w:tc>
        <w:tc>
          <w:tcPr>
            <w:tcW w:type="dxa" w:w="2929"/>
          </w:tcPr>
          <w:p>
            <w:pPr>
              <w:spacing w:after="0" w:before="0" w:line="240" w:lineRule="auto"/>
            </w:pPr>
            <w:r>
              <w:rPr>
                <w:sz w:val="14"/>
              </w:rPr>
            </w:r>
            <w:r>
              <w:rPr>
                <w:rFonts w:ascii="Times New Roman" w:hAnsi="Times New Roman" w:eastAsia="Times New Roman"/>
                <w:sz w:val="14"/>
              </w:rPr>
              <w:t>Replay a used score signature</w:t>
            </w:r>
          </w:p>
        </w:tc>
        <w:tc>
          <w:tcPr>
            <w:tcW w:type="dxa" w:w="2591"/>
          </w:tcPr>
          <w:p>
            <w:pPr>
              <w:spacing w:after="0" w:before="0" w:line="240" w:lineRule="auto"/>
            </w:pPr>
            <w:r>
              <w:rPr>
                <w:sz w:val="14"/>
              </w:rPr>
            </w:r>
            <w:r>
              <w:rPr>
                <w:rFonts w:ascii="Times New Roman" w:hAnsi="Times New Roman" w:eastAsia="Times New Roman"/>
                <w:sz w:val="14"/>
              </w:rPr>
              <w:t>Reverts as an invalid signer</w:t>
            </w:r>
          </w:p>
        </w:tc>
        <w:tc>
          <w:tcPr>
            <w:tcW w:type="dxa" w:w="2760"/>
          </w:tcPr>
          <w:p>
            <w:pPr>
              <w:spacing w:after="0" w:before="0" w:line="240" w:lineRule="auto"/>
            </w:pPr>
            <w:r>
              <w:rPr>
                <w:sz w:val="14"/>
              </w:rPr>
            </w:r>
            <w:r>
              <w:rPr>
                <w:rFonts w:ascii="Times New Roman" w:hAnsi="Times New Roman" w:eastAsia="Times New Roman"/>
                <w:sz w:val="14"/>
              </w:rPr>
              <w:t>Automated tests only, see 9.3</w:t>
            </w:r>
          </w:p>
        </w:tc>
      </w:tr>
    </w:tbl>
    <w:p>
      <w:pPr>
        <w:spacing w:after="0" w:before="0"/>
      </w:pPr>
    </w:p>
    <w:p>
      <w:pPr>
        <w:pStyle w:val="Heading2"/>
      </w:pPr>
      <w:r>
        <w:t>9.3 Scenario coverage gaps, stated explicitly</w:t>
      </w:r>
    </w:p>
    <w:p>
      <w:r>
        <w:rPr>
          <w:rFonts w:ascii="Times New Roman" w:hAnsi="Times New Roman" w:eastAsia="Times New Roman"/>
        </w:rPr>
        <w:t xml:space="preserve">The following elements were validated only by automated tests and were </w:t>
      </w:r>
      <w:r>
        <w:rPr>
          <w:b/>
          <w:rFonts w:ascii="Times New Roman" w:hAnsi="Times New Roman" w:eastAsia="Times New Roman"/>
        </w:rPr>
        <w:t>not</w:t>
      </w:r>
      <w:r>
        <w:rPr>
          <w:rFonts w:ascii="Times New Roman" w:hAnsi="Times New Roman" w:eastAsia="Times New Roman"/>
        </w:rPr>
        <w:t xml:space="preserve"> exercised through the interface on Sepolia. They are reported as automated coverage, not as live transactions:</w:t>
      </w:r>
    </w:p>
    <w:p>
      <w:pPr>
        <w:pStyle w:val="ListBullet"/>
        <w:spacing w:after="40"/>
      </w:pPr>
      <w:r>
        <w:rPr>
          <w:b/>
          <w:rFonts w:ascii="Times New Roman" w:hAnsi="Times New Roman" w:eastAsia="Times New Roman"/>
        </w:rPr>
        <w:t>S6, default and the loss waterfall:</w:t>
      </w:r>
      <w:r>
        <w:rPr>
          <w:rFonts w:ascii="Times New Roman" w:hAnsi="Times New Roman" w:eastAsia="Times New Roman"/>
        </w:rPr>
        <w:t xml:space="preserve"> requires the due date plus the 7-day grace period to elapse. Covered by three contract default scenarios, including surplus collateral returned after a partly repaid default.</w:t>
      </w:r>
    </w:p>
    <w:p>
      <w:pPr>
        <w:pStyle w:val="ListBullet"/>
        <w:spacing w:after="40"/>
      </w:pPr>
      <w:r>
        <w:rPr>
          <w:b/>
          <w:rFonts w:ascii="Times New Roman" w:hAnsi="Times New Roman" w:eastAsia="Times New Roman"/>
        </w:rPr>
        <w:t>S10, replay of a used score signature</w:t>
      </w:r>
      <w:r>
        <w:rPr>
          <w:rFonts w:ascii="Times New Roman" w:hAnsi="Times New Roman" w:eastAsia="Times New Roman"/>
        </w:rPr>
        <w:t xml:space="preserve">, and </w:t>
      </w:r>
      <w:r>
        <w:rPr>
          <w:b/>
          <w:rFonts w:ascii="Times New Roman" w:hAnsi="Times New Roman" w:eastAsia="Times New Roman"/>
        </w:rPr>
        <w:t>officer self-approval:</w:t>
      </w:r>
      <w:r>
        <w:rPr>
          <w:rFonts w:ascii="Times New Roman" w:hAnsi="Times New Roman" w:eastAsia="Times New Roman"/>
        </w:rPr>
        <w:t xml:space="preserve"> covered by the EIP-712 replay, forgery and self-approval contract tests.</w:t>
      </w:r>
    </w:p>
    <w:p>
      <w:pPr>
        <w:pStyle w:val="ListBullet"/>
        <w:spacing w:after="40"/>
      </w:pPr>
      <w:r>
        <w:rPr>
          <w:b/>
          <w:rFonts w:ascii="Times New Roman" w:hAnsi="Times New Roman" w:eastAsia="Times New Roman"/>
        </w:rPr>
        <w:t>S9 at the API layer</w:t>
      </w:r>
      <w:r>
        <w:rPr>
          <w:rFonts w:ascii="Times New Roman" w:hAnsi="Times New Roman" w:eastAsia="Times New Roman"/>
        </w:rPr>
        <w:t xml:space="preserve">, </w:t>
      </w:r>
      <w:r>
        <w:rPr>
          <w:b/>
          <w:rFonts w:ascii="Times New Roman" w:hAnsi="Times New Roman" w:eastAsia="Times New Roman"/>
        </w:rPr>
        <w:t>S7 at the contract layer</w:t>
      </w:r>
      <w:r>
        <w:rPr>
          <w:rFonts w:ascii="Times New Roman" w:hAnsi="Times New Roman" w:eastAsia="Times New Roman"/>
        </w:rPr>
        <w:t xml:space="preserve"> and </w:t>
      </w:r>
      <w:r>
        <w:rPr>
          <w:b/>
          <w:rFonts w:ascii="Times New Roman" w:hAnsi="Times New Roman" w:eastAsia="Times New Roman"/>
        </w:rPr>
        <w:t>S8, repayment while paused:</w:t>
      </w:r>
      <w:r>
        <w:rPr>
          <w:rFonts w:ascii="Times New Roman" w:hAnsi="Times New Roman" w:eastAsia="Times New Roman"/>
        </w:rPr>
        <w:t xml:space="preserve"> covered by the backend role-gating tests and the insufficient-liquidity and pause-behaviour contract tests.</w:t>
      </w:r>
    </w:p>
    <w:p>
      <w:pPr>
        <w:pStyle w:val="Heading2"/>
      </w:pPr>
      <w:r>
        <w:t>9.4 Optimisation and gas analysis</w:t>
      </w:r>
    </w:p>
    <w:p>
      <w:r>
        <w:rPr>
          <w:rFonts w:ascii="Times New Roman" w:hAnsi="Times New Roman" w:eastAsia="Times New Roman"/>
        </w:rPr>
        <w:t>Even where the security fix was judged not exploitable, it was implemented, and the gas cost of doing so was measured rather than assumed. The results support the change:</w:t>
      </w:r>
    </w:p>
    <w:p>
      <w:pPr>
        <w:keepNext/>
        <w:spacing w:after="40" w:before="80"/>
      </w:pPr>
      <w:r>
        <w:rPr>
          <w:b/>
          <w:color w:val="1F4E79"/>
          <w:sz w:val="16"/>
        </w:rPr>
        <w:t>Table 24. Measured effect of the checks-effects-interactions fix.</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3402"/>
            <w:shd w:val="clear" w:color="auto" w:fill="1F4E79"/>
          </w:tcPr>
          <w:p>
            <w:pPr>
              <w:spacing w:after="0" w:line="240" w:lineRule="auto"/>
            </w:pPr>
            <w:r/>
            <w:r>
              <w:rPr>
                <w:b/>
                <w:color w:val="FFFFFF"/>
                <w:sz w:val="14"/>
                <w:rFonts w:ascii="Times New Roman" w:hAnsi="Times New Roman" w:eastAsia="Times New Roman"/>
              </w:rPr>
              <w:t>Metric</w:t>
            </w:r>
          </w:p>
        </w:tc>
        <w:tc>
          <w:tcPr>
            <w:tcW w:type="dxa" w:w="1814"/>
            <w:shd w:val="clear" w:color="auto" w:fill="1F4E79"/>
          </w:tcPr>
          <w:p>
            <w:pPr>
              <w:spacing w:after="0" w:line="240" w:lineRule="auto"/>
            </w:pPr>
            <w:r/>
            <w:r>
              <w:rPr>
                <w:b/>
                <w:color w:val="FFFFFF"/>
                <w:sz w:val="14"/>
                <w:rFonts w:ascii="Times New Roman" w:hAnsi="Times New Roman" w:eastAsia="Times New Roman"/>
              </w:rPr>
              <w:t>Before</w:t>
            </w:r>
          </w:p>
        </w:tc>
        <w:tc>
          <w:tcPr>
            <w:tcW w:type="dxa" w:w="1814"/>
            <w:shd w:val="clear" w:color="auto" w:fill="1F4E79"/>
          </w:tcPr>
          <w:p>
            <w:pPr>
              <w:spacing w:after="0" w:line="240" w:lineRule="auto"/>
            </w:pPr>
            <w:r/>
            <w:r>
              <w:rPr>
                <w:b/>
                <w:color w:val="FFFFFF"/>
                <w:sz w:val="14"/>
                <w:rFonts w:ascii="Times New Roman" w:hAnsi="Times New Roman" w:eastAsia="Times New Roman"/>
              </w:rPr>
              <w:t>After</w:t>
            </w:r>
          </w:p>
        </w:tc>
        <w:tc>
          <w:tcPr>
            <w:tcW w:type="dxa" w:w="1757"/>
            <w:shd w:val="clear" w:color="auto" w:fill="1F4E79"/>
          </w:tcPr>
          <w:p>
            <w:pPr>
              <w:spacing w:after="0" w:line="240" w:lineRule="auto"/>
            </w:pPr>
            <w:r/>
            <w:r>
              <w:rPr>
                <w:b/>
                <w:color w:val="FFFFFF"/>
                <w:sz w:val="14"/>
                <w:rFonts w:ascii="Times New Roman" w:hAnsi="Times New Roman" w:eastAsia="Times New Roman"/>
              </w:rPr>
              <w:t>Change</w:t>
            </w:r>
          </w:p>
        </w:tc>
      </w:tr>
      <w:tr>
        <w:tc>
          <w:tcPr>
            <w:tcW w:type="dxa" w:w="3402"/>
          </w:tcPr>
          <w:p>
            <w:pPr>
              <w:spacing w:after="0" w:before="0" w:line="240" w:lineRule="auto"/>
            </w:pPr>
            <w:r>
              <w:rPr>
                <w:sz w:val="14"/>
              </w:rPr>
            </w:r>
            <w:r>
              <w:rPr>
                <w:rFonts w:ascii="Times New Roman" w:hAnsi="Times New Roman" w:eastAsia="Times New Roman"/>
                <w:sz w:val="14"/>
              </w:rPr>
              <w:t>LoanManager.repay average gas</w:t>
            </w:r>
          </w:p>
        </w:tc>
        <w:tc>
          <w:tcPr>
            <w:tcW w:type="dxa" w:w="1814"/>
          </w:tcPr>
          <w:p>
            <w:pPr>
              <w:spacing w:after="0" w:before="0" w:line="240" w:lineRule="auto"/>
            </w:pPr>
            <w:r>
              <w:rPr>
                <w:sz w:val="14"/>
              </w:rPr>
            </w:r>
            <w:r>
              <w:rPr>
                <w:rFonts w:ascii="Times New Roman" w:hAnsi="Times New Roman" w:eastAsia="Times New Roman"/>
                <w:sz w:val="14"/>
              </w:rPr>
              <w:t>228,899</w:t>
            </w:r>
          </w:p>
        </w:tc>
        <w:tc>
          <w:tcPr>
            <w:tcW w:type="dxa" w:w="1814"/>
          </w:tcPr>
          <w:p>
            <w:pPr>
              <w:spacing w:after="0" w:before="0" w:line="240" w:lineRule="auto"/>
            </w:pPr>
            <w:r>
              <w:rPr>
                <w:sz w:val="14"/>
              </w:rPr>
            </w:r>
            <w:r>
              <w:rPr>
                <w:rFonts w:ascii="Times New Roman" w:hAnsi="Times New Roman" w:eastAsia="Times New Roman"/>
                <w:sz w:val="14"/>
              </w:rPr>
              <w:t>228,740</w:t>
            </w:r>
          </w:p>
        </w:tc>
        <w:tc>
          <w:tcPr>
            <w:tcW w:type="dxa" w:w="1757"/>
          </w:tcPr>
          <w:p>
            <w:pPr>
              <w:spacing w:after="0" w:before="0" w:line="240" w:lineRule="auto"/>
            </w:pPr>
            <w:r>
              <w:rPr>
                <w:sz w:val="14"/>
              </w:rPr>
            </w:r>
            <w:r>
              <w:rPr>
                <w:rFonts w:ascii="Times New Roman" w:hAnsi="Times New Roman" w:eastAsia="Times New Roman"/>
                <w:sz w:val="14"/>
              </w:rPr>
              <w:t>down 159</w:t>
            </w:r>
          </w:p>
        </w:tc>
      </w:tr>
      <w:tr>
        <w:tc>
          <w:tcPr>
            <w:tcW w:type="dxa" w:w="3402"/>
          </w:tcPr>
          <w:p>
            <w:pPr>
              <w:spacing w:after="0" w:before="0" w:line="240" w:lineRule="auto"/>
            </w:pPr>
            <w:r>
              <w:rPr>
                <w:sz w:val="14"/>
              </w:rPr>
            </w:r>
            <w:r>
              <w:rPr>
                <w:rFonts w:ascii="Times New Roman" w:hAnsi="Times New Roman" w:eastAsia="Times New Roman"/>
                <w:sz w:val="14"/>
              </w:rPr>
              <w:t>LoanManager.repay maximum gas</w:t>
            </w:r>
          </w:p>
        </w:tc>
        <w:tc>
          <w:tcPr>
            <w:tcW w:type="dxa" w:w="1814"/>
          </w:tcPr>
          <w:p>
            <w:pPr>
              <w:spacing w:after="0" w:before="0" w:line="240" w:lineRule="auto"/>
            </w:pPr>
            <w:r>
              <w:rPr>
                <w:sz w:val="14"/>
              </w:rPr>
            </w:r>
            <w:r>
              <w:rPr>
                <w:rFonts w:ascii="Times New Roman" w:hAnsi="Times New Roman" w:eastAsia="Times New Roman"/>
                <w:sz w:val="14"/>
              </w:rPr>
              <w:t>283,963</w:t>
            </w:r>
          </w:p>
        </w:tc>
        <w:tc>
          <w:tcPr>
            <w:tcW w:type="dxa" w:w="1814"/>
          </w:tcPr>
          <w:p>
            <w:pPr>
              <w:spacing w:after="0" w:before="0" w:line="240" w:lineRule="auto"/>
            </w:pPr>
            <w:r>
              <w:rPr>
                <w:sz w:val="14"/>
              </w:rPr>
            </w:r>
            <w:r>
              <w:rPr>
                <w:rFonts w:ascii="Times New Roman" w:hAnsi="Times New Roman" w:eastAsia="Times New Roman"/>
                <w:sz w:val="14"/>
              </w:rPr>
              <w:t>283,705</w:t>
            </w:r>
          </w:p>
        </w:tc>
        <w:tc>
          <w:tcPr>
            <w:tcW w:type="dxa" w:w="1757"/>
          </w:tcPr>
          <w:p>
            <w:pPr>
              <w:spacing w:after="0" w:before="0" w:line="240" w:lineRule="auto"/>
            </w:pPr>
            <w:r>
              <w:rPr>
                <w:sz w:val="14"/>
              </w:rPr>
            </w:r>
            <w:r>
              <w:rPr>
                <w:rFonts w:ascii="Times New Roman" w:hAnsi="Times New Roman" w:eastAsia="Times New Roman"/>
                <w:sz w:val="14"/>
              </w:rPr>
              <w:t>down 258</w:t>
            </w:r>
          </w:p>
        </w:tc>
      </w:tr>
      <w:tr>
        <w:tc>
          <w:tcPr>
            <w:tcW w:type="dxa" w:w="3402"/>
          </w:tcPr>
          <w:p>
            <w:pPr>
              <w:spacing w:after="0" w:before="0" w:line="240" w:lineRule="auto"/>
            </w:pPr>
            <w:r>
              <w:rPr>
                <w:sz w:val="14"/>
              </w:rPr>
            </w:r>
            <w:r>
              <w:rPr>
                <w:rFonts w:ascii="Times New Roman" w:hAnsi="Times New Roman" w:eastAsia="Times New Roman"/>
                <w:sz w:val="14"/>
              </w:rPr>
              <w:t>LoanManager.markDefault maximum gas</w:t>
            </w:r>
          </w:p>
        </w:tc>
        <w:tc>
          <w:tcPr>
            <w:tcW w:type="dxa" w:w="1814"/>
          </w:tcPr>
          <w:p>
            <w:pPr>
              <w:spacing w:after="0" w:before="0" w:line="240" w:lineRule="auto"/>
            </w:pPr>
            <w:r>
              <w:rPr>
                <w:sz w:val="14"/>
              </w:rPr>
            </w:r>
            <w:r>
              <w:rPr>
                <w:rFonts w:ascii="Times New Roman" w:hAnsi="Times New Roman" w:eastAsia="Times New Roman"/>
                <w:sz w:val="14"/>
              </w:rPr>
              <w:t>297,053</w:t>
            </w:r>
          </w:p>
        </w:tc>
        <w:tc>
          <w:tcPr>
            <w:tcW w:type="dxa" w:w="1814"/>
          </w:tcPr>
          <w:p>
            <w:pPr>
              <w:spacing w:after="0" w:before="0" w:line="240" w:lineRule="auto"/>
            </w:pPr>
            <w:r>
              <w:rPr>
                <w:sz w:val="14"/>
              </w:rPr>
            </w:r>
            <w:r>
              <w:rPr>
                <w:rFonts w:ascii="Times New Roman" w:hAnsi="Times New Roman" w:eastAsia="Times New Roman"/>
                <w:sz w:val="14"/>
              </w:rPr>
              <w:t>297,041</w:t>
            </w:r>
          </w:p>
        </w:tc>
        <w:tc>
          <w:tcPr>
            <w:tcW w:type="dxa" w:w="1757"/>
          </w:tcPr>
          <w:p>
            <w:pPr>
              <w:spacing w:after="0" w:before="0" w:line="240" w:lineRule="auto"/>
            </w:pPr>
            <w:r>
              <w:rPr>
                <w:sz w:val="14"/>
              </w:rPr>
            </w:r>
            <w:r>
              <w:rPr>
                <w:rFonts w:ascii="Times New Roman" w:hAnsi="Times New Roman" w:eastAsia="Times New Roman"/>
                <w:sz w:val="14"/>
              </w:rPr>
              <w:t>down 12</w:t>
            </w:r>
          </w:p>
        </w:tc>
      </w:tr>
      <w:tr>
        <w:tc>
          <w:tcPr>
            <w:tcW w:type="dxa" w:w="3402"/>
          </w:tcPr>
          <w:p>
            <w:pPr>
              <w:spacing w:after="0" w:before="0" w:line="240" w:lineRule="auto"/>
            </w:pPr>
            <w:r>
              <w:rPr>
                <w:sz w:val="14"/>
              </w:rPr>
            </w:r>
            <w:r>
              <w:rPr>
                <w:rFonts w:ascii="Times New Roman" w:hAnsi="Times New Roman" w:eastAsia="Times New Roman"/>
                <w:sz w:val="14"/>
              </w:rPr>
              <w:t>LoanManager deployment gas</w:t>
            </w:r>
          </w:p>
        </w:tc>
        <w:tc>
          <w:tcPr>
            <w:tcW w:type="dxa" w:w="1814"/>
          </w:tcPr>
          <w:p>
            <w:pPr>
              <w:spacing w:after="0" w:before="0" w:line="240" w:lineRule="auto"/>
            </w:pPr>
            <w:r>
              <w:rPr>
                <w:sz w:val="14"/>
              </w:rPr>
            </w:r>
            <w:r>
              <w:rPr>
                <w:rFonts w:ascii="Times New Roman" w:hAnsi="Times New Roman" w:eastAsia="Times New Roman"/>
                <w:sz w:val="14"/>
              </w:rPr>
              <w:t>2,240,934</w:t>
            </w:r>
          </w:p>
        </w:tc>
        <w:tc>
          <w:tcPr>
            <w:tcW w:type="dxa" w:w="1814"/>
          </w:tcPr>
          <w:p>
            <w:pPr>
              <w:spacing w:after="0" w:before="0" w:line="240" w:lineRule="auto"/>
            </w:pPr>
            <w:r>
              <w:rPr>
                <w:sz w:val="14"/>
              </w:rPr>
            </w:r>
            <w:r>
              <w:rPr>
                <w:rFonts w:ascii="Times New Roman" w:hAnsi="Times New Roman" w:eastAsia="Times New Roman"/>
                <w:sz w:val="14"/>
              </w:rPr>
              <w:t>2,249,123</w:t>
            </w:r>
          </w:p>
        </w:tc>
        <w:tc>
          <w:tcPr>
            <w:tcW w:type="dxa" w:w="1757"/>
          </w:tcPr>
          <w:p>
            <w:pPr>
              <w:spacing w:after="0" w:before="0" w:line="240" w:lineRule="auto"/>
            </w:pPr>
            <w:r>
              <w:rPr>
                <w:sz w:val="14"/>
              </w:rPr>
            </w:r>
            <w:r>
              <w:rPr>
                <w:rFonts w:ascii="Times New Roman" w:hAnsi="Times New Roman" w:eastAsia="Times New Roman"/>
                <w:sz w:val="14"/>
              </w:rPr>
              <w:t>up 8,189, or 0.4%</w:t>
            </w:r>
          </w:p>
        </w:tc>
      </w:tr>
    </w:tbl>
    <w:p>
      <w:pPr>
        <w:spacing w:after="0" w:before="0"/>
      </w:pPr>
    </w:p>
    <w:p>
      <w:r>
        <w:rPr>
          <w:rFonts w:ascii="Times New Roman" w:hAnsi="Times New Roman" w:eastAsia="Times New Roman"/>
        </w:rPr>
        <w:t xml:space="preserve">The safer ordering cost nothing on the hot path and only slightly enlarged the deployed bytecode, by one extra internal function. The optimisations already present in the code are: custom errors instead of revert strings; a packed loan struct, where borrower, status, tier, APR, term and a flag share slots and the timestamps are 64-bit; immutable contract references read from bytecode rather than storage; only purpose and reason </w:t>
      </w:r>
      <w:r>
        <w:rPr>
          <w:i/>
          <w:rFonts w:ascii="Times New Roman" w:hAnsi="Times New Roman" w:eastAsia="Times New Roman"/>
        </w:rPr>
        <w:t>hashes</w:t>
      </w:r>
      <w:r>
        <w:rPr>
          <w:rFonts w:ascii="Times New Roman" w:hAnsi="Times New Roman" w:eastAsia="Times New Roman"/>
        </w:rPr>
        <w:t xml:space="preserve"> stored on-chain; and event-carried data so that no on-chain enumeration is needed. Remaining ideas the team has not yet measured include tuning the optimiser run count and removing the redundant closed-at write.</w:t>
      </w:r>
    </w:p>
    <w:p>
      <w:pPr>
        <w:pStyle w:val="Heading2"/>
      </w:pPr>
      <w:r>
        <w:t>9.5 Defect log</w:t>
      </w:r>
    </w:p>
    <w:p>
      <w:pPr>
        <w:keepNext/>
        <w:spacing w:after="40" w:before="80"/>
      </w:pPr>
      <w:r>
        <w:rPr>
          <w:b/>
          <w:color w:val="1F4E79"/>
          <w:sz w:val="16"/>
        </w:rPr>
        <w:t>Table 25. Defects raised by the independent test pass. In every case the contract or the backend behaved correctly; the defect is what the user sees. No defect affecting fund safety, on-chain access control or backend data isolation was found.</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848"/>
            <w:shd w:val="clear" w:color="auto" w:fill="1F4E79"/>
          </w:tcPr>
          <w:p>
            <w:pPr>
              <w:spacing w:after="0" w:line="240" w:lineRule="auto"/>
            </w:pPr>
            <w:r/>
            <w:r>
              <w:rPr>
                <w:b/>
                <w:color w:val="FFFFFF"/>
                <w:sz w:val="14"/>
                <w:rFonts w:ascii="Times New Roman" w:hAnsi="Times New Roman" w:eastAsia="Times New Roman"/>
              </w:rPr>
              <w:t>ID</w:t>
            </w:r>
          </w:p>
        </w:tc>
        <w:tc>
          <w:tcPr>
            <w:tcW w:type="dxa" w:w="3151"/>
            <w:shd w:val="clear" w:color="auto" w:fill="1F4E79"/>
          </w:tcPr>
          <w:p>
            <w:pPr>
              <w:spacing w:after="0" w:line="240" w:lineRule="auto"/>
            </w:pPr>
            <w:r/>
            <w:r>
              <w:rPr>
                <w:b/>
                <w:color w:val="FFFFFF"/>
                <w:sz w:val="14"/>
                <w:rFonts w:ascii="Times New Roman" w:hAnsi="Times New Roman" w:eastAsia="Times New Roman"/>
              </w:rPr>
              <w:t>Title</w:t>
            </w:r>
          </w:p>
        </w:tc>
        <w:tc>
          <w:tcPr>
            <w:tcW w:type="dxa" w:w="1939"/>
            <w:shd w:val="clear" w:color="auto" w:fill="1F4E79"/>
          </w:tcPr>
          <w:p>
            <w:pPr>
              <w:spacing w:after="0" w:line="240" w:lineRule="auto"/>
            </w:pPr>
            <w:r/>
            <w:r>
              <w:rPr>
                <w:b/>
                <w:color w:val="FFFFFF"/>
                <w:sz w:val="14"/>
                <w:rFonts w:ascii="Times New Roman" w:hAnsi="Times New Roman" w:eastAsia="Times New Roman"/>
              </w:rPr>
              <w:t>Component</w:t>
            </w:r>
          </w:p>
        </w:tc>
        <w:tc>
          <w:tcPr>
            <w:tcW w:type="dxa" w:w="1030"/>
            <w:shd w:val="clear" w:color="auto" w:fill="1F4E79"/>
          </w:tcPr>
          <w:p>
            <w:pPr>
              <w:spacing w:after="0" w:line="240" w:lineRule="auto"/>
            </w:pPr>
            <w:r/>
            <w:r>
              <w:rPr>
                <w:b/>
                <w:color w:val="FFFFFF"/>
                <w:sz w:val="14"/>
                <w:rFonts w:ascii="Times New Roman" w:hAnsi="Times New Roman" w:eastAsia="Times New Roman"/>
              </w:rPr>
              <w:t>Severity</w:t>
            </w:r>
          </w:p>
        </w:tc>
        <w:tc>
          <w:tcPr>
            <w:tcW w:type="dxa" w:w="909"/>
            <w:shd w:val="clear" w:color="auto" w:fill="1F4E79"/>
          </w:tcPr>
          <w:p>
            <w:pPr>
              <w:spacing w:after="0" w:line="240" w:lineRule="auto"/>
            </w:pPr>
            <w:r/>
            <w:r>
              <w:rPr>
                <w:b/>
                <w:color w:val="FFFFFF"/>
                <w:sz w:val="14"/>
                <w:rFonts w:ascii="Times New Roman" w:hAnsi="Times New Roman" w:eastAsia="Times New Roman"/>
              </w:rPr>
              <w:t>Priority</w:t>
            </w:r>
          </w:p>
        </w:tc>
        <w:tc>
          <w:tcPr>
            <w:tcW w:type="dxa" w:w="909"/>
            <w:shd w:val="clear" w:color="auto" w:fill="1F4E79"/>
          </w:tcPr>
          <w:p>
            <w:pPr>
              <w:spacing w:after="0" w:line="240" w:lineRule="auto"/>
            </w:pPr>
            <w:r/>
            <w:r>
              <w:rPr>
                <w:b/>
                <w:color w:val="FFFFFF"/>
                <w:sz w:val="14"/>
                <w:rFonts w:ascii="Times New Roman" w:hAnsi="Times New Roman" w:eastAsia="Times New Roman"/>
              </w:rPr>
              <w:t>Status</w:t>
            </w:r>
          </w:p>
        </w:tc>
      </w:tr>
      <w:tr>
        <w:tc>
          <w:tcPr>
            <w:tcW w:type="dxa" w:w="848"/>
          </w:tcPr>
          <w:p>
            <w:pPr>
              <w:spacing w:after="0" w:before="0" w:line="240" w:lineRule="auto"/>
            </w:pPr>
            <w:r>
              <w:rPr>
                <w:sz w:val="14"/>
              </w:rPr>
            </w:r>
            <w:r>
              <w:rPr>
                <w:rFonts w:ascii="Times New Roman" w:hAnsi="Times New Roman" w:eastAsia="Times New Roman"/>
                <w:sz w:val="14"/>
              </w:rPr>
              <w:t>BUG-01</w:t>
            </w:r>
          </w:p>
        </w:tc>
        <w:tc>
          <w:tcPr>
            <w:tcW w:type="dxa" w:w="3151"/>
          </w:tcPr>
          <w:p>
            <w:pPr>
              <w:spacing w:after="0" w:before="0" w:line="240" w:lineRule="auto"/>
            </w:pPr>
            <w:r>
              <w:rPr>
                <w:sz w:val="14"/>
              </w:rPr>
            </w:r>
            <w:r>
              <w:rPr>
                <w:rFonts w:ascii="Times New Roman" w:hAnsi="Times New Roman" w:eastAsia="Times New Roman"/>
                <w:sz w:val="14"/>
              </w:rPr>
              <w:t>Staff accounts see all borrowers' loans under "My loans"</w:t>
            </w:r>
          </w:p>
        </w:tc>
        <w:tc>
          <w:tcPr>
            <w:tcW w:type="dxa" w:w="1939"/>
          </w:tcPr>
          <w:p>
            <w:pPr>
              <w:spacing w:after="0" w:before="0" w:line="240" w:lineRule="auto"/>
            </w:pPr>
            <w:r>
              <w:rPr>
                <w:sz w:val="14"/>
              </w:rPr>
            </w:r>
            <w:r>
              <w:rPr>
                <w:rFonts w:ascii="Times New Roman" w:hAnsi="Times New Roman" w:eastAsia="Times New Roman"/>
                <w:sz w:val="14"/>
              </w:rPr>
              <w:t>Frontend, Borrow</w:t>
            </w:r>
          </w:p>
        </w:tc>
        <w:tc>
          <w:tcPr>
            <w:tcW w:type="dxa" w:w="1030"/>
          </w:tcPr>
          <w:p>
            <w:pPr>
              <w:spacing w:after="0" w:before="0" w:line="240" w:lineRule="auto"/>
            </w:pPr>
            <w:r>
              <w:rPr>
                <w:sz w:val="14"/>
              </w:rPr>
            </w:r>
            <w:r>
              <w:rPr>
                <w:rFonts w:ascii="Times New Roman" w:hAnsi="Times New Roman" w:eastAsia="Times New Roman"/>
                <w:sz w:val="14"/>
              </w:rPr>
              <w:t>Low</w:t>
            </w:r>
          </w:p>
        </w:tc>
        <w:tc>
          <w:tcPr>
            <w:tcW w:type="dxa" w:w="909"/>
          </w:tcPr>
          <w:p>
            <w:pPr>
              <w:spacing w:after="0" w:before="0" w:line="240" w:lineRule="auto"/>
            </w:pPr>
            <w:r>
              <w:rPr>
                <w:sz w:val="14"/>
              </w:rPr>
            </w:r>
            <w:r>
              <w:rPr>
                <w:rFonts w:ascii="Times New Roman" w:hAnsi="Times New Roman" w:eastAsia="Times New Roman"/>
                <w:sz w:val="14"/>
              </w:rPr>
              <w:t>Medium</w:t>
            </w:r>
          </w:p>
        </w:tc>
        <w:tc>
          <w:tcPr>
            <w:tcW w:type="dxa" w:w="909"/>
          </w:tcPr>
          <w:p>
            <w:pPr>
              <w:spacing w:after="0" w:before="0" w:line="240" w:lineRule="auto"/>
            </w:pPr>
            <w:r>
              <w:rPr>
                <w:sz w:val="14"/>
              </w:rPr>
            </w:r>
            <w:r>
              <w:rPr>
                <w:rFonts w:ascii="Times New Roman" w:hAnsi="Times New Roman" w:eastAsia="Times New Roman"/>
                <w:sz w:val="14"/>
              </w:rPr>
              <w:t>Open</w:t>
            </w:r>
          </w:p>
        </w:tc>
      </w:tr>
      <w:tr>
        <w:tc>
          <w:tcPr>
            <w:tcW w:type="dxa" w:w="848"/>
          </w:tcPr>
          <w:p>
            <w:pPr>
              <w:spacing w:after="0" w:before="0" w:line="240" w:lineRule="auto"/>
            </w:pPr>
            <w:r>
              <w:rPr>
                <w:sz w:val="14"/>
              </w:rPr>
            </w:r>
            <w:r>
              <w:rPr>
                <w:rFonts w:ascii="Times New Roman" w:hAnsi="Times New Roman" w:eastAsia="Times New Roman"/>
                <w:sz w:val="14"/>
              </w:rPr>
              <w:t>BUG-02</w:t>
            </w:r>
          </w:p>
        </w:tc>
        <w:tc>
          <w:tcPr>
            <w:tcW w:type="dxa" w:w="3151"/>
          </w:tcPr>
          <w:p>
            <w:pPr>
              <w:spacing w:after="0" w:before="0" w:line="240" w:lineRule="auto"/>
            </w:pPr>
            <w:r>
              <w:rPr>
                <w:sz w:val="14"/>
              </w:rPr>
            </w:r>
            <w:r>
              <w:rPr>
                <w:rFonts w:ascii="Times New Roman" w:hAnsi="Times New Roman" w:eastAsia="Times New Roman"/>
                <w:sz w:val="14"/>
              </w:rPr>
              <w:t>A repaid loan still shows collateral as deposited</w:t>
            </w:r>
          </w:p>
        </w:tc>
        <w:tc>
          <w:tcPr>
            <w:tcW w:type="dxa" w:w="1939"/>
          </w:tcPr>
          <w:p>
            <w:pPr>
              <w:spacing w:after="0" w:before="0" w:line="240" w:lineRule="auto"/>
            </w:pPr>
            <w:r>
              <w:rPr>
                <w:sz w:val="14"/>
              </w:rPr>
            </w:r>
            <w:r>
              <w:rPr>
                <w:rFonts w:ascii="Times New Roman" w:hAnsi="Times New Roman" w:eastAsia="Times New Roman"/>
                <w:sz w:val="14"/>
              </w:rPr>
              <w:t>Frontend, Borrow</w:t>
            </w:r>
          </w:p>
        </w:tc>
        <w:tc>
          <w:tcPr>
            <w:tcW w:type="dxa" w:w="1030"/>
          </w:tcPr>
          <w:p>
            <w:pPr>
              <w:spacing w:after="0" w:before="0" w:line="240" w:lineRule="auto"/>
            </w:pPr>
            <w:r>
              <w:rPr>
                <w:sz w:val="14"/>
              </w:rPr>
            </w:r>
            <w:r>
              <w:rPr>
                <w:rFonts w:ascii="Times New Roman" w:hAnsi="Times New Roman" w:eastAsia="Times New Roman"/>
                <w:sz w:val="14"/>
              </w:rPr>
              <w:t>Low</w:t>
            </w:r>
          </w:p>
        </w:tc>
        <w:tc>
          <w:tcPr>
            <w:tcW w:type="dxa" w:w="909"/>
          </w:tcPr>
          <w:p>
            <w:pPr>
              <w:spacing w:after="0" w:before="0" w:line="240" w:lineRule="auto"/>
            </w:pPr>
            <w:r>
              <w:rPr>
                <w:sz w:val="14"/>
              </w:rPr>
            </w:r>
            <w:r>
              <w:rPr>
                <w:rFonts w:ascii="Times New Roman" w:hAnsi="Times New Roman" w:eastAsia="Times New Roman"/>
                <w:sz w:val="14"/>
              </w:rPr>
              <w:t>Low</w:t>
            </w:r>
          </w:p>
        </w:tc>
        <w:tc>
          <w:tcPr>
            <w:tcW w:type="dxa" w:w="909"/>
          </w:tcPr>
          <w:p>
            <w:pPr>
              <w:spacing w:after="0" w:before="0" w:line="240" w:lineRule="auto"/>
            </w:pPr>
            <w:r>
              <w:rPr>
                <w:sz w:val="14"/>
              </w:rPr>
            </w:r>
            <w:r>
              <w:rPr>
                <w:rFonts w:ascii="Times New Roman" w:hAnsi="Times New Roman" w:eastAsia="Times New Roman"/>
                <w:sz w:val="14"/>
              </w:rPr>
              <w:t>Open</w:t>
            </w:r>
          </w:p>
        </w:tc>
      </w:tr>
      <w:tr>
        <w:tc>
          <w:tcPr>
            <w:tcW w:type="dxa" w:w="848"/>
          </w:tcPr>
          <w:p>
            <w:pPr>
              <w:spacing w:after="0" w:before="0" w:line="240" w:lineRule="auto"/>
            </w:pPr>
            <w:r>
              <w:rPr>
                <w:sz w:val="14"/>
              </w:rPr>
            </w:r>
            <w:r>
              <w:rPr>
                <w:rFonts w:ascii="Times New Roman" w:hAnsi="Times New Roman" w:eastAsia="Times New Roman"/>
                <w:sz w:val="14"/>
              </w:rPr>
              <w:t>BUG-03</w:t>
            </w:r>
          </w:p>
        </w:tc>
        <w:tc>
          <w:tcPr>
            <w:tcW w:type="dxa" w:w="3151"/>
          </w:tcPr>
          <w:p>
            <w:pPr>
              <w:spacing w:after="0" w:before="0" w:line="240" w:lineRule="auto"/>
            </w:pPr>
            <w:r>
              <w:rPr>
                <w:sz w:val="14"/>
              </w:rPr>
            </w:r>
            <w:r>
              <w:rPr>
                <w:rFonts w:ascii="Times New Roman" w:hAnsi="Times New Roman" w:eastAsia="Times New Roman"/>
                <w:sz w:val="14"/>
              </w:rPr>
              <w:t>Contract errors shown as "unknown custom error"</w:t>
            </w:r>
          </w:p>
        </w:tc>
        <w:tc>
          <w:tcPr>
            <w:tcW w:type="dxa" w:w="1939"/>
          </w:tcPr>
          <w:p>
            <w:pPr>
              <w:spacing w:after="0" w:before="0" w:line="240" w:lineRule="auto"/>
            </w:pPr>
            <w:r>
              <w:rPr>
                <w:sz w:val="14"/>
              </w:rPr>
            </w:r>
            <w:r>
              <w:rPr>
                <w:rFonts w:ascii="Times New Roman" w:hAnsi="Times New Roman" w:eastAsia="Times New Roman"/>
                <w:sz w:val="14"/>
              </w:rPr>
              <w:t>Frontend, error handling</w:t>
            </w:r>
          </w:p>
        </w:tc>
        <w:tc>
          <w:tcPr>
            <w:tcW w:type="dxa" w:w="1030"/>
          </w:tcPr>
          <w:p>
            <w:pPr>
              <w:spacing w:after="0" w:before="0" w:line="240" w:lineRule="auto"/>
            </w:pPr>
            <w:r>
              <w:rPr>
                <w:sz w:val="14"/>
              </w:rPr>
            </w:r>
            <w:r>
              <w:rPr>
                <w:rFonts w:ascii="Times New Roman" w:hAnsi="Times New Roman" w:eastAsia="Times New Roman"/>
                <w:sz w:val="14"/>
              </w:rPr>
              <w:t>Medium</w:t>
            </w:r>
          </w:p>
        </w:tc>
        <w:tc>
          <w:tcPr>
            <w:tcW w:type="dxa" w:w="909"/>
          </w:tcPr>
          <w:p>
            <w:pPr>
              <w:spacing w:after="0" w:before="0" w:line="240" w:lineRule="auto"/>
            </w:pPr>
            <w:r>
              <w:rPr>
                <w:sz w:val="14"/>
              </w:rPr>
            </w:r>
            <w:r>
              <w:rPr>
                <w:rFonts w:ascii="Times New Roman" w:hAnsi="Times New Roman" w:eastAsia="Times New Roman"/>
                <w:sz w:val="14"/>
              </w:rPr>
              <w:t>High</w:t>
            </w:r>
          </w:p>
        </w:tc>
        <w:tc>
          <w:tcPr>
            <w:tcW w:type="dxa" w:w="909"/>
          </w:tcPr>
          <w:p>
            <w:pPr>
              <w:spacing w:after="0" w:before="0" w:line="240" w:lineRule="auto"/>
            </w:pPr>
            <w:r>
              <w:rPr>
                <w:sz w:val="14"/>
              </w:rPr>
            </w:r>
            <w:r>
              <w:rPr>
                <w:rFonts w:ascii="Times New Roman" w:hAnsi="Times New Roman" w:eastAsia="Times New Roman"/>
                <w:sz w:val="14"/>
              </w:rPr>
              <w:t>Open</w:t>
            </w:r>
          </w:p>
        </w:tc>
      </w:tr>
      <w:tr>
        <w:tc>
          <w:tcPr>
            <w:tcW w:type="dxa" w:w="848"/>
          </w:tcPr>
          <w:p>
            <w:pPr>
              <w:spacing w:after="0" w:before="0" w:line="240" w:lineRule="auto"/>
            </w:pPr>
            <w:r>
              <w:rPr>
                <w:sz w:val="14"/>
              </w:rPr>
            </w:r>
            <w:r>
              <w:rPr>
                <w:rFonts w:ascii="Times New Roman" w:hAnsi="Times New Roman" w:eastAsia="Times New Roman"/>
                <w:sz w:val="14"/>
              </w:rPr>
              <w:t>BUG-04</w:t>
            </w:r>
          </w:p>
        </w:tc>
        <w:tc>
          <w:tcPr>
            <w:tcW w:type="dxa" w:w="3151"/>
          </w:tcPr>
          <w:p>
            <w:pPr>
              <w:spacing w:after="0" w:before="0" w:line="240" w:lineRule="auto"/>
            </w:pPr>
            <w:r>
              <w:rPr>
                <w:sz w:val="14"/>
              </w:rPr>
            </w:r>
            <w:r>
              <w:rPr>
                <w:rFonts w:ascii="Times New Roman" w:hAnsi="Times New Roman" w:eastAsia="Times New Roman"/>
                <w:sz w:val="14"/>
              </w:rPr>
              <w:t>Pause status uses the loan labels "Rejected" and "Active"</w:t>
            </w:r>
          </w:p>
        </w:tc>
        <w:tc>
          <w:tcPr>
            <w:tcW w:type="dxa" w:w="1939"/>
          </w:tcPr>
          <w:p>
            <w:pPr>
              <w:spacing w:after="0" w:before="0" w:line="240" w:lineRule="auto"/>
            </w:pPr>
            <w:r>
              <w:rPr>
                <w:sz w:val="14"/>
              </w:rPr>
            </w:r>
            <w:r>
              <w:rPr>
                <w:rFonts w:ascii="Times New Roman" w:hAnsi="Times New Roman" w:eastAsia="Times New Roman"/>
                <w:sz w:val="14"/>
              </w:rPr>
              <w:t>Frontend, Admin</w:t>
            </w:r>
          </w:p>
        </w:tc>
        <w:tc>
          <w:tcPr>
            <w:tcW w:type="dxa" w:w="1030"/>
          </w:tcPr>
          <w:p>
            <w:pPr>
              <w:spacing w:after="0" w:before="0" w:line="240" w:lineRule="auto"/>
            </w:pPr>
            <w:r>
              <w:rPr>
                <w:sz w:val="14"/>
              </w:rPr>
            </w:r>
            <w:r>
              <w:rPr>
                <w:rFonts w:ascii="Times New Roman" w:hAnsi="Times New Roman" w:eastAsia="Times New Roman"/>
                <w:sz w:val="14"/>
              </w:rPr>
              <w:t>Low</w:t>
            </w:r>
          </w:p>
        </w:tc>
        <w:tc>
          <w:tcPr>
            <w:tcW w:type="dxa" w:w="909"/>
          </w:tcPr>
          <w:p>
            <w:pPr>
              <w:spacing w:after="0" w:before="0" w:line="240" w:lineRule="auto"/>
            </w:pPr>
            <w:r>
              <w:rPr>
                <w:sz w:val="14"/>
              </w:rPr>
            </w:r>
            <w:r>
              <w:rPr>
                <w:rFonts w:ascii="Times New Roman" w:hAnsi="Times New Roman" w:eastAsia="Times New Roman"/>
                <w:sz w:val="14"/>
              </w:rPr>
              <w:t>Low</w:t>
            </w:r>
          </w:p>
        </w:tc>
        <w:tc>
          <w:tcPr>
            <w:tcW w:type="dxa" w:w="909"/>
          </w:tcPr>
          <w:p>
            <w:pPr>
              <w:spacing w:after="0" w:before="0" w:line="240" w:lineRule="auto"/>
            </w:pPr>
            <w:r>
              <w:rPr>
                <w:sz w:val="14"/>
              </w:rPr>
            </w:r>
            <w:r>
              <w:rPr>
                <w:rFonts w:ascii="Times New Roman" w:hAnsi="Times New Roman" w:eastAsia="Times New Roman"/>
                <w:sz w:val="14"/>
              </w:rPr>
              <w:t>Open</w:t>
            </w:r>
          </w:p>
        </w:tc>
      </w:tr>
    </w:tbl>
    <w:p>
      <w:pPr>
        <w:spacing w:after="0" w:before="0"/>
      </w:pPr>
    </w:p>
    <w:p>
      <w:r>
        <w:rPr>
          <w:rFonts w:ascii="Times New Roman" w:hAnsi="Times New Roman" w:eastAsia="Times New Roman"/>
        </w:rPr>
        <w:t>BUG-02 is worth noting as an example of verification working. The card wrongly showed collateral as still deposited after repayment, but the exported event log contained a collateral-released event for the full amount, which proved that funds were returned correctly and isolated the fault to the display layer.</w:t>
      </w:r>
    </w:p>
    <w:p>
      <w:pPr>
        <w:pStyle w:val="Heading2"/>
      </w:pPr>
      <w:r>
        <w:t>9.6 Success indicators</w:t>
      </w:r>
    </w:p>
    <w:p>
      <w:r>
        <w:rPr>
          <w:rFonts w:ascii="Times New Roman" w:hAnsi="Times New Roman" w:eastAsia="Times New Roman"/>
        </w:rPr>
        <w:t>The brief asks for success indicators with a target and a measurement method. The table below gives the target, what was actually measured, and where the measurement comes from. The one row without a measured value is marked accordingly rather than estimated.</w:t>
      </w:r>
    </w:p>
    <w:p>
      <w:pPr>
        <w:keepNext/>
        <w:spacing w:after="40" w:before="80"/>
      </w:pPr>
      <w:r>
        <w:rPr>
          <w:b/>
          <w:color w:val="1F4E79"/>
          <w:sz w:val="16"/>
        </w:rPr>
        <w:t>Table 26. Success indicators, targets and measured values. Processing-time figures drawn from the seeded local dataset are labelled as such and are not field results.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16"/>
            <w:shd w:val="clear" w:color="auto" w:fill="1F4E79"/>
          </w:tcPr>
          <w:p>
            <w:pPr>
              <w:spacing w:after="0" w:line="240" w:lineRule="auto"/>
            </w:pPr>
            <w:r/>
            <w:r>
              <w:rPr>
                <w:b/>
                <w:color w:val="FFFFFF"/>
                <w:sz w:val="14"/>
                <w:rFonts w:ascii="Times New Roman" w:hAnsi="Times New Roman" w:eastAsia="Times New Roman"/>
              </w:rPr>
              <w:t>Indicator</w:t>
            </w:r>
          </w:p>
        </w:tc>
        <w:tc>
          <w:tcPr>
            <w:tcW w:type="dxa" w:w="1690"/>
            <w:shd w:val="clear" w:color="auto" w:fill="1F4E79"/>
          </w:tcPr>
          <w:p>
            <w:pPr>
              <w:spacing w:after="0" w:line="240" w:lineRule="auto"/>
            </w:pPr>
            <w:r/>
            <w:r>
              <w:rPr>
                <w:b/>
                <w:color w:val="FFFFFF"/>
                <w:sz w:val="14"/>
                <w:rFonts w:ascii="Times New Roman" w:hAnsi="Times New Roman" w:eastAsia="Times New Roman"/>
              </w:rPr>
              <w:t>Target</w:t>
            </w:r>
          </w:p>
        </w:tc>
        <w:tc>
          <w:tcPr>
            <w:tcW w:type="dxa" w:w="2591"/>
            <w:shd w:val="clear" w:color="auto" w:fill="1F4E79"/>
          </w:tcPr>
          <w:p>
            <w:pPr>
              <w:spacing w:after="0" w:line="240" w:lineRule="auto"/>
            </w:pPr>
            <w:r/>
            <w:r>
              <w:rPr>
                <w:b/>
                <w:color w:val="FFFFFF"/>
                <w:sz w:val="14"/>
                <w:rFonts w:ascii="Times New Roman" w:hAnsi="Times New Roman" w:eastAsia="Times New Roman"/>
              </w:rPr>
              <w:t>Measured</w:t>
            </w:r>
          </w:p>
        </w:tc>
        <w:tc>
          <w:tcPr>
            <w:tcW w:type="dxa" w:w="1690"/>
            <w:shd w:val="clear" w:color="auto" w:fill="1F4E79"/>
          </w:tcPr>
          <w:p>
            <w:pPr>
              <w:spacing w:after="0" w:line="240" w:lineRule="auto"/>
            </w:pPr>
            <w:r/>
            <w:r>
              <w:rPr>
                <w:b/>
                <w:color w:val="FFFFFF"/>
                <w:sz w:val="14"/>
                <w:rFonts w:ascii="Times New Roman" w:hAnsi="Times New Roman" w:eastAsia="Times New Roman"/>
              </w:rPr>
              <w:t>Source</w:t>
            </w:r>
          </w:p>
        </w:tc>
      </w:tr>
      <w:tr>
        <w:tc>
          <w:tcPr>
            <w:tcW w:type="dxa" w:w="2816"/>
          </w:tcPr>
          <w:p>
            <w:pPr>
              <w:spacing w:after="0" w:before="0" w:line="240" w:lineRule="auto"/>
            </w:pPr>
            <w:r>
              <w:rPr>
                <w:sz w:val="14"/>
              </w:rPr>
            </w:r>
            <w:r>
              <w:rPr>
                <w:rFonts w:ascii="Times New Roman" w:hAnsi="Times New Roman" w:eastAsia="Times New Roman"/>
                <w:sz w:val="14"/>
              </w:rPr>
              <w:t>Public demo reachable</w:t>
            </w:r>
          </w:p>
        </w:tc>
        <w:tc>
          <w:tcPr>
            <w:tcW w:type="dxa" w:w="1690"/>
          </w:tcPr>
          <w:p>
            <w:pPr>
              <w:spacing w:after="0" w:before="0" w:line="240" w:lineRule="auto"/>
            </w:pPr>
            <w:r>
              <w:rPr>
                <w:sz w:val="14"/>
              </w:rPr>
            </w:r>
            <w:r>
              <w:rPr>
                <w:rFonts w:ascii="Times New Roman" w:hAnsi="Times New Roman" w:eastAsia="Times New Roman"/>
                <w:sz w:val="14"/>
              </w:rPr>
              <w:t>No local install required</w:t>
            </w:r>
          </w:p>
        </w:tc>
        <w:tc>
          <w:tcPr>
            <w:tcW w:type="dxa" w:w="2591"/>
          </w:tcPr>
          <w:p>
            <w:pPr>
              <w:spacing w:after="0" w:before="0" w:line="240" w:lineRule="auto"/>
            </w:pPr>
            <w:r>
              <w:rPr>
                <w:sz w:val="14"/>
              </w:rPr>
            </w:r>
            <w:r>
              <w:rPr>
                <w:rFonts w:ascii="Times New Roman" w:hAnsi="Times New Roman" w:eastAsia="Times New Roman"/>
                <w:sz w:val="14"/>
              </w:rPr>
              <w:t>Live; 60 to 90 s to wake</w:t>
            </w:r>
          </w:p>
        </w:tc>
        <w:tc>
          <w:tcPr>
            <w:tcW w:type="dxa" w:w="1690"/>
          </w:tcPr>
          <w:p>
            <w:pPr>
              <w:spacing w:after="0" w:before="0" w:line="240" w:lineRule="auto"/>
            </w:pPr>
            <w:r>
              <w:rPr>
                <w:sz w:val="14"/>
              </w:rPr>
            </w:r>
            <w:r>
              <w:rPr>
                <w:rFonts w:ascii="Times New Roman" w:hAnsi="Times New Roman" w:eastAsia="Times New Roman"/>
                <w:sz w:val="14"/>
              </w:rPr>
              <w:t>Live URLs, Section 10</w:t>
            </w:r>
          </w:p>
        </w:tc>
      </w:tr>
      <w:tr>
        <w:tc>
          <w:tcPr>
            <w:tcW w:type="dxa" w:w="2816"/>
          </w:tcPr>
          <w:p>
            <w:pPr>
              <w:spacing w:after="0" w:before="0" w:line="240" w:lineRule="auto"/>
            </w:pPr>
            <w:r>
              <w:rPr>
                <w:sz w:val="14"/>
              </w:rPr>
            </w:r>
            <w:r>
              <w:rPr>
                <w:rFonts w:ascii="Times New Roman" w:hAnsi="Times New Roman" w:eastAsia="Times New Roman"/>
                <w:sz w:val="14"/>
              </w:rPr>
              <w:t>Indexer lag</w:t>
            </w:r>
          </w:p>
        </w:tc>
        <w:tc>
          <w:tcPr>
            <w:tcW w:type="dxa" w:w="1690"/>
          </w:tcPr>
          <w:p>
            <w:pPr>
              <w:spacing w:after="0" w:before="0" w:line="240" w:lineRule="auto"/>
            </w:pPr>
            <w:r>
              <w:rPr>
                <w:sz w:val="14"/>
              </w:rPr>
            </w:r>
            <w:r>
              <w:rPr>
                <w:rFonts w:ascii="Times New Roman" w:hAnsi="Times New Roman" w:eastAsia="Times New Roman"/>
                <w:sz w:val="14"/>
              </w:rPr>
              <w:t>Under 30 seconds</w:t>
            </w:r>
          </w:p>
        </w:tc>
        <w:tc>
          <w:tcPr>
            <w:tcW w:type="dxa" w:w="2591"/>
          </w:tcPr>
          <w:p>
            <w:pPr>
              <w:spacing w:after="0" w:before="0" w:line="240" w:lineRule="auto"/>
            </w:pPr>
            <w:r>
              <w:rPr>
                <w:sz w:val="14"/>
              </w:rPr>
            </w:r>
            <w:r>
              <w:rPr>
                <w:rFonts w:ascii="Times New Roman" w:hAnsi="Times New Roman" w:eastAsia="Times New Roman"/>
                <w:sz w:val="14"/>
              </w:rPr>
              <w:t>2 blocks, about 24 s</w:t>
            </w:r>
          </w:p>
        </w:tc>
        <w:tc>
          <w:tcPr>
            <w:tcW w:type="dxa" w:w="1690"/>
          </w:tcPr>
          <w:p>
            <w:pPr>
              <w:spacing w:after="0" w:before="0" w:line="240" w:lineRule="auto"/>
            </w:pPr>
            <w:r>
              <w:rPr>
                <w:sz w:val="14"/>
              </w:rPr>
            </w:r>
            <w:r>
              <w:rPr>
                <w:rFonts w:ascii="Times New Roman" w:hAnsi="Times New Roman" w:eastAsia="Times New Roman"/>
                <w:sz w:val="14"/>
              </w:rPr>
              <w:t>Health endpoint</w:t>
            </w:r>
          </w:p>
        </w:tc>
      </w:tr>
      <w:tr>
        <w:tc>
          <w:tcPr>
            <w:tcW w:type="dxa" w:w="2816"/>
          </w:tcPr>
          <w:p>
            <w:pPr>
              <w:spacing w:after="0" w:before="0" w:line="240" w:lineRule="auto"/>
            </w:pPr>
            <w:r>
              <w:rPr>
                <w:sz w:val="14"/>
              </w:rPr>
            </w:r>
            <w:r>
              <w:rPr>
                <w:rFonts w:ascii="Times New Roman" w:hAnsi="Times New Roman" w:eastAsia="Times New Roman"/>
                <w:sz w:val="14"/>
              </w:rPr>
              <w:t>Raw questionnaire data on-chain</w:t>
            </w:r>
          </w:p>
        </w:tc>
        <w:tc>
          <w:tcPr>
            <w:tcW w:type="dxa" w:w="1690"/>
          </w:tcPr>
          <w:p>
            <w:pPr>
              <w:spacing w:after="0" w:before="0" w:line="240" w:lineRule="auto"/>
            </w:pPr>
            <w:r>
              <w:rPr>
                <w:sz w:val="14"/>
              </w:rPr>
            </w:r>
            <w:r>
              <w:rPr>
                <w:rFonts w:ascii="Times New Roman" w:hAnsi="Times New Roman" w:eastAsia="Times New Roman"/>
                <w:sz w:val="14"/>
              </w:rPr>
              <w:t>None</w:t>
            </w:r>
          </w:p>
        </w:tc>
        <w:tc>
          <w:tcPr>
            <w:tcW w:type="dxa" w:w="2591"/>
          </w:tcPr>
          <w:p>
            <w:pPr>
              <w:spacing w:after="0" w:before="0" w:line="240" w:lineRule="auto"/>
            </w:pPr>
            <w:r>
              <w:rPr>
                <w:sz w:val="14"/>
              </w:rPr>
            </w:r>
            <w:r>
              <w:rPr>
                <w:rFonts w:ascii="Times New Roman" w:hAnsi="Times New Roman" w:eastAsia="Times New Roman"/>
                <w:sz w:val="14"/>
              </w:rPr>
              <w:t>Only score, expiry and model hash</w:t>
            </w:r>
          </w:p>
        </w:tc>
        <w:tc>
          <w:tcPr>
            <w:tcW w:type="dxa" w:w="1690"/>
          </w:tcPr>
          <w:p>
            <w:pPr>
              <w:spacing w:after="0" w:before="0" w:line="240" w:lineRule="auto"/>
            </w:pPr>
            <w:r>
              <w:rPr>
                <w:sz w:val="14"/>
              </w:rPr>
            </w:r>
            <w:r>
              <w:rPr>
                <w:rFonts w:ascii="Times New Roman" w:hAnsi="Times New Roman" w:eastAsia="Times New Roman"/>
                <w:sz w:val="14"/>
              </w:rPr>
              <w:t>Design and contract tests</w:t>
            </w:r>
          </w:p>
        </w:tc>
      </w:tr>
      <w:tr>
        <w:tc>
          <w:tcPr>
            <w:tcW w:type="dxa" w:w="2816"/>
          </w:tcPr>
          <w:p>
            <w:pPr>
              <w:spacing w:after="0" w:before="0" w:line="240" w:lineRule="auto"/>
            </w:pPr>
            <w:r>
              <w:rPr>
                <w:sz w:val="14"/>
              </w:rPr>
            </w:r>
            <w:r>
              <w:rPr>
                <w:rFonts w:ascii="Times New Roman" w:hAnsi="Times New Roman" w:eastAsia="Times New Roman"/>
                <w:sz w:val="14"/>
              </w:rPr>
              <w:t>State changes traceable to a transaction</w:t>
            </w:r>
          </w:p>
        </w:tc>
        <w:tc>
          <w:tcPr>
            <w:tcW w:type="dxa" w:w="1690"/>
          </w:tcPr>
          <w:p>
            <w:pPr>
              <w:spacing w:after="0" w:before="0" w:line="240" w:lineRule="auto"/>
            </w:pPr>
            <w:r>
              <w:rPr>
                <w:sz w:val="14"/>
              </w:rPr>
            </w:r>
            <w:r>
              <w:rPr>
                <w:rFonts w:ascii="Times New Roman" w:hAnsi="Times New Roman" w:eastAsia="Times New Roman"/>
                <w:sz w:val="14"/>
              </w:rPr>
              <w:t>100%</w:t>
            </w:r>
          </w:p>
        </w:tc>
        <w:tc>
          <w:tcPr>
            <w:tcW w:type="dxa" w:w="2591"/>
          </w:tcPr>
          <w:p>
            <w:pPr>
              <w:spacing w:after="0" w:before="0" w:line="240" w:lineRule="auto"/>
            </w:pPr>
            <w:r>
              <w:rPr>
                <w:sz w:val="14"/>
              </w:rPr>
            </w:r>
            <w:r>
              <w:rPr>
                <w:rFonts w:ascii="Times New Roman" w:hAnsi="Times New Roman" w:eastAsia="Times New Roman"/>
                <w:sz w:val="14"/>
              </w:rPr>
              <w:t>100%</w:t>
            </w:r>
          </w:p>
        </w:tc>
        <w:tc>
          <w:tcPr>
            <w:tcW w:type="dxa" w:w="1690"/>
          </w:tcPr>
          <w:p>
            <w:pPr>
              <w:spacing w:after="0" w:before="0" w:line="240" w:lineRule="auto"/>
            </w:pPr>
            <w:r>
              <w:rPr>
                <w:sz w:val="14"/>
              </w:rPr>
            </w:r>
            <w:r>
              <w:rPr>
                <w:rFonts w:ascii="Times New Roman" w:hAnsi="Times New Roman" w:eastAsia="Times New Roman"/>
                <w:sz w:val="14"/>
              </w:rPr>
              <w:t>Every write emits an event</w:t>
            </w:r>
          </w:p>
        </w:tc>
      </w:tr>
      <w:tr>
        <w:tc>
          <w:tcPr>
            <w:tcW w:type="dxa" w:w="2816"/>
          </w:tcPr>
          <w:p>
            <w:pPr>
              <w:spacing w:after="0" w:before="0" w:line="240" w:lineRule="auto"/>
            </w:pPr>
            <w:r>
              <w:rPr>
                <w:sz w:val="14"/>
              </w:rPr>
            </w:r>
            <w:r>
              <w:rPr>
                <w:rFonts w:ascii="Times New Roman" w:hAnsi="Times New Roman" w:eastAsia="Times New Roman"/>
                <w:sz w:val="14"/>
              </w:rPr>
              <w:t>Cost per operation</w:t>
            </w:r>
          </w:p>
        </w:tc>
        <w:tc>
          <w:tcPr>
            <w:tcW w:type="dxa" w:w="1690"/>
          </w:tcPr>
          <w:p>
            <w:pPr>
              <w:spacing w:after="0" w:before="0" w:line="240" w:lineRule="auto"/>
            </w:pPr>
            <w:r>
              <w:rPr>
                <w:sz w:val="14"/>
              </w:rPr>
            </w:r>
            <w:r>
              <w:rPr>
                <w:rFonts w:ascii="Times New Roman" w:hAnsi="Times New Roman" w:eastAsia="Times New Roman"/>
                <w:sz w:val="14"/>
              </w:rPr>
              <w:t>Under 0.5 million gas</w:t>
            </w:r>
          </w:p>
        </w:tc>
        <w:tc>
          <w:tcPr>
            <w:tcW w:type="dxa" w:w="2591"/>
          </w:tcPr>
          <w:p>
            <w:pPr>
              <w:spacing w:after="0" w:before="0" w:line="240" w:lineRule="auto"/>
            </w:pPr>
            <w:r>
              <w:rPr>
                <w:sz w:val="14"/>
              </w:rPr>
            </w:r>
            <w:r>
              <w:rPr>
                <w:rFonts w:ascii="Times New Roman" w:hAnsi="Times New Roman" w:eastAsia="Times New Roman"/>
                <w:sz w:val="14"/>
              </w:rPr>
              <w:t>0.10 to 0.24 million gas</w:t>
            </w:r>
          </w:p>
        </w:tc>
        <w:tc>
          <w:tcPr>
            <w:tcW w:type="dxa" w:w="1690"/>
          </w:tcPr>
          <w:p>
            <w:pPr>
              <w:spacing w:after="0" w:before="0" w:line="240" w:lineRule="auto"/>
            </w:pPr>
            <w:r>
              <w:rPr>
                <w:sz w:val="14"/>
              </w:rPr>
            </w:r>
            <w:r>
              <w:rPr>
                <w:rFonts w:ascii="Times New Roman" w:hAnsi="Times New Roman" w:eastAsia="Times New Roman"/>
                <w:sz w:val="14"/>
              </w:rPr>
              <w:t>Table 16</w:t>
            </w:r>
          </w:p>
        </w:tc>
      </w:tr>
      <w:tr>
        <w:tc>
          <w:tcPr>
            <w:tcW w:type="dxa" w:w="2816"/>
          </w:tcPr>
          <w:p>
            <w:pPr>
              <w:spacing w:after="0" w:before="0" w:line="240" w:lineRule="auto"/>
            </w:pPr>
            <w:r>
              <w:rPr>
                <w:sz w:val="14"/>
              </w:rPr>
            </w:r>
            <w:r>
              <w:rPr>
                <w:rFonts w:ascii="Times New Roman" w:hAnsi="Times New Roman" w:eastAsia="Times New Roman"/>
                <w:sz w:val="14"/>
              </w:rPr>
              <w:t>Automated tests passing</w:t>
            </w:r>
          </w:p>
        </w:tc>
        <w:tc>
          <w:tcPr>
            <w:tcW w:type="dxa" w:w="1690"/>
          </w:tcPr>
          <w:p>
            <w:pPr>
              <w:spacing w:after="0" w:before="0" w:line="240" w:lineRule="auto"/>
            </w:pPr>
            <w:r>
              <w:rPr>
                <w:sz w:val="14"/>
              </w:rPr>
            </w:r>
            <w:r>
              <w:rPr>
                <w:rFonts w:ascii="Times New Roman" w:hAnsi="Times New Roman" w:eastAsia="Times New Roman"/>
                <w:sz w:val="14"/>
              </w:rPr>
              <w:t>100%</w:t>
            </w:r>
          </w:p>
        </w:tc>
        <w:tc>
          <w:tcPr>
            <w:tcW w:type="dxa" w:w="2591"/>
          </w:tcPr>
          <w:p>
            <w:pPr>
              <w:spacing w:after="0" w:before="0" w:line="240" w:lineRule="auto"/>
            </w:pPr>
            <w:r>
              <w:rPr>
                <w:sz w:val="14"/>
              </w:rPr>
            </w:r>
            <w:r>
              <w:rPr>
                <w:rFonts w:ascii="Times New Roman" w:hAnsi="Times New Roman" w:eastAsia="Times New Roman"/>
                <w:sz w:val="14"/>
              </w:rPr>
              <w:t>83 of 83</w:t>
            </w:r>
          </w:p>
        </w:tc>
        <w:tc>
          <w:tcPr>
            <w:tcW w:type="dxa" w:w="1690"/>
          </w:tcPr>
          <w:p>
            <w:pPr>
              <w:spacing w:after="0" w:before="0" w:line="240" w:lineRule="auto"/>
            </w:pPr>
            <w:r>
              <w:rPr>
                <w:sz w:val="14"/>
              </w:rPr>
            </w:r>
            <w:r>
              <w:rPr>
                <w:rFonts w:ascii="Times New Roman" w:hAnsi="Times New Roman" w:eastAsia="Times New Roman"/>
                <w:sz w:val="14"/>
              </w:rPr>
              <w:t>Table 21</w:t>
            </w:r>
          </w:p>
        </w:tc>
      </w:tr>
      <w:tr>
        <w:tc>
          <w:tcPr>
            <w:tcW w:type="dxa" w:w="2816"/>
          </w:tcPr>
          <w:p>
            <w:pPr>
              <w:spacing w:after="0" w:before="0" w:line="240" w:lineRule="auto"/>
            </w:pPr>
            <w:r>
              <w:rPr>
                <w:sz w:val="14"/>
              </w:rPr>
            </w:r>
            <w:r>
              <w:rPr>
                <w:rFonts w:ascii="Times New Roman" w:hAnsi="Times New Roman" w:eastAsia="Times New Roman"/>
                <w:sz w:val="14"/>
              </w:rPr>
              <w:t>Statement coverage</w:t>
            </w:r>
          </w:p>
        </w:tc>
        <w:tc>
          <w:tcPr>
            <w:tcW w:type="dxa" w:w="1690"/>
          </w:tcPr>
          <w:p>
            <w:pPr>
              <w:spacing w:after="0" w:before="0" w:line="240" w:lineRule="auto"/>
            </w:pPr>
            <w:r>
              <w:rPr>
                <w:sz w:val="14"/>
              </w:rPr>
            </w:r>
            <w:r>
              <w:rPr>
                <w:rFonts w:ascii="Times New Roman" w:hAnsi="Times New Roman" w:eastAsia="Times New Roman"/>
                <w:sz w:val="14"/>
              </w:rPr>
              <w:t>Above 90%</w:t>
            </w:r>
          </w:p>
        </w:tc>
        <w:tc>
          <w:tcPr>
            <w:tcW w:type="dxa" w:w="2591"/>
          </w:tcPr>
          <w:p>
            <w:pPr>
              <w:spacing w:after="0" w:before="0" w:line="240" w:lineRule="auto"/>
            </w:pPr>
            <w:r>
              <w:rPr>
                <w:sz w:val="14"/>
              </w:rPr>
            </w:r>
            <w:r>
              <w:rPr>
                <w:rFonts w:ascii="Times New Roman" w:hAnsi="Times New Roman" w:eastAsia="Times New Roman"/>
                <w:sz w:val="14"/>
              </w:rPr>
              <w:t>97.13%</w:t>
            </w:r>
          </w:p>
        </w:tc>
        <w:tc>
          <w:tcPr>
            <w:tcW w:type="dxa" w:w="1690"/>
          </w:tcPr>
          <w:p>
            <w:pPr>
              <w:spacing w:after="0" w:before="0" w:line="240" w:lineRule="auto"/>
            </w:pPr>
            <w:r>
              <w:rPr>
                <w:sz w:val="14"/>
              </w:rPr>
            </w:r>
            <w:r>
              <w:rPr>
                <w:rFonts w:ascii="Times New Roman" w:hAnsi="Times New Roman" w:eastAsia="Times New Roman"/>
                <w:sz w:val="14"/>
              </w:rPr>
              <w:t>Table 22</w:t>
            </w:r>
          </w:p>
        </w:tc>
      </w:tr>
      <w:tr>
        <w:tc>
          <w:tcPr>
            <w:tcW w:type="dxa" w:w="2816"/>
          </w:tcPr>
          <w:p>
            <w:pPr>
              <w:spacing w:after="0" w:before="0" w:line="240" w:lineRule="auto"/>
            </w:pPr>
            <w:r>
              <w:rPr>
                <w:sz w:val="14"/>
              </w:rPr>
            </w:r>
            <w:r>
              <w:rPr>
                <w:rFonts w:ascii="Times New Roman" w:hAnsi="Times New Roman" w:eastAsia="Times New Roman"/>
                <w:sz w:val="14"/>
              </w:rPr>
              <w:t>Probability that lenders lose money at a 5% default rate</w:t>
            </w:r>
          </w:p>
        </w:tc>
        <w:tc>
          <w:tcPr>
            <w:tcW w:type="dxa" w:w="1690"/>
          </w:tcPr>
          <w:p>
            <w:pPr>
              <w:spacing w:after="0" w:before="0" w:line="240" w:lineRule="auto"/>
            </w:pPr>
            <w:r>
              <w:rPr>
                <w:sz w:val="14"/>
              </w:rPr>
            </w:r>
            <w:r>
              <w:rPr>
                <w:rFonts w:ascii="Times New Roman" w:hAnsi="Times New Roman" w:eastAsia="Times New Roman"/>
                <w:sz w:val="14"/>
              </w:rPr>
              <w:t>Report, not a target</w:t>
            </w:r>
          </w:p>
        </w:tc>
        <w:tc>
          <w:tcPr>
            <w:tcW w:type="dxa" w:w="2591"/>
          </w:tcPr>
          <w:p>
            <w:pPr>
              <w:spacing w:after="0" w:before="0" w:line="240" w:lineRule="auto"/>
            </w:pPr>
            <w:r>
              <w:rPr>
                <w:sz w:val="14"/>
              </w:rPr>
            </w:r>
            <w:r>
              <w:rPr>
                <w:rFonts w:ascii="Times New Roman" w:hAnsi="Times New Roman" w:eastAsia="Times New Roman"/>
                <w:sz w:val="14"/>
              </w:rPr>
              <w:t>About 9% with tiered terms against 38% flat</w:t>
            </w:r>
          </w:p>
        </w:tc>
        <w:tc>
          <w:tcPr>
            <w:tcW w:type="dxa" w:w="1690"/>
          </w:tcPr>
          <w:p>
            <w:pPr>
              <w:spacing w:after="0" w:before="0" w:line="240" w:lineRule="auto"/>
            </w:pPr>
            <w:r>
              <w:rPr>
                <w:sz w:val="14"/>
              </w:rPr>
            </w:r>
            <w:r>
              <w:rPr>
                <w:rFonts w:ascii="Times New Roman" w:hAnsi="Times New Roman" w:eastAsia="Times New Roman"/>
                <w:sz w:val="14"/>
              </w:rPr>
              <w:t>Portfolio simulation, Section 9.7</w:t>
            </w:r>
          </w:p>
        </w:tc>
      </w:tr>
      <w:tr>
        <w:tc>
          <w:tcPr>
            <w:tcW w:type="dxa" w:w="2816"/>
          </w:tcPr>
          <w:p>
            <w:pPr>
              <w:spacing w:after="0" w:before="0" w:line="240" w:lineRule="auto"/>
            </w:pPr>
            <w:r>
              <w:rPr>
                <w:sz w:val="14"/>
              </w:rPr>
            </w:r>
            <w:r>
              <w:rPr>
                <w:rFonts w:ascii="Times New Roman" w:hAnsi="Times New Roman" w:eastAsia="Times New Roman"/>
                <w:sz w:val="14"/>
              </w:rPr>
              <w:t>Problem-validation survey responses</w:t>
            </w:r>
          </w:p>
        </w:tc>
        <w:tc>
          <w:tcPr>
            <w:tcW w:type="dxa" w:w="1690"/>
          </w:tcPr>
          <w:p>
            <w:pPr>
              <w:spacing w:after="0" w:before="0" w:line="240" w:lineRule="auto"/>
            </w:pPr>
            <w:r>
              <w:rPr>
                <w:sz w:val="14"/>
              </w:rPr>
            </w:r>
            <w:r>
              <w:rPr>
                <w:rFonts w:ascii="Times New Roman" w:hAnsi="Times New Roman" w:eastAsia="Times New Roman"/>
                <w:sz w:val="14"/>
              </w:rPr>
              <w:t>Five to ten</w:t>
            </w:r>
          </w:p>
        </w:tc>
        <w:tc>
          <w:tcPr>
            <w:tcW w:type="dxa" w:w="2591"/>
          </w:tcPr>
          <w:p>
            <w:pPr>
              <w:spacing w:after="0" w:before="0" w:line="240" w:lineRule="auto"/>
            </w:pPr>
            <w:r>
              <w:rPr>
                <w:sz w:val="14"/>
              </w:rPr>
            </w:r>
            <w:r>
              <w:rPr>
                <w:b/>
                <w:rFonts w:ascii="Times New Roman" w:hAnsi="Times New Roman" w:eastAsia="Times New Roman"/>
                <w:sz w:val="14"/>
              </w:rPr>
              <w:t>7 collected</w:t>
            </w:r>
          </w:p>
        </w:tc>
        <w:tc>
          <w:tcPr>
            <w:tcW w:type="dxa" w:w="1690"/>
          </w:tcPr>
          <w:p>
            <w:pPr>
              <w:spacing w:after="0" w:before="0" w:line="240" w:lineRule="auto"/>
            </w:pPr>
            <w:r>
              <w:rPr>
                <w:sz w:val="14"/>
              </w:rPr>
            </w:r>
            <w:r>
              <w:rPr>
                <w:rFonts w:ascii="Times New Roman" w:hAnsi="Times New Roman" w:eastAsia="Times New Roman"/>
                <w:sz w:val="14"/>
              </w:rPr>
              <w:t>Section 9.7, Appendix B</w:t>
            </w:r>
          </w:p>
        </w:tc>
      </w:tr>
      <w:tr>
        <w:tc>
          <w:tcPr>
            <w:tcW w:type="dxa" w:w="2816"/>
          </w:tcPr>
          <w:p>
            <w:pPr>
              <w:spacing w:after="0" w:before="0" w:line="240" w:lineRule="auto"/>
            </w:pPr>
            <w:r>
              <w:rPr>
                <w:sz w:val="14"/>
              </w:rPr>
            </w:r>
            <w:r>
              <w:rPr>
                <w:rFonts w:ascii="Times New Roman" w:hAnsi="Times New Roman" w:eastAsia="Times New Roman"/>
                <w:sz w:val="14"/>
              </w:rPr>
              <w:t>Respondents who recognise the problem</w:t>
            </w:r>
          </w:p>
        </w:tc>
        <w:tc>
          <w:tcPr>
            <w:tcW w:type="dxa" w:w="1690"/>
          </w:tcPr>
          <w:p>
            <w:pPr>
              <w:spacing w:after="0" w:before="0" w:line="240" w:lineRule="auto"/>
            </w:pPr>
            <w:r>
              <w:rPr>
                <w:sz w:val="14"/>
              </w:rPr>
            </w:r>
            <w:r>
              <w:rPr>
                <w:rFonts w:ascii="Times New Roman" w:hAnsi="Times New Roman" w:eastAsia="Times New Roman"/>
                <w:sz w:val="14"/>
              </w:rPr>
              <w:t>Majority agree</w:t>
            </w:r>
          </w:p>
        </w:tc>
        <w:tc>
          <w:tcPr>
            <w:tcW w:type="dxa" w:w="2591"/>
          </w:tcPr>
          <w:p>
            <w:pPr>
              <w:spacing w:after="0" w:before="0" w:line="240" w:lineRule="auto"/>
            </w:pPr>
            <w:r>
              <w:rPr>
                <w:sz w:val="14"/>
              </w:rPr>
            </w:r>
            <w:r>
              <w:rPr>
                <w:b/>
                <w:rFonts w:ascii="Times New Roman" w:hAnsi="Times New Roman" w:eastAsia="Times New Roman"/>
                <w:sz w:val="14"/>
              </w:rPr>
              <w:t>7 of 7</w:t>
            </w:r>
            <w:r>
              <w:rPr>
                <w:rFonts w:ascii="Times New Roman" w:hAnsi="Times New Roman" w:eastAsia="Times New Roman"/>
                <w:sz w:val="14"/>
              </w:rPr>
              <w:t xml:space="preserve"> rated both problem statements 4 or 5</w:t>
            </w:r>
          </w:p>
        </w:tc>
        <w:tc>
          <w:tcPr>
            <w:tcW w:type="dxa" w:w="1690"/>
          </w:tcPr>
          <w:p>
            <w:pPr>
              <w:spacing w:after="0" w:before="0" w:line="240" w:lineRule="auto"/>
            </w:pPr>
            <w:r>
              <w:rPr>
                <w:sz w:val="14"/>
              </w:rPr>
            </w:r>
            <w:r>
              <w:rPr>
                <w:rFonts w:ascii="Times New Roman" w:hAnsi="Times New Roman" w:eastAsia="Times New Roman"/>
                <w:sz w:val="14"/>
              </w:rPr>
              <w:t>Section 9.7</w:t>
            </w:r>
          </w:p>
        </w:tc>
      </w:tr>
      <w:tr>
        <w:tc>
          <w:tcPr>
            <w:tcW w:type="dxa" w:w="2816"/>
          </w:tcPr>
          <w:p>
            <w:pPr>
              <w:spacing w:after="0" w:before="0" w:line="240" w:lineRule="auto"/>
            </w:pPr>
            <w:r>
              <w:rPr>
                <w:sz w:val="14"/>
              </w:rPr>
            </w:r>
            <w:r>
              <w:rPr>
                <w:rFonts w:ascii="Times New Roman" w:hAnsi="Times New Roman" w:eastAsia="Times New Roman"/>
                <w:sz w:val="14"/>
              </w:rPr>
              <w:t>Task completion in a participant usability test</w:t>
            </w:r>
          </w:p>
        </w:tc>
        <w:tc>
          <w:tcPr>
            <w:tcW w:type="dxa" w:w="1690"/>
          </w:tcPr>
          <w:p>
            <w:pPr>
              <w:spacing w:after="0" w:before="0" w:line="240" w:lineRule="auto"/>
            </w:pPr>
            <w:r>
              <w:rPr>
                <w:sz w:val="14"/>
              </w:rPr>
            </w:r>
            <w:r>
              <w:rPr>
                <w:rFonts w:ascii="Times New Roman" w:hAnsi="Times New Roman" w:eastAsia="Times New Roman"/>
                <w:sz w:val="14"/>
              </w:rPr>
              <w:t>At least 80%</w:t>
            </w:r>
          </w:p>
        </w:tc>
        <w:tc>
          <w:tcPr>
            <w:tcW w:type="dxa" w:w="2591"/>
          </w:tcPr>
          <w:p>
            <w:pPr>
              <w:spacing w:after="0" w:before="0" w:line="240" w:lineRule="auto"/>
            </w:pPr>
            <w:r>
              <w:rPr>
                <w:sz w:val="14"/>
              </w:rPr>
            </w:r>
            <w:r>
              <w:rPr>
                <w:b/>
                <w:rFonts w:ascii="Times New Roman" w:hAnsi="Times New Roman" w:eastAsia="Times New Roman"/>
                <w:sz w:val="14"/>
              </w:rPr>
              <w:t>Not yet measured</w:t>
            </w:r>
          </w:p>
        </w:tc>
        <w:tc>
          <w:tcPr>
            <w:tcW w:type="dxa" w:w="1690"/>
          </w:tcPr>
          <w:p>
            <w:pPr>
              <w:spacing w:after="0" w:before="0" w:line="240" w:lineRule="auto"/>
            </w:pPr>
            <w:r>
              <w:rPr>
                <w:sz w:val="14"/>
              </w:rPr>
            </w:r>
            <w:r>
              <w:rPr>
                <w:rFonts w:ascii="Times New Roman" w:hAnsi="Times New Roman" w:eastAsia="Times New Roman"/>
                <w:sz w:val="14"/>
              </w:rPr>
              <w:t>Pending, see Section 9.7</w:t>
            </w:r>
          </w:p>
        </w:tc>
      </w:tr>
    </w:tbl>
    <w:p>
      <w:pPr>
        <w:spacing w:after="0" w:before="0"/>
      </w:pPr>
    </w:p>
    <w:p>
      <w:pPr>
        <w:pStyle w:val="Heading2"/>
      </w:pPr>
      <w:r>
        <w:t>9.7 Portfolio economics and problem validation</w:t>
      </w:r>
    </w:p>
    <w:p>
      <w:r>
        <w:rPr>
          <w:rFonts w:ascii="Times New Roman" w:hAnsi="Times New Roman" w:eastAsia="Times New Roman"/>
        </w:rPr>
        <w:t xml:space="preserve">The portfolio simulation is plotted in </w:t>
      </w:r>
      <w:r>
        <w:rPr>
          <w:b/>
          <w:rFonts w:ascii="Times New Roman" w:hAnsi="Times New Roman" w:eastAsia="Times New Roman"/>
        </w:rPr>
        <w:t>Figure 10</w:t>
      </w:r>
      <w:r>
        <w:rPr>
          <w:rFonts w:ascii="Times New Roman" w:hAnsi="Times New Roman" w:eastAsia="Times New Roman"/>
        </w:rPr>
        <w:t xml:space="preserve"> and its full result set is tabulated in </w:t>
      </w:r>
      <w:r>
        <w:rPr>
          <w:b/>
          <w:rFonts w:ascii="Times New Roman" w:hAnsi="Times New Roman" w:eastAsia="Times New Roman"/>
        </w:rPr>
        <w:t>Appendix B</w:t>
      </w:r>
      <w:r>
        <w:rPr>
          <w:rFonts w:ascii="Times New Roman" w:hAnsi="Times New Roman" w:eastAsia="Times New Roman"/>
        </w:rPr>
        <w:t>, so that the body can carry the interpretation and the appendix the raw numbers.</w:t>
      </w:r>
    </w:p>
    <w:p>
      <w:r>
        <w:rPr>
          <w:rFonts w:ascii="Times New Roman" w:hAnsi="Times New Roman" w:eastAsia="Times New Roman"/>
        </w:rPr>
        <w:t xml:space="preserve">The simulation produces a counter-intuitive and useful finding. Under the stated assumptions of 60-day loans, 80% utilisation and loans at 60% of the limit, </w:t>
      </w:r>
      <w:r>
        <w:rPr>
          <w:b/>
          <w:rFonts w:ascii="Times New Roman" w:hAnsi="Times New Roman" w:eastAsia="Times New Roman"/>
        </w:rPr>
        <w:t>diverting 0 to 30% of interest into the reserve barely changes lender outcomes</w:t>
      </w:r>
      <w:r>
        <w:rPr>
          <w:rFonts w:ascii="Times New Roman" w:hAnsi="Times New Roman" w:eastAsia="Times New Roman"/>
        </w:rPr>
        <w:t xml:space="preserve">, whereas an externally funded first-loss reserve changes them dramatically: at a 5% default rate, no initial reserve gives a mean annual lender return of about </w:t>
      </w:r>
      <w:r>
        <w:rPr>
          <w:b/>
          <w:rFonts w:ascii="Times New Roman" w:hAnsi="Times New Roman" w:eastAsia="Times New Roman"/>
        </w:rPr>
        <w:t>minus 4%</w:t>
      </w:r>
      <w:r>
        <w:rPr>
          <w:rFonts w:ascii="Times New Roman" w:hAnsi="Times New Roman" w:eastAsia="Times New Roman"/>
        </w:rPr>
        <w:t xml:space="preserve"> with an </w:t>
      </w:r>
      <w:r>
        <w:rPr>
          <w:b/>
          <w:rFonts w:ascii="Times New Roman" w:hAnsi="Times New Roman" w:eastAsia="Times New Roman"/>
        </w:rPr>
        <w:t>87%</w:t>
      </w:r>
      <w:r>
        <w:rPr>
          <w:rFonts w:ascii="Times New Roman" w:hAnsi="Times New Roman" w:eastAsia="Times New Roman"/>
        </w:rPr>
        <w:t xml:space="preserve"> probability of loss, a 2% reserve gives about </w:t>
      </w:r>
      <w:r>
        <w:rPr>
          <w:b/>
          <w:rFonts w:ascii="Times New Roman" w:hAnsi="Times New Roman" w:eastAsia="Times New Roman"/>
        </w:rPr>
        <w:t>plus 6%</w:t>
      </w:r>
      <w:r>
        <w:rPr>
          <w:rFonts w:ascii="Times New Roman" w:hAnsi="Times New Roman" w:eastAsia="Times New Roman"/>
        </w:rPr>
        <w:t xml:space="preserve"> and </w:t>
      </w:r>
      <w:r>
        <w:rPr>
          <w:b/>
          <w:rFonts w:ascii="Times New Roman" w:hAnsi="Times New Roman" w:eastAsia="Times New Roman"/>
        </w:rPr>
        <w:t>8%</w:t>
      </w:r>
      <w:r>
        <w:rPr>
          <w:rFonts w:ascii="Times New Roman" w:hAnsi="Times New Roman" w:eastAsia="Times New Roman"/>
        </w:rPr>
        <w:t xml:space="preserve">, and a 5% reserve gives about </w:t>
      </w:r>
      <w:r>
        <w:rPr>
          <w:b/>
          <w:rFonts w:ascii="Times New Roman" w:hAnsi="Times New Roman" w:eastAsia="Times New Roman"/>
        </w:rPr>
        <w:t>plus 12%</w:t>
      </w:r>
      <w:r>
        <w:rPr>
          <w:rFonts w:ascii="Times New Roman" w:hAnsi="Times New Roman" w:eastAsia="Times New Roman"/>
        </w:rPr>
        <w:t xml:space="preserve"> and near-zero loss probability. Risk-based pricing also helps on its own: the probability of loss at a 5% default rate is about </w:t>
      </w:r>
      <w:r>
        <w:rPr>
          <w:b/>
          <w:rFonts w:ascii="Times New Roman" w:hAnsi="Times New Roman" w:eastAsia="Times New Roman"/>
        </w:rPr>
        <w:t>9%</w:t>
      </w:r>
      <w:r>
        <w:rPr>
          <w:rFonts w:ascii="Times New Roman" w:hAnsi="Times New Roman" w:eastAsia="Times New Roman"/>
        </w:rPr>
        <w:t xml:space="preserve"> with tiered terms against </w:t>
      </w:r>
      <w:r>
        <w:rPr>
          <w:b/>
          <w:rFonts w:ascii="Times New Roman" w:hAnsi="Times New Roman" w:eastAsia="Times New Roman"/>
        </w:rPr>
        <w:t>38%</w:t>
      </w:r>
      <w:r>
        <w:rPr>
          <w:rFonts w:ascii="Times New Roman" w:hAnsi="Times New Roman" w:eastAsia="Times New Roman"/>
        </w:rPr>
        <w:t xml:space="preserve"> flat, and the break-even default rate is about 7.0% tiered against 5.4% flat. Results near break-even are sensitive, so ranges are quoted with Monte-Carlo noise of one to two percentage points. The conclusion is that a pool funded only from its own borrowers' interest cannot credibly protect lenders, and that a sponsor- or insurance-funded first-loss tranche is the mechanism that would.</w:t>
      </w:r>
    </w:p>
    <w:p>
      <w:r>
        <w:rPr>
          <w:b/>
          <w:rFonts w:ascii="Times New Roman" w:hAnsi="Times New Roman" w:eastAsia="Times New Roman"/>
        </w:rPr>
        <w:t>Primary validation.</w:t>
      </w:r>
      <w:r>
        <w:rPr>
          <w:rFonts w:ascii="Times New Roman" w:hAnsi="Times New Roman" w:eastAsia="Times New Roman"/>
        </w:rPr>
        <w:t xml:space="preserve"> A short problem-validation questionnaire (Appendix B, Table 30) was distributed to the team's own network and returned </w:t>
      </w:r>
      <w:r>
        <w:rPr>
          <w:b/>
          <w:rFonts w:ascii="Times New Roman" w:hAnsi="Times New Roman" w:eastAsia="Times New Roman"/>
        </w:rPr>
        <w:t>seven anonymous responses</w:t>
      </w:r>
      <w:r>
        <w:rPr>
          <w:rFonts w:ascii="Times New Roman" w:hAnsi="Times New Roman" w:eastAsia="Times New Roman"/>
        </w:rPr>
        <w:t>, all from people aged 22 to 24 who are not members of the team. All seven reported having no formal credit record; six had either been refused a loan or had decided not to apply because they expected to be refused; five had needed a small short-term loan of under SGD 1,000 at least once in the previous twelve months; and of those who had borrowed, four turned to family rather than a bank while three used a bank. That supports the claim in Section 1.3 that formal channels do not reliably reach thin-file borrowers.</w:t>
      </w:r>
    </w:p>
    <w:p>
      <w:r>
        <w:rPr>
          <w:rFonts w:ascii="Times New Roman" w:hAnsi="Times New Roman" w:eastAsia="Times New Roman"/>
        </w:rPr>
        <w:t xml:space="preserve">Agreement with the two problem statements was strong and uniform: a mean of </w:t>
      </w:r>
      <w:r>
        <w:rPr>
          <w:b/>
          <w:rFonts w:ascii="Times New Roman" w:hAnsi="Times New Roman" w:eastAsia="Times New Roman"/>
        </w:rPr>
        <w:t>4.57</w:t>
      </w:r>
      <w:r>
        <w:rPr>
          <w:rFonts w:ascii="Times New Roman" w:hAnsi="Times New Roman" w:eastAsia="Times New Roman"/>
        </w:rPr>
        <w:t xml:space="preserve"> of 5 (sd 0.54) that lenders make it difficult for people without a bank record to obtain credit, and </w:t>
      </w:r>
      <w:r>
        <w:rPr>
          <w:b/>
          <w:rFonts w:ascii="Times New Roman" w:hAnsi="Times New Roman" w:eastAsia="Times New Roman"/>
        </w:rPr>
        <w:t>4.71</w:t>
      </w:r>
      <w:r>
        <w:rPr>
          <w:rFonts w:ascii="Times New Roman" w:hAnsi="Times New Roman" w:eastAsia="Times New Roman"/>
        </w:rPr>
        <w:t xml:space="preserve"> (sd 0.49) that a repayment record which followed them between lenders would improve their terms, with all seven respondents at 4 or 5 on both. Intention to use the proposed service averaged </w:t>
      </w:r>
      <w:r>
        <w:rPr>
          <w:b/>
          <w:rFonts w:ascii="Times New Roman" w:hAnsi="Times New Roman" w:eastAsia="Times New Roman"/>
        </w:rPr>
        <w:t>4.43</w:t>
      </w:r>
      <w:r>
        <w:rPr>
          <w:rFonts w:ascii="Times New Roman" w:hAnsi="Times New Roman" w:eastAsia="Times New Roman"/>
        </w:rPr>
        <w:t xml:space="preserve"> (sd 0.54, again all seven at 4 or 5). Forced to choose a single priority, three chose a lower interest rate and two each chose data privacy and the absence of collateral.</w:t>
      </w:r>
    </w:p>
    <w:p>
      <w:r>
        <w:rPr>
          <w:b/>
          <w:rFonts w:ascii="Times New Roman" w:hAnsi="Times New Roman" w:eastAsia="Times New Roman"/>
        </w:rPr>
        <w:t>One design assumption failed validation, and it is reported rather than smoothed over.</w:t>
      </w:r>
      <w:r>
        <w:rPr>
          <w:rFonts w:ascii="Times New Roman" w:hAnsi="Times New Roman" w:eastAsia="Times New Roman"/>
        </w:rPr>
        <w:t xml:space="preserve"> Willingness to pay a higher interest rate in exchange for not needing collateral scored exactly </w:t>
      </w:r>
      <w:r>
        <w:rPr>
          <w:b/>
          <w:rFonts w:ascii="Times New Roman" w:hAnsi="Times New Roman" w:eastAsia="Times New Roman"/>
        </w:rPr>
        <w:t>3.00</w:t>
      </w:r>
      <w:r>
        <w:rPr>
          <w:rFonts w:ascii="Times New Roman" w:hAnsi="Times New Roman" w:eastAsia="Times New Roman"/>
        </w:rPr>
        <w:t xml:space="preserve"> of 5, with only two of seven agreeing, so the zero-collateral top tier is not supported by this sample: either the trade-off must be presented differently or that tier needs a different incentive. </w:t>
      </w:r>
      <w:r>
        <w:rPr>
          <w:b/>
          <w:rFonts w:ascii="Times New Roman" w:hAnsi="Times New Roman" w:eastAsia="Times New Roman"/>
        </w:rPr>
        <w:t>The free-text answers surfaced what closed questions cannot:</w:t>
      </w:r>
      <w:r>
        <w:rPr>
          <w:rFonts w:ascii="Times New Roman" w:hAnsi="Times New Roman" w:eastAsia="Times New Roman"/>
        </w:rPr>
        <w:t xml:space="preserve"> three of the seven named a blockchain-specific obstacle unprompted, namely distrust of cryptocurrency, an inability to manage private keys, and a fear of being pursued for debt. The first two are onboarding rather than credit problems, and they point at the same conclusion as the expert review in Section 8.1: onboarding matters more for adoption than further work on the credit model.</w:t>
      </w:r>
    </w:p>
    <w:p>
      <w:r>
        <w:rPr>
          <w:b/>
          <w:rFonts w:ascii="Times New Roman" w:hAnsi="Times New Roman" w:eastAsia="Times New Roman"/>
        </w:rPr>
        <w:t>What this establishes, and what it does not.</w:t>
      </w:r>
      <w:r>
        <w:rPr>
          <w:rFonts w:ascii="Times New Roman" w:hAnsi="Times New Roman" w:eastAsia="Times New Roman"/>
        </w:rPr>
        <w:t xml:space="preserve"> Seven respondents is at the lower end of the five-to-ten the brief accepts, and all of them are university-aged, so this is a thin-file proxy rather than the intended market of urban informal-sector micro-entrepreneurs. The results support the direction of the problem and the appeal of a portable record, not demand among target users, and the high intention score carries the usual social-desirability caution.</w:t>
      </w:r>
    </w:p>
    <w:p>
      <w:r>
        <w:rPr>
          <w:b/>
          <w:rFonts w:ascii="Times New Roman" w:hAnsi="Times New Roman" w:eastAsia="Times New Roman"/>
        </w:rPr>
        <w:t>How the validation requirement is met.</w:t>
      </w:r>
      <w:r>
        <w:rPr>
          <w:rFonts w:ascii="Times New Roman" w:hAnsi="Times New Roman" w:eastAsia="Times New Roman"/>
        </w:rPr>
        <w:t xml:space="preserve"> The brief accepts </w:t>
      </w:r>
      <w:r>
        <w:rPr>
          <w:b/>
          <w:rFonts w:ascii="Times New Roman" w:hAnsi="Times New Roman" w:eastAsia="Times New Roman"/>
        </w:rPr>
        <w:t>any one of three</w:t>
      </w:r>
      <w:r>
        <w:rPr>
          <w:rFonts w:ascii="Times New Roman" w:hAnsi="Times New Roman" w:eastAsia="Times New Roman"/>
        </w:rPr>
        <w:t xml:space="preserve"> forms of validation: five to ten stakeholder interviews or a short survey; a usability test with five to ten people; or expert feedback from a lecturer or someone in finance. This project satisfies </w:t>
      </w:r>
      <w:r>
        <w:rPr>
          <w:b/>
          <w:rFonts w:ascii="Times New Roman" w:hAnsi="Times New Roman" w:eastAsia="Times New Roman"/>
        </w:rPr>
        <w:t>two of the three</w:t>
      </w:r>
      <w:r>
        <w:rPr>
          <w:rFonts w:ascii="Times New Roman" w:hAnsi="Times New Roman" w:eastAsia="Times New Roman"/>
        </w:rPr>
        <w:t>: the problem-validation survey reported above, and the structured expert review in Section 8.1, which produced fifteen usability findings against Nielsen's heuristics. The moderated usability test, the second form, has not been run; the report does not claim otherwise, and the protocol for it is held in the companion usability document should the team run it before submission.</w:t>
      </w:r>
    </w:p>
    <w:p>
      <w:pPr>
        <w:pStyle w:val="Heading1"/>
      </w:pPr>
      <w:r>
        <w:t>10. Deployment and DevOps</w:t>
      </w:r>
    </w:p>
    <w:p>
      <w:r>
        <w:rPr>
          <w:rFonts w:ascii="Times New Roman" w:hAnsi="Times New Roman" w:eastAsia="Times New Roman"/>
        </w:rPr>
        <w:t xml:space="preserve">Five contracts are deployed on Sepolia, chain id 11155111, on 11 October 2026, and all five are verified on Etherscan: mUSDC </w:t>
      </w:r>
      <w:r>
        <w:rPr>
          <w:rFonts w:ascii="Times New Roman" w:hAnsi="Times New Roman" w:eastAsia="Times New Roman"/>
          <w:sz w:val="19"/>
        </w:rPr>
        <w:t>0x882b02C3…B2d1</w:t>
      </w:r>
      <w:r>
        <w:rPr>
          <w:rFonts w:ascii="Times New Roman" w:hAnsi="Times New Roman" w:eastAsia="Times New Roman"/>
        </w:rPr>
        <w:t xml:space="preserve">, CreditRegistry </w:t>
      </w:r>
      <w:r>
        <w:rPr>
          <w:rFonts w:ascii="Times New Roman" w:hAnsi="Times New Roman" w:eastAsia="Times New Roman"/>
          <w:sz w:val="19"/>
        </w:rPr>
        <w:t>0xa80e874c…248F</w:t>
      </w:r>
      <w:r>
        <w:rPr>
          <w:rFonts w:ascii="Times New Roman" w:hAnsi="Times New Roman" w:eastAsia="Times New Roman"/>
        </w:rPr>
        <w:t xml:space="preserve">, LendingPool </w:t>
      </w:r>
      <w:r>
        <w:rPr>
          <w:rFonts w:ascii="Times New Roman" w:hAnsi="Times New Roman" w:eastAsia="Times New Roman"/>
          <w:sz w:val="19"/>
        </w:rPr>
        <w:t>0x576358F6…f410</w:t>
      </w:r>
      <w:r>
        <w:rPr>
          <w:rFonts w:ascii="Times New Roman" w:hAnsi="Times New Roman" w:eastAsia="Times New Roman"/>
        </w:rPr>
        <w:t xml:space="preserve">, CollateralVault </w:t>
      </w:r>
      <w:r>
        <w:rPr>
          <w:rFonts w:ascii="Times New Roman" w:hAnsi="Times New Roman" w:eastAsia="Times New Roman"/>
          <w:sz w:val="19"/>
        </w:rPr>
        <w:t>0x9c7b6130…0B31</w:t>
      </w:r>
      <w:r>
        <w:rPr>
          <w:rFonts w:ascii="Times New Roman" w:hAnsi="Times New Roman" w:eastAsia="Times New Roman"/>
        </w:rPr>
        <w:t xml:space="preserve"> and LoanManager </w:t>
      </w:r>
      <w:r>
        <w:rPr>
          <w:rFonts w:ascii="Times New Roman" w:hAnsi="Times New Roman" w:eastAsia="Times New Roman"/>
          <w:sz w:val="19"/>
        </w:rPr>
        <w:t>0x9279A53E…0b69</w:t>
      </w:r>
      <w:r>
        <w:rPr>
          <w:rFonts w:ascii="Times New Roman" w:hAnsi="Times New Roman" w:eastAsia="Times New Roman"/>
        </w:rPr>
        <w:t xml:space="preserve">. The full addresses and the Etherscan source link pattern are in </w:t>
      </w:r>
      <w:r>
        <w:rPr>
          <w:b/>
          <w:rFonts w:ascii="Times New Roman" w:hAnsi="Times New Roman" w:eastAsia="Times New Roman"/>
        </w:rPr>
        <w:t>Appendix B, Table 27</w:t>
      </w:r>
      <w:r>
        <w:rPr>
          <w:rFonts w:ascii="Times New Roman" w:hAnsi="Times New Roman" w:eastAsia="Times New Roman"/>
        </w:rPr>
        <w:t>, and are also served at runtime from the configuration endpoint.</w:t>
      </w:r>
    </w:p>
    <w:p>
      <w:r>
        <w:rPr>
          <w:rFonts w:ascii="Times New Roman" w:hAnsi="Times New Roman" w:eastAsia="Times New Roman"/>
        </w:rPr>
        <w:t xml:space="preserve">The full deployment topology, including the continuous-integration detail, is tabulated as </w:t>
      </w:r>
      <w:r>
        <w:rPr>
          <w:b/>
          <w:rFonts w:ascii="Times New Roman" w:hAnsi="Times New Roman" w:eastAsia="Times New Roman"/>
        </w:rPr>
        <w:t>Table 28</w:t>
      </w:r>
      <w:r>
        <w:rPr>
          <w:rFonts w:ascii="Times New Roman" w:hAnsi="Times New Roman" w:eastAsia="Times New Roman"/>
        </w:rPr>
        <w:t xml:space="preserve"> in </w:t>
      </w:r>
      <w:r>
        <w:rPr>
          <w:b/>
          <w:rFonts w:ascii="Times New Roman" w:hAnsi="Times New Roman" w:eastAsia="Times New Roman"/>
        </w:rPr>
        <w:t>Appendix B</w:t>
      </w:r>
      <w:r>
        <w:rPr>
          <w:rFonts w:ascii="Times New Roman" w:hAnsi="Times New Roman" w:eastAsia="Times New Roman"/>
        </w:rPr>
        <w:t xml:space="preserve">. In summary: the frontend is a Vite static site, the API is a Docker service built from the repository root and health-checked on </w:t>
      </w:r>
      <w:r>
        <w:rPr>
          <w:rFonts w:ascii="Times New Roman" w:hAnsi="Times New Roman" w:eastAsia="Times New Roman"/>
          <w:sz w:val="19"/>
        </w:rPr>
        <w:t>/api/health</w:t>
      </w:r>
      <w:r>
        <w:rPr>
          <w:rFonts w:ascii="Times New Roman" w:hAnsi="Times New Roman" w:eastAsia="Times New Roman"/>
        </w:rPr>
        <w:t xml:space="preserve">, the database is managed PostgreSQL, and the chain is reached over JSON-RPC. Continuous integration runs four parallel jobs on every push to main and every pull request, and </w:t>
      </w:r>
      <w:r>
        <w:rPr>
          <w:b/>
          <w:rFonts w:ascii="Times New Roman" w:hAnsi="Times New Roman" w:eastAsia="Times New Roman"/>
        </w:rPr>
        <w:t>all six runs to date succeeded (as of 14 October 2026)</w:t>
      </w:r>
      <w:r>
        <w:rPr>
          <w:rFonts w:ascii="Times New Roman" w:hAnsi="Times New Roman" w:eastAsia="Times New Roman"/>
        </w:rPr>
        <w:t xml:space="preserve">, the latest covering commit </w:t>
      </w:r>
      <w:r>
        <w:rPr>
          <w:rFonts w:ascii="Times New Roman" w:hAnsi="Times New Roman" w:eastAsia="Times New Roman"/>
          <w:sz w:val="19"/>
        </w:rPr>
        <w:t>e7a8ae7d</w:t>
      </w:r>
      <w:r>
        <w:rPr>
          <w:rFonts w:ascii="Times New Roman" w:hAnsi="Times New Roman" w:eastAsia="Times New Roman"/>
        </w:rPr>
        <w:t>.</w:t>
      </w:r>
    </w:p>
    <w:p>
      <w:pPr>
        <w:pStyle w:val="Heading2"/>
      </w:pPr>
      <w:r>
        <w:t>10.1 Operational realities worth recording</w:t>
      </w:r>
    </w:p>
    <w:p>
      <w:pPr>
        <w:pStyle w:val="ListBullet"/>
        <w:spacing w:after="40"/>
      </w:pPr>
      <w:r>
        <w:rPr>
          <w:b/>
          <w:rFonts w:ascii="Times New Roman" w:hAnsi="Times New Roman" w:eastAsia="Times New Roman"/>
        </w:rPr>
        <w:t>The live services track a fork, not the team repository.</w:t>
      </w:r>
      <w:r>
        <w:rPr>
          <w:rFonts w:ascii="Times New Roman" w:hAnsi="Times New Roman" w:eastAsia="Times New Roman"/>
        </w:rPr>
        <w:t xml:space="preserve"> Both Render services are connected to a member's fork on its main branch. Merging into the team repository does </w:t>
      </w:r>
      <w:r>
        <w:rPr>
          <w:b/>
          <w:rFonts w:ascii="Times New Roman" w:hAnsi="Times New Roman" w:eastAsia="Times New Roman"/>
        </w:rPr>
        <w:t>not</w:t>
      </w:r>
      <w:r>
        <w:rPr>
          <w:rFonts w:ascii="Times New Roman" w:hAnsi="Times New Roman" w:eastAsia="Times New Roman"/>
        </w:rPr>
        <w:t xml:space="preserve"> update the live site; the fork must be synchronised first. At the time of writing the fork was lagging behind the team repository.</w:t>
      </w:r>
    </w:p>
    <w:p>
      <w:pPr>
        <w:pStyle w:val="ListBullet"/>
        <w:spacing w:after="40"/>
      </w:pPr>
      <w:r>
        <w:rPr>
          <w:b/>
          <w:rFonts w:ascii="Times New Roman" w:hAnsi="Times New Roman" w:eastAsia="Times New Roman"/>
        </w:rPr>
        <w:t>Free-tier cold start.</w:t>
      </w:r>
      <w:r>
        <w:rPr>
          <w:rFonts w:ascii="Times New Roman" w:hAnsi="Times New Roman" w:eastAsia="Times New Roman"/>
        </w:rPr>
        <w:t xml:space="preserve"> The free web service sleeps after about 15 minutes without traffic and the first request can take 60 to 90 seconds; an observed request returned a 503 loading page for roughly 75 seconds before becoming healthy, so any demonstration must wake the service first. The free PostgreSQL instance expires 30 days after creation, and off-chain data such as questionnaire answers cannot be rebuilt from the chain, so a backup is required.</w:t>
      </w:r>
    </w:p>
    <w:p>
      <w:pPr>
        <w:pStyle w:val="ListBullet"/>
        <w:spacing w:after="40"/>
      </w:pPr>
      <w:r>
        <w:rPr>
          <w:b/>
          <w:rFonts w:ascii="Times New Roman" w:hAnsi="Times New Roman" w:eastAsia="Times New Roman"/>
        </w:rPr>
        <w:t>Out-of-band configuration and credential risk.</w:t>
      </w:r>
      <w:r>
        <w:rPr>
          <w:rFonts w:ascii="Times New Roman" w:hAnsi="Times New Roman" w:eastAsia="Times New Roman"/>
        </w:rPr>
        <w:t xml:space="preserve"> The indexer chunk size exists only in the hosting console (Section 7.2) and the JWT secret is generated by the platform, so recreating the service from the blueprint alone would not reproduce the running configuration. Separately, an RPC key was briefly reachable through a public error field (Section 6.3); rotation and redaction are outstanding.</w:t>
      </w:r>
    </w:p>
    <w:p>
      <w:pPr>
        <w:pStyle w:val="ListBullet"/>
        <w:spacing w:after="40"/>
      </w:pPr>
      <w:r>
        <w:rPr>
          <w:b/>
          <w:rFonts w:ascii="Times New Roman" w:hAnsi="Times New Roman" w:eastAsia="Times New Roman"/>
        </w:rPr>
        <w:t>No secret has ever been committed.</w:t>
      </w:r>
      <w:r>
        <w:rPr>
          <w:rFonts w:ascii="Times New Roman" w:hAnsi="Times New Roman" w:eastAsia="Times New Roman"/>
        </w:rPr>
        <w:t xml:space="preserve"> The repository tracks only </w:t>
      </w:r>
      <w:r>
        <w:rPr>
          <w:rFonts w:ascii="Times New Roman" w:hAnsi="Times New Roman" w:eastAsia="Times New Roman"/>
          <w:sz w:val="19"/>
        </w:rPr>
        <w:t>.env.example</w:t>
      </w:r>
      <w:r>
        <w:rPr>
          <w:rFonts w:ascii="Times New Roman" w:hAnsi="Times New Roman" w:eastAsia="Times New Roman"/>
        </w:rPr>
        <w:t xml:space="preserve">, which contains placeholder text rather than values. No </w:t>
      </w:r>
      <w:r>
        <w:rPr>
          <w:rFonts w:ascii="Times New Roman" w:hAnsi="Times New Roman" w:eastAsia="Times New Roman"/>
          <w:sz w:val="19"/>
        </w:rPr>
        <w:t>.env</w:t>
      </w:r>
      <w:r>
        <w:rPr>
          <w:rFonts w:ascii="Times New Roman" w:hAnsi="Times New Roman" w:eastAsia="Times New Roman"/>
        </w:rPr>
        <w:t xml:space="preserve">, key file or keystore appears in the current tree, and no commit removed one, so none was ever added. </w:t>
      </w:r>
      <w:r>
        <w:rPr>
          <w:rFonts w:ascii="Times New Roman" w:hAnsi="Times New Roman" w:eastAsia="Times New Roman"/>
          <w:sz w:val="19"/>
        </w:rPr>
        <w:t>.env</w:t>
      </w:r>
      <w:r>
        <w:rPr>
          <w:rFonts w:ascii="Times New Roman" w:hAnsi="Times New Roman" w:eastAsia="Times New Roman"/>
        </w:rPr>
        <w:t xml:space="preserve"> is listed in </w:t>
      </w:r>
      <w:r>
        <w:rPr>
          <w:rFonts w:ascii="Times New Roman" w:hAnsi="Times New Roman" w:eastAsia="Times New Roman"/>
          <w:sz w:val="19"/>
        </w:rPr>
        <w:t>.gitignore</w:t>
      </w:r>
      <w:r>
        <w:rPr>
          <w:rFonts w:ascii="Times New Roman" w:hAnsi="Times New Roman" w:eastAsia="Times New Roman"/>
        </w:rPr>
        <w:t xml:space="preserve">, the deployment record holds only public addresses, and the local test mnemonic in </w:t>
      </w:r>
      <w:r>
        <w:rPr>
          <w:rFonts w:ascii="Times New Roman" w:hAnsi="Times New Roman" w:eastAsia="Times New Roman"/>
          <w:sz w:val="19"/>
        </w:rPr>
        <w:t>scripts/local-mnemonic.js</w:t>
      </w:r>
      <w:r>
        <w:rPr>
          <w:rFonts w:ascii="Times New Roman" w:hAnsi="Times New Roman" w:eastAsia="Times New Roman"/>
        </w:rPr>
        <w:t xml:space="preserve"> is deliberately public.</w:t>
      </w:r>
    </w:p>
    <w:p>
      <w:pPr>
        <w:pStyle w:val="Heading1"/>
      </w:pPr>
      <w:r>
        <w:t>11. Limitations, ethics and future work</w:t>
      </w:r>
    </w:p>
    <w:p>
      <w:pPr>
        <w:pStyle w:val="Heading2"/>
      </w:pPr>
      <w:r>
        <w:t>11.1 Limitations</w:t>
      </w:r>
    </w:p>
    <w:p>
      <w:r>
        <w:rPr>
          <w:rFonts w:ascii="Times New Roman" w:hAnsi="Times New Roman" w:eastAsia="Times New Roman"/>
        </w:rPr>
        <w:t xml:space="preserve">The consolidated list is </w:t>
      </w:r>
      <w:r>
        <w:rPr>
          <w:b/>
          <w:rFonts w:ascii="Times New Roman" w:hAnsi="Times New Roman" w:eastAsia="Times New Roman"/>
        </w:rPr>
        <w:t>Table 29</w:t>
      </w:r>
      <w:r>
        <w:rPr>
          <w:rFonts w:ascii="Times New Roman" w:hAnsi="Times New Roman" w:eastAsia="Times New Roman"/>
        </w:rPr>
        <w:t xml:space="preserve"> in </w:t>
      </w:r>
      <w:r>
        <w:rPr>
          <w:b/>
          <w:rFonts w:ascii="Times New Roman" w:hAnsi="Times New Roman" w:eastAsia="Times New Roman"/>
        </w:rPr>
        <w:t>Appendix B</w:t>
      </w:r>
      <w:r>
        <w:rPr>
          <w:rFonts w:ascii="Times New Roman" w:hAnsi="Times New Roman" w:eastAsia="Times New Roman"/>
        </w:rPr>
        <w:t xml:space="preserve">. In short: scoring inputs are self-reported; the model trains on synthetic data (AUC about 0.68); the scorer key and the admin are trust anchors; the stablecoin is a mock; a reserve funded only from interest barely protects lenders; branch coverage is 75.9% with untested failure paths in </w:t>
      </w:r>
      <w:r>
        <w:rPr>
          <w:rFonts w:ascii="Times New Roman" w:hAnsi="Times New Roman" w:eastAsia="Times New Roman"/>
          <w:sz w:val="19"/>
        </w:rPr>
        <w:t>CollateralVault</w:t>
      </w:r>
      <w:r>
        <w:rPr>
          <w:rFonts w:ascii="Times New Roman" w:hAnsi="Times New Roman" w:eastAsia="Times New Roman"/>
        </w:rPr>
        <w:t xml:space="preserve"> and </w:t>
      </w:r>
      <w:r>
        <w:rPr>
          <w:rFonts w:ascii="Times New Roman" w:hAnsi="Times New Roman" w:eastAsia="Times New Roman"/>
          <w:sz w:val="19"/>
        </w:rPr>
        <w:t>LendingPool</w:t>
      </w:r>
      <w:r>
        <w:rPr>
          <w:rFonts w:ascii="Times New Roman" w:hAnsi="Times New Roman" w:eastAsia="Times New Roman"/>
        </w:rPr>
        <w:t>; there is no formal audit, fuzz or invariant testing; no KYC or AML; and primary validation rests on seven university-aged respondents, with no moderated usability test run.</w:t>
      </w:r>
    </w:p>
    <w:p>
      <w:pPr>
        <w:pStyle w:val="Heading2"/>
      </w:pPr>
      <w:r>
        <w:t>11.2 Ethics and regulation</w:t>
      </w:r>
    </w:p>
    <w:p>
      <w:pPr>
        <w:pStyle w:val="ListBullet"/>
        <w:spacing w:after="40"/>
      </w:pPr>
      <w:r>
        <w:rPr>
          <w:b/>
          <w:rFonts w:ascii="Times New Roman" w:hAnsi="Times New Roman" w:eastAsia="Times New Roman"/>
        </w:rPr>
        <w:t>Over-indebtedness.</w:t>
      </w:r>
      <w:r>
        <w:rPr>
          <w:rFonts w:ascii="Times New Roman" w:hAnsi="Times New Roman" w:eastAsia="Times New Roman"/>
        </w:rPr>
        <w:t xml:space="preserve"> Automated scoring can push credit onto those least able to absorb a shock. Exposure is capped through one open loan, small limits and the total cost shown up front, but affordability assessment is not implemented.</w:t>
      </w:r>
    </w:p>
    <w:p>
      <w:pPr>
        <w:pStyle w:val="ListBullet"/>
        <w:spacing w:after="40"/>
      </w:pPr>
      <w:r>
        <w:rPr>
          <w:b/>
          <w:rFonts w:ascii="Times New Roman" w:hAnsi="Times New Roman" w:eastAsia="Times New Roman"/>
        </w:rPr>
        <w:t>Fairness.</w:t>
      </w:r>
      <w:r>
        <w:rPr>
          <w:rFonts w:ascii="Times New Roman" w:hAnsi="Times New Roman" w:eastAsia="Times New Roman"/>
        </w:rPr>
        <w:t xml:space="preserve"> Protected attributes are excluded, yet proxies such as region still produce group differences; the rural to urban approval-rate ratio is 0.972. Fairness must be monitored continuously, not certified once.</w:t>
      </w:r>
    </w:p>
    <w:p>
      <w:pPr>
        <w:pStyle w:val="ListBullet"/>
        <w:spacing w:after="40"/>
      </w:pPr>
      <w:r>
        <w:rPr>
          <w:b/>
          <w:rFonts w:ascii="Times New Roman" w:hAnsi="Times New Roman" w:eastAsia="Times New Roman"/>
        </w:rPr>
        <w:t>Privacy.</w:t>
      </w:r>
      <w:r>
        <w:rPr>
          <w:rFonts w:ascii="Times New Roman" w:hAnsi="Times New Roman" w:eastAsia="Times New Roman"/>
        </w:rPr>
        <w:t xml:space="preserve"> A wallet address linked to a profile and a country is personal data under most regimes. Keeping only the score, its expiry and a model hash on-chain limits exposure, but the off-chain database still needs a retention policy and consent.</w:t>
      </w:r>
    </w:p>
    <w:p>
      <w:pPr>
        <w:pStyle w:val="ListBullet"/>
        <w:spacing w:after="40"/>
      </w:pPr>
      <w:r>
        <w:rPr>
          <w:b/>
          <w:rFonts w:ascii="Times New Roman" w:hAnsi="Times New Roman" w:eastAsia="Times New Roman"/>
        </w:rPr>
        <w:t>Regulation and exclusion.</w:t>
      </w:r>
      <w:r>
        <w:rPr>
          <w:rFonts w:ascii="Times New Roman" w:hAnsi="Times New Roman" w:eastAsia="Times New Roman"/>
        </w:rPr>
        <w:t xml:space="preserve"> Deposit-taking, lending and handling digital tokens are regulated, and none of the required licensing or KYC/AML is implemented. A smartphone and the ability to manage a key are also prerequisites, so removing the bank does not remove the digital divide.</w:t>
      </w:r>
    </w:p>
    <w:p>
      <w:pPr>
        <w:pStyle w:val="Heading2"/>
      </w:pPr>
      <w:r>
        <w:t>11.3 Future work</w:t>
      </w:r>
    </w:p>
    <w:p>
      <w:pPr>
        <w:pStyle w:val="ListBullet"/>
        <w:spacing w:after="40"/>
      </w:pPr>
      <w:r>
        <w:rPr>
          <w:rFonts w:ascii="Times New Roman" w:hAnsi="Times New Roman" w:eastAsia="Times New Roman"/>
        </w:rPr>
        <w:t>Replace the synthetic generator with a real or public dataset and re-evaluate discrimination, calibration and fairness against a fixed holdout, verifying score inputs with signed mobile-money statements or group-guarantee attestations instead of self-reporting.</w:t>
      </w:r>
    </w:p>
    <w:p>
      <w:pPr>
        <w:pStyle w:val="ListBullet"/>
        <w:spacing w:after="40"/>
      </w:pPr>
      <w:r>
        <w:rPr>
          <w:rFonts w:ascii="Times New Roman" w:hAnsi="Times New Roman" w:eastAsia="Times New Roman"/>
        </w:rPr>
        <w:t>Remove the scorer trust assumption with a zero-knowledge proof of model inference, or a threshold committee of scorers with on-chain quorum verification.</w:t>
      </w:r>
    </w:p>
    <w:p>
      <w:pPr>
        <w:pStyle w:val="ListBullet"/>
        <w:spacing w:after="40"/>
      </w:pPr>
      <w:r>
        <w:rPr>
          <w:rFonts w:ascii="Times New Roman" w:hAnsi="Times New Roman" w:eastAsia="Times New Roman"/>
        </w:rPr>
        <w:t>Put the admin behind a multisig plus a timelock, and separate the pause guardian from the role administrator.</w:t>
      </w:r>
    </w:p>
    <w:p>
      <w:pPr>
        <w:pStyle w:val="ListBullet"/>
        <w:spacing w:after="40"/>
      </w:pPr>
      <w:r>
        <w:rPr>
          <w:rFonts w:ascii="Times New Roman" w:hAnsi="Times New Roman" w:eastAsia="Times New Roman"/>
        </w:rPr>
        <w:t>Raise branch coverage with failure-path tests for CollateralVault and LendingPool, a donation-attack test, and invariants for the identity that cash plus outstanding equals lender assets plus reserve; fund the reserve externally; and redact credentials from public error output while rotating the exposed RPC key.</w:t>
      </w:r>
    </w:p>
    <w:p>
      <w:pPr>
        <w:pStyle w:val="Heading1"/>
      </w:pPr>
      <w:r>
        <w:t>12. Conclusion</w:t>
      </w:r>
    </w:p>
    <w:p>
      <w:r>
        <w:rPr>
          <w:rFonts w:ascii="Times New Roman" w:hAnsi="Times New Roman" w:eastAsia="Times New Roman"/>
        </w:rPr>
        <w:t>MicroLend delivers what the brief asks for and is honest about what it does not. It implements four interoperating contracts plus a mock stablecoin, 19 transaction types and five roles, a REST API with a persistent database and a 4-second event indexer, a six-page role-based dashboard, a documented scoring model with fairness checks and Monte-Carlo economics, gas analysis, an 83-case test pass, static analysis with triaged findings, and a public cloud deployment with continuous integration.</w:t>
      </w:r>
    </w:p>
    <w:p>
      <w:r>
        <w:rPr>
          <w:rFonts w:ascii="Times New Roman" w:hAnsi="Times New Roman" w:eastAsia="Times New Roman"/>
        </w:rPr>
        <w:t>The most defensible parts of the design are the separation of concerns, with money and permissions on-chain and computation off-chain while the database is a rebuildable projection rather than a source of truth, and the treatment of the AI score as a signed, versioned, expiring attestation that sets a tier but never approves a loan. The most useful analytical result is negative: a reserve funded only from borrower interest does not meaningfully protect lenders, whereas external first-loss capital does.</w:t>
      </w:r>
    </w:p>
    <w:p>
      <w:r>
        <w:rPr>
          <w:rFonts w:ascii="Times New Roman" w:hAnsi="Times New Roman" w:eastAsia="Times New Roman"/>
        </w:rPr>
        <w:t>The work that remains is the moderated usability test with five to ten participants, which would turn the interface findings from expert opinion into measured participant data.</w:t>
      </w:r>
    </w:p>
    <w:p>
      <w:pPr>
        <w:pStyle w:val="Heading1"/>
      </w:pPr>
      <w:r>
        <w:t>References</w:t>
      </w:r>
    </w:p>
    <w:p>
      <w:pPr>
        <w:spacing w:after="60"/>
      </w:pPr>
      <w:r>
        <w:rPr>
          <w:rFonts w:ascii="Times New Roman" w:hAnsi="Times New Roman" w:eastAsia="Times New Roman"/>
          <w:sz w:val="17"/>
        </w:rPr>
        <w:t xml:space="preserve">[1] World Bank and CGAP. </w:t>
      </w:r>
      <w:r>
        <w:rPr>
          <w:i/>
          <w:rFonts w:ascii="Times New Roman" w:hAnsi="Times New Roman" w:eastAsia="Times New Roman"/>
          <w:sz w:val="17"/>
        </w:rPr>
        <w:t>What's Next for Financial Inclusion: Unpacking Findex 2025.</w:t>
      </w:r>
      <w:r>
        <w:rPr>
          <w:rFonts w:ascii="Times New Roman" w:hAnsi="Times New Roman" w:eastAsia="Times New Roman"/>
          <w:sz w:val="17"/>
        </w:rPr>
        <w:t xml:space="preserve"> Global Findex 2025. https://connect4impact.worldbank.org/topic/whats-next-financial-inclusion-unpacking-findex-2025-2026. Used for the figure of about 1.3 billion unbanked adults and 75% account ownership in low- and middle-income countries.</w:t>
      </w:r>
    </w:p>
    <w:p>
      <w:pPr>
        <w:spacing w:after="60"/>
      </w:pPr>
      <w:r>
        <w:rPr>
          <w:rFonts w:ascii="Times New Roman" w:hAnsi="Times New Roman" w:eastAsia="Times New Roman"/>
          <w:sz w:val="17"/>
        </w:rPr>
        <w:t xml:space="preserve">[2] World Bank. </w:t>
      </w:r>
      <w:r>
        <w:rPr>
          <w:i/>
          <w:rFonts w:ascii="Times New Roman" w:hAnsi="Times New Roman" w:eastAsia="Times New Roman"/>
          <w:sz w:val="17"/>
        </w:rPr>
        <w:t>The Global Findex Database 2025.</w:t>
      </w:r>
      <w:r>
        <w:rPr>
          <w:rFonts w:ascii="Times New Roman" w:hAnsi="Times New Roman" w:eastAsia="Times New Roman"/>
          <w:sz w:val="17"/>
        </w:rPr>
        <w:t xml:space="preserve"> https://www.worldbank.org/en/publication/globalfindex</w:t>
      </w:r>
    </w:p>
    <w:p>
      <w:pPr>
        <w:spacing w:after="60"/>
      </w:pPr>
      <w:r>
        <w:rPr>
          <w:rFonts w:ascii="Times New Roman" w:hAnsi="Times New Roman" w:eastAsia="Times New Roman"/>
          <w:sz w:val="17"/>
        </w:rPr>
        <w:t xml:space="preserve">[3] MFIN and NCAER. </w:t>
      </w:r>
      <w:r>
        <w:rPr>
          <w:i/>
          <w:rFonts w:ascii="Times New Roman" w:hAnsi="Times New Roman" w:eastAsia="Times New Roman"/>
          <w:sz w:val="17"/>
        </w:rPr>
        <w:t>Assessing the Effectiveness of Regulated Small Borrowing in India.</w:t>
      </w:r>
      <w:r>
        <w:rPr>
          <w:rFonts w:ascii="Times New Roman" w:hAnsi="Times New Roman" w:eastAsia="Times New Roman"/>
          <w:sz w:val="17"/>
        </w:rPr>
        <w:t xml:space="preserve"> Microfinance Industry Network. https://mfinindia.org/assets/upload_image/publications/Studies/MFIN-NCAER-study-on-Assessing-the-Effectiveness-of-Regulated-Small-Borrowing-in-India.pdf. Source for the 5% to 10% flat interest charged by local moneylenders (row E4).</w:t>
      </w:r>
    </w:p>
    <w:p>
      <w:pPr>
        <w:spacing w:after="60"/>
      </w:pPr>
      <w:r>
        <w:rPr>
          <w:rFonts w:ascii="Times New Roman" w:hAnsi="Times New Roman" w:eastAsia="Times New Roman"/>
          <w:sz w:val="17"/>
        </w:rPr>
        <w:t xml:space="preserve">[4] MFIN. </w:t>
      </w:r>
      <w:r>
        <w:rPr>
          <w:i/>
          <w:rFonts w:ascii="Times New Roman" w:hAnsi="Times New Roman" w:eastAsia="Times New Roman"/>
          <w:sz w:val="17"/>
        </w:rPr>
        <w:t>Micro Matters: Macro View 2024-25.</w:t>
      </w:r>
      <w:r>
        <w:rPr>
          <w:rFonts w:ascii="Times New Roman" w:hAnsi="Times New Roman" w:eastAsia="Times New Roman"/>
          <w:sz w:val="17"/>
        </w:rPr>
        <w:t xml:space="preserve"> https://mfinindia.org/assets/upload_image/publications/Studies/MFIN%20Micro%20Matter%20-%20Macro%20View%202024-25.pdf. Portfolio at risk, 30+ days (row E5). The 31-180 day figure is reported by CareEdge Ratings, https://www.careratings.com/uploads/newsfiles/1760347854_NBFC-%20Microfinance%20Industry%20-%20CareEdge%20Report.pdf, and summarised by Moneycontrol, https://www.moneycontrol.com/news/business/microfinance-sector-s-portfolio-at-risk-31-180-days-rises-sharply-to-6-4-12949917.html.</w:t>
      </w:r>
    </w:p>
    <w:p>
      <w:pPr>
        <w:spacing w:after="60"/>
      </w:pPr>
      <w:r>
        <w:rPr>
          <w:rFonts w:ascii="Times New Roman" w:hAnsi="Times New Roman" w:eastAsia="Times New Roman"/>
          <w:sz w:val="17"/>
        </w:rPr>
        <w:t xml:space="preserve">[5] GSMA. </w:t>
      </w:r>
      <w:r>
        <w:rPr>
          <w:i/>
          <w:rFonts w:ascii="Times New Roman" w:hAnsi="Times New Roman" w:eastAsia="Times New Roman"/>
          <w:sz w:val="17"/>
        </w:rPr>
        <w:t>The State of the Industry Report on Mobile Money 2025.</w:t>
      </w:r>
      <w:r>
        <w:rPr>
          <w:rFonts w:ascii="Times New Roman" w:hAnsi="Times New Roman" w:eastAsia="Times New Roman"/>
          <w:sz w:val="17"/>
        </w:rPr>
        <w:t xml:space="preserve"> https://www.gsma.com/sotir. Mobile money passed two billion registered accounts and over 500 million monthly active users in 2024 (row E6).</w:t>
      </w:r>
    </w:p>
    <w:p>
      <w:pPr>
        <w:spacing w:after="60"/>
      </w:pPr>
      <w:r>
        <w:rPr>
          <w:rFonts w:ascii="Times New Roman" w:hAnsi="Times New Roman" w:eastAsia="Times New Roman"/>
          <w:sz w:val="17"/>
        </w:rPr>
        <w:t xml:space="preserve">[6] SC6113 course brief, </w:t>
      </w:r>
      <w:r>
        <w:rPr>
          <w:i/>
          <w:rFonts w:ascii="Times New Roman" w:hAnsi="Times New Roman" w:eastAsia="Times New Roman"/>
          <w:sz w:val="17"/>
        </w:rPr>
        <w:t>Group project candidate topics</w:t>
      </w:r>
      <w:r>
        <w:rPr>
          <w:rFonts w:ascii="Times New Roman" w:hAnsi="Times New Roman" w:eastAsia="Times New Roman"/>
          <w:sz w:val="17"/>
        </w:rPr>
        <w:t>: mandatory project requirements and the 100-mark rubric, including the 15-mark problem-analysis-and-validation criterion.</w:t>
      </w:r>
    </w:p>
    <w:p>
      <w:pPr>
        <w:spacing w:after="60"/>
      </w:pPr>
      <w:r>
        <w:rPr>
          <w:rFonts w:ascii="Times New Roman" w:hAnsi="Times New Roman" w:eastAsia="Times New Roman"/>
          <w:sz w:val="17"/>
        </w:rPr>
        <w:t>[7] MicroLend source repository. https://github.com/catjlx/microlend. Contains the contracts, backend, frontend, model pipeline, documentation and the Sepolia deployment record.</w:t>
      </w:r>
    </w:p>
    <w:p>
      <w:pPr>
        <w:spacing w:after="60"/>
      </w:pPr>
      <w:r>
        <w:rPr>
          <w:rFonts w:ascii="Times New Roman" w:hAnsi="Times New Roman" w:eastAsia="Times New Roman"/>
          <w:sz w:val="17"/>
        </w:rPr>
        <w:t>[8] MicroLend team documentation: architecture, security, testing, Slither triage, Sepolia deployment, requirement traceability and the report guide, in the docs directory of the repository.</w:t>
      </w:r>
    </w:p>
    <w:p>
      <w:pPr>
        <w:spacing w:after="60"/>
      </w:pPr>
      <w:r>
        <w:rPr>
          <w:rFonts w:ascii="Times New Roman" w:hAnsi="Times New Roman" w:eastAsia="Times New Roman"/>
          <w:sz w:val="17"/>
        </w:rPr>
        <w:t xml:space="preserve">[9] DONG RUNZHOU. </w:t>
      </w:r>
      <w:r>
        <w:rPr>
          <w:i/>
          <w:rFonts w:ascii="Times New Roman" w:hAnsi="Times New Roman" w:eastAsia="Times New Roman"/>
          <w:sz w:val="17"/>
        </w:rPr>
        <w:t>MicroLend Test Report</w:t>
      </w:r>
      <w:r>
        <w:rPr>
          <w:rFonts w:ascii="Times New Roman" w:hAnsi="Times New Roman" w:eastAsia="Times New Roman"/>
          <w:sz w:val="17"/>
        </w:rPr>
        <w:t>, version 1.0, 12 October 2026. Independent test pass: 83 cases and four defects.</w:t>
      </w:r>
    </w:p>
    <w:p>
      <w:pPr>
        <w:spacing w:after="60"/>
      </w:pPr>
      <w:r>
        <w:rPr>
          <w:rFonts w:ascii="Times New Roman" w:hAnsi="Times New Roman" w:eastAsia="Times New Roman"/>
          <w:sz w:val="17"/>
        </w:rPr>
        <w:t>[10] OpenZeppelin Contracts 5.0.2: AccessControl, ReentrancyGuard, SafeERC20, ECDSA, EIP712 and Pausable.</w:t>
      </w:r>
    </w:p>
    <w:p>
      <w:pPr>
        <w:spacing w:after="60"/>
      </w:pPr>
      <w:r>
        <w:rPr>
          <w:rFonts w:ascii="Times New Roman" w:hAnsi="Times New Roman" w:eastAsia="Times New Roman"/>
          <w:sz w:val="17"/>
        </w:rPr>
        <w:t xml:space="preserve">[11] EIP-712: </w:t>
      </w:r>
      <w:r>
        <w:rPr>
          <w:i/>
          <w:rFonts w:ascii="Times New Roman" w:hAnsi="Times New Roman" w:eastAsia="Times New Roman"/>
          <w:sz w:val="17"/>
        </w:rPr>
        <w:t>Typed structured data hashing and signing.</w:t>
      </w:r>
      <w:r>
        <w:rPr>
          <w:rFonts w:ascii="Times New Roman" w:hAnsi="Times New Roman" w:eastAsia="Times New Roman"/>
          <w:sz w:val="17"/>
        </w:rPr>
        <w:t xml:space="preserve"> https://eips.ethereum.org/EIPS/eip-712</w:t>
      </w:r>
    </w:p>
    <w:p>
      <w:pPr>
        <w:spacing w:after="60"/>
      </w:pPr>
      <w:r>
        <w:rPr>
          <w:rFonts w:ascii="Times New Roman" w:hAnsi="Times New Roman" w:eastAsia="Times New Roman"/>
          <w:sz w:val="17"/>
        </w:rPr>
        <w:t>[12] Slither 0.11.6 output, recorded as evidence logs 09 (before) and 10 (after) in the repository.</w:t>
      </w:r>
    </w:p>
    <w:p>
      <w:pPr>
        <w:spacing w:after="60"/>
      </w:pPr>
      <w:r>
        <w:rPr>
          <w:rFonts w:ascii="Times New Roman" w:hAnsi="Times New Roman" w:eastAsia="Times New Roman"/>
          <w:sz w:val="17"/>
        </w:rPr>
        <w:t xml:space="preserve">[13] Render. </w:t>
      </w:r>
      <w:r>
        <w:rPr>
          <w:i/>
          <w:rFonts w:ascii="Times New Roman" w:hAnsi="Times New Roman" w:eastAsia="Times New Roman"/>
          <w:sz w:val="17"/>
        </w:rPr>
        <w:t>Free instance types.</w:t>
      </w:r>
      <w:r>
        <w:rPr>
          <w:rFonts w:ascii="Times New Roman" w:hAnsi="Times New Roman" w:eastAsia="Times New Roman"/>
          <w:sz w:val="17"/>
        </w:rPr>
        <w:t xml:space="preserve"> https://render.com/docs/free. Sleep after 15 minutes idle and free PostgreSQL expiry after 30 days.</w:t>
      </w:r>
    </w:p>
    <w:p>
      <w:pPr>
        <w:pStyle w:val="Heading1"/>
      </w:pPr>
      <w:r>
        <w:t>Appendix A. Reproducing the results</w:t>
      </w:r>
    </w:p>
    <w:p>
      <w:pPr>
        <w:spacing w:before="80" w:after="160"/>
        <w:ind w:left="227"/>
        <w:shd w:val="clear" w:color="auto" w:fill="F2F2F2"/>
      </w:pPr>
      <w:r>
        <w:rPr>
          <w:rFonts w:ascii="Consolas" w:hAnsi="Consolas" w:eastAsia="Consolas"/>
          <w:sz w:val="18"/>
        </w:rPr>
        <w:t>npm run setup                 # install root, backend and frontend dependencies</w:t>
        <w:br/>
      </w:r>
      <w:r>
        <w:rPr>
          <w:rFonts w:ascii="Consolas" w:hAnsi="Consolas" w:eastAsia="Consolas"/>
          <w:sz w:val="18"/>
        </w:rPr>
        <w:t>npm run build:contracts       # compile and export ABIs to shared/abis</w:t>
        <w:br/>
      </w:r>
      <w:r>
        <w:rPr>
          <w:rFonts w:ascii="Consolas" w:hAnsi="Consolas" w:eastAsia="Consolas"/>
          <w:sz w:val="18"/>
        </w:rPr>
        <w:t>npm test                      # 49 contract tests</w:t>
        <w:br/>
      </w:r>
      <w:r>
        <w:rPr>
          <w:rFonts w:ascii="Consolas" w:hAnsi="Consolas" w:eastAsia="Consolas"/>
          <w:sz w:val="18"/>
        </w:rPr>
        <w:t>npm run test:gas              # gas table -&gt; docs/gas-report.txt</w:t>
        <w:br/>
      </w:r>
      <w:r>
        <w:rPr>
          <w:rFonts w:ascii="Consolas" w:hAnsi="Consolas" w:eastAsia="Consolas"/>
          <w:sz w:val="18"/>
        </w:rPr>
        <w:t>npm run coverage              # coverage report</w:t>
        <w:br/>
      </w:r>
      <w:r>
        <w:rPr>
          <w:rFonts w:ascii="Consolas" w:hAnsi="Consolas" w:eastAsia="Consolas"/>
          <w:sz w:val="18"/>
        </w:rPr>
        <w:t>npm --prefix backend test     # 16 scoring and API tests</w:t>
        <w:br/>
      </w:r>
      <w:r>
        <w:rPr>
          <w:rFonts w:ascii="Consolas" w:hAnsi="Consolas" w:eastAsia="Consolas"/>
          <w:sz w:val="18"/>
        </w:rPr>
        <w:t>npm --prefix frontend run build</w:t>
        <w:br/>
      </w:r>
      <w:r>
        <w:rPr>
          <w:rFonts w:ascii="Consolas" w:hAnsi="Consolas" w:eastAsia="Consolas"/>
          <w:sz w:val="18"/>
        </w:rPr>
        <w:t>python3 ml/train_model.py &amp;&amp; python3 ml/simulate_portfolio.py</w:t>
      </w:r>
    </w:p>
    <w:p>
      <w:r>
        <w:rPr>
          <w:rFonts w:ascii="Times New Roman" w:hAnsi="Times New Roman" w:eastAsia="Times New Roman"/>
        </w:rPr>
        <w:t>The local end-to-end system needs four terminals: the Hardhat node on port 8546 with chain id 31338, then the deploy, seed and environment scripts, then the backend on port 4000 and the Vite development server on port 5173. MetaMask must be pointed at the local RPC with chain id 31338, and the printed test private keys imported. Those keys come from a public mnemonic and are valid only on the local chain.</w:t>
      </w:r>
    </w:p>
    <w:p>
      <w:r>
        <w:rPr>
          <w:b/>
          <w:rFonts w:ascii="Times New Roman" w:hAnsi="Times New Roman" w:eastAsia="Times New Roman"/>
        </w:rPr>
        <w:t>Submitted deliverables.</w:t>
      </w:r>
      <w:r>
        <w:rPr>
          <w:rFonts w:ascii="Times New Roman" w:hAnsi="Times New Roman" w:eastAsia="Times New Roman"/>
        </w:rPr>
        <w:t xml:space="preserve"> The repository is at https://github.com/catjlx/microlend; the running application is at https://microlend-web.onrender.com with its API at https://microlend-api.onrender.com. The ten-minute demonstration video is at https://www.youtube.com/watch?v=yrgKagY_duw and the presentation slides are at https://youtu.be/S3S13By7L0E. The user manual, this report and the contribution report are submitted alongside them.</w:t>
      </w:r>
    </w:p>
    <w:p>
      <w:pPr>
        <w:pStyle w:val="Heading1"/>
      </w:pPr>
      <w:r>
        <w:t>Appendix B. Detailed reference tables</w:t>
      </w:r>
    </w:p>
    <w:p>
      <w:r>
        <w:rPr>
          <w:rFonts w:ascii="Times New Roman" w:hAnsi="Times New Roman" w:eastAsia="Times New Roman"/>
        </w:rPr>
        <w:t>These are supporting tables and one figure, moved out of the body so that the graded body stays within its page limit. They are referenced from Sections 9.6, 9.7, 10 and 11.1.</w:t>
      </w:r>
    </w:p>
    <w:p>
      <w:pPr>
        <w:keepNext/>
        <w:spacing w:after="40" w:before="80"/>
      </w:pPr>
      <w:r>
        <w:rPr>
          <w:b/>
          <w:color w:val="1F4E79"/>
          <w:sz w:val="16"/>
        </w:rPr>
        <w:t>Table 27. Deployed contracts on Ethereum Sepolia, chain id 11155111, deployed on 11 October 2026. All five were verified on Etherscan; the verified source for each is at https://sepolia.etherscan.io/address/&lt;address&gt;#code.</w:t>
      </w:r>
    </w:p>
    <w:tbl>
      <w:tblPr>
        <w:tblStyle w:val="TableGrid"/>
        <w:tblW w:type="auto" w:w="0"/>
        <w:jc w:val="center"/>
        <w:tblLook w:firstColumn="1" w:firstRow="1" w:lastColumn="0" w:lastRow="0" w:noHBand="0" w:noVBand="1" w:val="04A0"/>
      </w:tblPr>
      <w:tblGrid>
        <w:gridCol w:w="4394"/>
        <w:gridCol w:w="4394"/>
      </w:tblGrid>
      <w:tr>
        <w:tc>
          <w:tcPr>
            <w:tcW w:type="dxa" w:w="3175"/>
            <w:shd w:val="clear" w:color="auto" w:fill="1F4E79"/>
          </w:tcPr>
          <w:p>
            <w:pPr>
              <w:spacing w:after="0" w:line="240" w:lineRule="auto"/>
            </w:pPr>
            <w:r/>
            <w:r>
              <w:rPr>
                <w:b/>
                <w:color w:val="FFFFFF"/>
                <w:sz w:val="14"/>
                <w:rFonts w:ascii="Times New Roman" w:hAnsi="Times New Roman" w:eastAsia="Times New Roman"/>
              </w:rPr>
              <w:t>Contract</w:t>
            </w:r>
          </w:p>
        </w:tc>
        <w:tc>
          <w:tcPr>
            <w:tcW w:type="dxa" w:w="5613"/>
            <w:shd w:val="clear" w:color="auto" w:fill="1F4E79"/>
          </w:tcPr>
          <w:p>
            <w:pPr>
              <w:spacing w:after="0" w:line="240" w:lineRule="auto"/>
            </w:pPr>
            <w:r/>
            <w:r>
              <w:rPr>
                <w:b/>
                <w:color w:val="FFFFFF"/>
                <w:sz w:val="14"/>
                <w:rFonts w:ascii="Times New Roman" w:hAnsi="Times New Roman" w:eastAsia="Times New Roman"/>
              </w:rPr>
              <w:t>Sepolia address</w:t>
            </w:r>
          </w:p>
        </w:tc>
      </w:tr>
      <w:tr>
        <w:tc>
          <w:tcPr>
            <w:tcW w:type="dxa" w:w="3175"/>
          </w:tcPr>
          <w:p>
            <w:pPr>
              <w:spacing w:after="0" w:before="0" w:line="240" w:lineRule="auto"/>
            </w:pPr>
            <w:r>
              <w:rPr>
                <w:sz w:val="14"/>
              </w:rPr>
            </w:r>
            <w:r>
              <w:rPr>
                <w:rFonts w:ascii="Times New Roman" w:hAnsi="Times New Roman" w:eastAsia="Times New Roman"/>
                <w:sz w:val="14"/>
              </w:rPr>
              <w:t>MockStablecoin (mUSDC, 6 decimals)</w:t>
            </w:r>
          </w:p>
        </w:tc>
        <w:tc>
          <w:tcPr>
            <w:tcW w:type="dxa" w:w="5613"/>
          </w:tcPr>
          <w:p>
            <w:pPr>
              <w:spacing w:after="0" w:before="0" w:line="240" w:lineRule="auto"/>
            </w:pPr>
            <w:r>
              <w:rPr>
                <w:sz w:val="14"/>
              </w:rPr>
            </w:r>
            <w:r>
              <w:rPr>
                <w:rFonts w:ascii="Times New Roman" w:hAnsi="Times New Roman" w:eastAsia="Times New Roman"/>
                <w:sz w:val="14"/>
              </w:rPr>
              <w:t>0x882b02C3eeaC59BC42C283c6C8d32BaA3723B2d1</w:t>
            </w:r>
          </w:p>
        </w:tc>
      </w:tr>
      <w:tr>
        <w:tc>
          <w:tcPr>
            <w:tcW w:type="dxa" w:w="3175"/>
          </w:tcPr>
          <w:p>
            <w:pPr>
              <w:spacing w:after="0" w:before="0" w:line="240" w:lineRule="auto"/>
            </w:pPr>
            <w:r>
              <w:rPr>
                <w:sz w:val="14"/>
              </w:rPr>
            </w:r>
            <w:r>
              <w:rPr>
                <w:rFonts w:ascii="Times New Roman" w:hAnsi="Times New Roman" w:eastAsia="Times New Roman"/>
                <w:sz w:val="14"/>
              </w:rPr>
              <w:t>CreditRegistry</w:t>
            </w:r>
          </w:p>
        </w:tc>
        <w:tc>
          <w:tcPr>
            <w:tcW w:type="dxa" w:w="5613"/>
          </w:tcPr>
          <w:p>
            <w:pPr>
              <w:spacing w:after="0" w:before="0" w:line="240" w:lineRule="auto"/>
            </w:pPr>
            <w:r>
              <w:rPr>
                <w:sz w:val="14"/>
              </w:rPr>
            </w:r>
            <w:r>
              <w:rPr>
                <w:rFonts w:ascii="Times New Roman" w:hAnsi="Times New Roman" w:eastAsia="Times New Roman"/>
                <w:sz w:val="14"/>
              </w:rPr>
              <w:t>0xa80e874cA4C8C33b7c1887370005823f4cBe248F</w:t>
            </w:r>
          </w:p>
        </w:tc>
      </w:tr>
      <w:tr>
        <w:tc>
          <w:tcPr>
            <w:tcW w:type="dxa" w:w="3175"/>
          </w:tcPr>
          <w:p>
            <w:pPr>
              <w:spacing w:after="0" w:before="0" w:line="240" w:lineRule="auto"/>
            </w:pPr>
            <w:r>
              <w:rPr>
                <w:sz w:val="14"/>
              </w:rPr>
            </w:r>
            <w:r>
              <w:rPr>
                <w:rFonts w:ascii="Times New Roman" w:hAnsi="Times New Roman" w:eastAsia="Times New Roman"/>
                <w:sz w:val="14"/>
              </w:rPr>
              <w:t>LendingPool</w:t>
            </w:r>
          </w:p>
        </w:tc>
        <w:tc>
          <w:tcPr>
            <w:tcW w:type="dxa" w:w="5613"/>
          </w:tcPr>
          <w:p>
            <w:pPr>
              <w:spacing w:after="0" w:before="0" w:line="240" w:lineRule="auto"/>
            </w:pPr>
            <w:r>
              <w:rPr>
                <w:sz w:val="14"/>
              </w:rPr>
            </w:r>
            <w:r>
              <w:rPr>
                <w:rFonts w:ascii="Times New Roman" w:hAnsi="Times New Roman" w:eastAsia="Times New Roman"/>
                <w:sz w:val="14"/>
              </w:rPr>
              <w:t>0x576358F66d8d521bcd02A472Ef87F903f1c4f410</w:t>
            </w:r>
          </w:p>
        </w:tc>
      </w:tr>
      <w:tr>
        <w:tc>
          <w:tcPr>
            <w:tcW w:type="dxa" w:w="3175"/>
          </w:tcPr>
          <w:p>
            <w:pPr>
              <w:spacing w:after="0" w:before="0" w:line="240" w:lineRule="auto"/>
            </w:pPr>
            <w:r>
              <w:rPr>
                <w:sz w:val="14"/>
              </w:rPr>
            </w:r>
            <w:r>
              <w:rPr>
                <w:rFonts w:ascii="Times New Roman" w:hAnsi="Times New Roman" w:eastAsia="Times New Roman"/>
                <w:sz w:val="14"/>
              </w:rPr>
              <w:t>CollateralVault</w:t>
            </w:r>
          </w:p>
        </w:tc>
        <w:tc>
          <w:tcPr>
            <w:tcW w:type="dxa" w:w="5613"/>
          </w:tcPr>
          <w:p>
            <w:pPr>
              <w:spacing w:after="0" w:before="0" w:line="240" w:lineRule="auto"/>
            </w:pPr>
            <w:r>
              <w:rPr>
                <w:sz w:val="14"/>
              </w:rPr>
            </w:r>
            <w:r>
              <w:rPr>
                <w:rFonts w:ascii="Times New Roman" w:hAnsi="Times New Roman" w:eastAsia="Times New Roman"/>
                <w:sz w:val="14"/>
              </w:rPr>
              <w:t>0x9c7b61301E2573f0Ab52aA51669e496E1Cf10B31</w:t>
            </w:r>
          </w:p>
        </w:tc>
      </w:tr>
      <w:tr>
        <w:tc>
          <w:tcPr>
            <w:tcW w:type="dxa" w:w="3175"/>
          </w:tcPr>
          <w:p>
            <w:pPr>
              <w:spacing w:after="0" w:before="0" w:line="240" w:lineRule="auto"/>
            </w:pPr>
            <w:r>
              <w:rPr>
                <w:sz w:val="14"/>
              </w:rPr>
            </w:r>
            <w:r>
              <w:rPr>
                <w:rFonts w:ascii="Times New Roman" w:hAnsi="Times New Roman" w:eastAsia="Times New Roman"/>
                <w:sz w:val="14"/>
              </w:rPr>
              <w:t>LoanManager</w:t>
            </w:r>
          </w:p>
        </w:tc>
        <w:tc>
          <w:tcPr>
            <w:tcW w:type="dxa" w:w="5613"/>
          </w:tcPr>
          <w:p>
            <w:pPr>
              <w:spacing w:after="0" w:before="0" w:line="240" w:lineRule="auto"/>
            </w:pPr>
            <w:r>
              <w:rPr>
                <w:sz w:val="14"/>
              </w:rPr>
            </w:r>
            <w:r>
              <w:rPr>
                <w:rFonts w:ascii="Times New Roman" w:hAnsi="Times New Roman" w:eastAsia="Times New Roman"/>
                <w:sz w:val="14"/>
              </w:rPr>
              <w:t>0x9279A53E8E93cA960f682c3bAEd6cCC940aE0b69</w:t>
            </w:r>
          </w:p>
        </w:tc>
      </w:tr>
    </w:tbl>
    <w:p>
      <w:pPr>
        <w:spacing w:after="0" w:before="0"/>
      </w:pPr>
    </w:p>
    <w:p>
      <w:pPr>
        <w:keepNext/>
        <w:spacing w:after="40" w:before="80"/>
      </w:pPr>
      <w:r>
        <w:rPr>
          <w:b/>
          <w:color w:val="1F4E79"/>
          <w:sz w:val="16"/>
        </w:rPr>
        <w:t>Table 28. Deployment topology, with the continuous-integration evidence.</w:t>
      </w:r>
    </w:p>
    <w:tbl>
      <w:tblPr>
        <w:tblStyle w:val="TableGrid"/>
        <w:tblW w:type="auto" w:w="0"/>
        <w:jc w:val="center"/>
        <w:tblLook w:firstColumn="1" w:firstRow="1" w:lastColumn="0" w:lastRow="0" w:noHBand="0" w:noVBand="1" w:val="04A0"/>
      </w:tblPr>
      <w:tblGrid>
        <w:gridCol w:w="2929"/>
        <w:gridCol w:w="2929"/>
        <w:gridCol w:w="2929"/>
      </w:tblGrid>
      <w:tr>
        <w:tc>
          <w:tcPr>
            <w:tcW w:type="dxa" w:w="1361"/>
            <w:shd w:val="clear" w:color="auto" w:fill="1F4E79"/>
          </w:tcPr>
          <w:p>
            <w:pPr>
              <w:spacing w:after="0" w:line="240" w:lineRule="auto"/>
            </w:pPr>
            <w:r/>
            <w:r>
              <w:rPr>
                <w:b/>
                <w:color w:val="FFFFFF"/>
                <w:sz w:val="14"/>
                <w:rFonts w:ascii="Times New Roman" w:hAnsi="Times New Roman" w:eastAsia="Times New Roman"/>
              </w:rPr>
              <w:t>Component</w:t>
            </w:r>
          </w:p>
        </w:tc>
        <w:tc>
          <w:tcPr>
            <w:tcW w:type="dxa" w:w="2948"/>
            <w:shd w:val="clear" w:color="auto" w:fill="1F4E79"/>
          </w:tcPr>
          <w:p>
            <w:pPr>
              <w:spacing w:after="0" w:line="240" w:lineRule="auto"/>
            </w:pPr>
            <w:r/>
            <w:r>
              <w:rPr>
                <w:b/>
                <w:color w:val="FFFFFF"/>
                <w:sz w:val="14"/>
                <w:rFonts w:ascii="Times New Roman" w:hAnsi="Times New Roman" w:eastAsia="Times New Roman"/>
              </w:rPr>
              <w:t>Where</w:t>
            </w:r>
          </w:p>
        </w:tc>
        <w:tc>
          <w:tcPr>
            <w:tcW w:type="dxa" w:w="4479"/>
            <w:shd w:val="clear" w:color="auto" w:fill="1F4E79"/>
          </w:tcPr>
          <w:p>
            <w:pPr>
              <w:spacing w:after="0" w:line="240" w:lineRule="auto"/>
            </w:pPr>
            <w:r/>
            <w:r>
              <w:rPr>
                <w:b/>
                <w:color w:val="FFFFFF"/>
                <w:sz w:val="14"/>
                <w:rFonts w:ascii="Times New Roman" w:hAnsi="Times New Roman" w:eastAsia="Times New Roman"/>
              </w:rPr>
              <w:t>Notes</w:t>
            </w:r>
          </w:p>
        </w:tc>
      </w:tr>
      <w:tr>
        <w:tc>
          <w:tcPr>
            <w:tcW w:type="dxa" w:w="1361"/>
          </w:tcPr>
          <w:p>
            <w:pPr>
              <w:spacing w:after="0" w:before="0" w:line="240" w:lineRule="auto"/>
            </w:pPr>
            <w:r>
              <w:rPr>
                <w:sz w:val="14"/>
              </w:rPr>
            </w:r>
            <w:r>
              <w:rPr>
                <w:rFonts w:ascii="Times New Roman" w:hAnsi="Times New Roman" w:eastAsia="Times New Roman"/>
                <w:sz w:val="14"/>
              </w:rPr>
              <w:t>Frontend</w:t>
            </w:r>
          </w:p>
        </w:tc>
        <w:tc>
          <w:tcPr>
            <w:tcW w:type="dxa" w:w="2948"/>
          </w:tcPr>
          <w:p>
            <w:pPr>
              <w:spacing w:after="0" w:before="0" w:line="240" w:lineRule="auto"/>
            </w:pPr>
            <w:r>
              <w:rPr>
                <w:sz w:val="14"/>
              </w:rPr>
            </w:r>
            <w:r>
              <w:rPr>
                <w:rFonts w:ascii="Times New Roman" w:hAnsi="Times New Roman" w:eastAsia="Times New Roman"/>
                <w:sz w:val="14"/>
              </w:rPr>
              <w:t>https://microlend-web.onrender.com</w:t>
            </w:r>
          </w:p>
        </w:tc>
        <w:tc>
          <w:tcPr>
            <w:tcW w:type="dxa" w:w="4479"/>
          </w:tcPr>
          <w:p>
            <w:pPr>
              <w:spacing w:after="0" w:before="0" w:line="240" w:lineRule="auto"/>
            </w:pPr>
            <w:r>
              <w:rPr>
                <w:sz w:val="14"/>
              </w:rPr>
            </w:r>
            <w:r>
              <w:rPr>
                <w:rFonts w:ascii="Times New Roman" w:hAnsi="Times New Roman" w:eastAsia="Times New Roman"/>
                <w:sz w:val="14"/>
              </w:rPr>
              <w:t>Static site built by Vite; the API base URL is baked in at build time</w:t>
            </w:r>
          </w:p>
        </w:tc>
      </w:tr>
      <w:tr>
        <w:tc>
          <w:tcPr>
            <w:tcW w:type="dxa" w:w="1361"/>
          </w:tcPr>
          <w:p>
            <w:pPr>
              <w:spacing w:after="0" w:before="0" w:line="240" w:lineRule="auto"/>
            </w:pPr>
            <w:r>
              <w:rPr>
                <w:sz w:val="14"/>
              </w:rPr>
            </w:r>
            <w:r>
              <w:rPr>
                <w:rFonts w:ascii="Times New Roman" w:hAnsi="Times New Roman" w:eastAsia="Times New Roman"/>
                <w:sz w:val="14"/>
              </w:rPr>
              <w:t>API</w:t>
            </w:r>
          </w:p>
        </w:tc>
        <w:tc>
          <w:tcPr>
            <w:tcW w:type="dxa" w:w="2948"/>
          </w:tcPr>
          <w:p>
            <w:pPr>
              <w:spacing w:after="0" w:before="0" w:line="240" w:lineRule="auto"/>
            </w:pPr>
            <w:r>
              <w:rPr>
                <w:sz w:val="14"/>
              </w:rPr>
            </w:r>
            <w:r>
              <w:rPr>
                <w:rFonts w:ascii="Times New Roman" w:hAnsi="Times New Roman" w:eastAsia="Times New Roman"/>
                <w:sz w:val="14"/>
              </w:rPr>
              <w:t>https://microlend-api.onrender.com</w:t>
            </w:r>
          </w:p>
        </w:tc>
        <w:tc>
          <w:tcPr>
            <w:tcW w:type="dxa" w:w="4479"/>
          </w:tcPr>
          <w:p>
            <w:pPr>
              <w:spacing w:after="0" w:before="0" w:line="240" w:lineRule="auto"/>
            </w:pPr>
            <w:r>
              <w:rPr>
                <w:sz w:val="14"/>
              </w:rPr>
            </w:r>
            <w:r>
              <w:rPr>
                <w:rFonts w:ascii="Times New Roman" w:hAnsi="Times New Roman" w:eastAsia="Times New Roman"/>
                <w:sz w:val="14"/>
              </w:rPr>
              <w:t>Docker service built from the backend Dockerfile with the repository root as context, health-checked on /api/health</w:t>
            </w:r>
          </w:p>
        </w:tc>
      </w:tr>
      <w:tr>
        <w:tc>
          <w:tcPr>
            <w:tcW w:type="dxa" w:w="1361"/>
          </w:tcPr>
          <w:p>
            <w:pPr>
              <w:spacing w:after="0" w:before="0" w:line="240" w:lineRule="auto"/>
            </w:pPr>
            <w:r>
              <w:rPr>
                <w:sz w:val="14"/>
              </w:rPr>
            </w:r>
            <w:r>
              <w:rPr>
                <w:rFonts w:ascii="Times New Roman" w:hAnsi="Times New Roman" w:eastAsia="Times New Roman"/>
                <w:sz w:val="14"/>
              </w:rPr>
              <w:t>Database</w:t>
            </w:r>
          </w:p>
        </w:tc>
        <w:tc>
          <w:tcPr>
            <w:tcW w:type="dxa" w:w="2948"/>
          </w:tcPr>
          <w:p>
            <w:pPr>
              <w:spacing w:after="0" w:before="0" w:line="240" w:lineRule="auto"/>
            </w:pPr>
            <w:r>
              <w:rPr>
                <w:sz w:val="14"/>
              </w:rPr>
            </w:r>
            <w:r>
              <w:rPr>
                <w:rFonts w:ascii="Times New Roman" w:hAnsi="Times New Roman" w:eastAsia="Times New Roman"/>
                <w:sz w:val="14"/>
              </w:rPr>
              <w:t>Render managed PostgreSQL</w:t>
            </w:r>
          </w:p>
        </w:tc>
        <w:tc>
          <w:tcPr>
            <w:tcW w:type="dxa" w:w="4479"/>
          </w:tcPr>
          <w:p>
            <w:pPr>
              <w:spacing w:after="0" w:before="0" w:line="240" w:lineRule="auto"/>
            </w:pPr>
            <w:r>
              <w:rPr>
                <w:sz w:val="14"/>
              </w:rPr>
            </w:r>
            <w:r>
              <w:rPr>
                <w:rFonts w:ascii="Times New Roman" w:hAnsi="Times New Roman" w:eastAsia="Times New Roman"/>
                <w:sz w:val="14"/>
              </w:rPr>
              <w:t>The free tier is deleted 30 days after creation</w:t>
            </w:r>
          </w:p>
        </w:tc>
      </w:tr>
      <w:tr>
        <w:tc>
          <w:tcPr>
            <w:tcW w:type="dxa" w:w="1361"/>
          </w:tcPr>
          <w:p>
            <w:pPr>
              <w:spacing w:after="0" w:before="0" w:line="240" w:lineRule="auto"/>
            </w:pPr>
            <w:r>
              <w:rPr>
                <w:sz w:val="14"/>
              </w:rPr>
            </w:r>
            <w:r>
              <w:rPr>
                <w:rFonts w:ascii="Times New Roman" w:hAnsi="Times New Roman" w:eastAsia="Times New Roman"/>
                <w:sz w:val="14"/>
              </w:rPr>
              <w:t>Chain</w:t>
            </w:r>
          </w:p>
        </w:tc>
        <w:tc>
          <w:tcPr>
            <w:tcW w:type="dxa" w:w="2948"/>
          </w:tcPr>
          <w:p>
            <w:pPr>
              <w:spacing w:after="0" w:before="0" w:line="240" w:lineRule="auto"/>
            </w:pPr>
            <w:r>
              <w:rPr>
                <w:sz w:val="14"/>
              </w:rPr>
            </w:r>
            <w:r>
              <w:rPr>
                <w:rFonts w:ascii="Times New Roman" w:hAnsi="Times New Roman" w:eastAsia="Times New Roman"/>
                <w:sz w:val="14"/>
              </w:rPr>
              <w:t>Ethereum Sepolia via a JSON-RPC provider</w:t>
            </w:r>
          </w:p>
        </w:tc>
        <w:tc>
          <w:tcPr>
            <w:tcW w:type="dxa" w:w="4479"/>
          </w:tcPr>
          <w:p>
            <w:pPr>
              <w:spacing w:after="0" w:before="0" w:line="240" w:lineRule="auto"/>
            </w:pPr>
            <w:r>
              <w:rPr>
                <w:sz w:val="14"/>
              </w:rPr>
            </w:r>
            <w:r>
              <w:rPr>
                <w:rFonts w:ascii="Times New Roman" w:hAnsi="Times New Roman" w:eastAsia="Times New Roman"/>
                <w:sz w:val="14"/>
              </w:rPr>
              <w:t>The API holds no funds; it reads and signs only</w:t>
            </w:r>
          </w:p>
        </w:tc>
      </w:tr>
      <w:tr>
        <w:tc>
          <w:tcPr>
            <w:tcW w:type="dxa" w:w="1361"/>
          </w:tcPr>
          <w:p>
            <w:pPr>
              <w:spacing w:after="0" w:before="0" w:line="240" w:lineRule="auto"/>
            </w:pPr>
            <w:r>
              <w:rPr>
                <w:sz w:val="14"/>
              </w:rPr>
            </w:r>
            <w:r>
              <w:rPr>
                <w:rFonts w:ascii="Times New Roman" w:hAnsi="Times New Roman" w:eastAsia="Times New Roman"/>
                <w:sz w:val="14"/>
              </w:rPr>
              <w:t>Continuous integration</w:t>
            </w:r>
          </w:p>
        </w:tc>
        <w:tc>
          <w:tcPr>
            <w:tcW w:type="dxa" w:w="2948"/>
          </w:tcPr>
          <w:p>
            <w:pPr>
              <w:spacing w:after="0" w:before="0" w:line="240" w:lineRule="auto"/>
            </w:pPr>
            <w:r>
              <w:rPr>
                <w:sz w:val="14"/>
              </w:rPr>
            </w:r>
            <w:r>
              <w:rPr>
                <w:rFonts w:ascii="Times New Roman" w:hAnsi="Times New Roman" w:eastAsia="Times New Roman"/>
                <w:sz w:val="14"/>
              </w:rPr>
              <w:t>GitHub Actions, .github/workflows/ci.yml</w:t>
            </w:r>
          </w:p>
        </w:tc>
        <w:tc>
          <w:tcPr>
            <w:tcW w:type="dxa" w:w="4479"/>
          </w:tcPr>
          <w:p>
            <w:pPr>
              <w:spacing w:after="0" w:before="0" w:line="240" w:lineRule="auto"/>
            </w:pPr>
            <w:r>
              <w:rPr>
                <w:sz w:val="14"/>
              </w:rPr>
            </w:r>
            <w:r>
              <w:rPr>
                <w:rFonts w:ascii="Times New Roman" w:hAnsi="Times New Roman" w:eastAsia="Times New Roman"/>
                <w:sz w:val="14"/>
              </w:rPr>
              <w:t>Four parallel jobs on every push to main and every pull request: contracts (compile, 49 tests, gas report, Slither), backend (16 tests), frontend production build, and model (retrain plus the assertion that the JavaScript scorer reproduces the Python reference vectors). Six runs as of 14 October 2026, every one successful; the latest covers commit e7a8ae7d and completed in 1 minute 4 seconds, with contracts at 1m 1s and backend, frontend and model at 15s, 11s and 32s, uploading two artefacts. It also carries four Node.js 20 deprecation warnings. See Figures 11 and 12.</w:t>
            </w:r>
          </w:p>
        </w:tc>
      </w:tr>
    </w:tbl>
    <w:p>
      <w:pPr>
        <w:spacing w:after="0" w:before="0"/>
      </w:pPr>
    </w:p>
    <w:p>
      <w:pPr>
        <w:keepNext/>
        <w:spacing w:after="40" w:before="80"/>
      </w:pPr>
      <w:r>
        <w:rPr>
          <w:b/>
          <w:color w:val="1F4E79"/>
          <w:sz w:val="16"/>
        </w:rPr>
        <w:t>Table 29. Consolidated limitations.</w:t>
      </w:r>
    </w:p>
    <w:tbl>
      <w:tblPr>
        <w:tblStyle w:val="TableGrid"/>
        <w:tblW w:type="auto" w:w="0"/>
        <w:jc w:val="center"/>
        <w:tblLook w:firstColumn="1" w:firstRow="1" w:lastColumn="0" w:lastRow="0" w:noHBand="0" w:noVBand="1" w:val="04A0"/>
      </w:tblPr>
      <w:tblGrid>
        <w:gridCol w:w="2929"/>
        <w:gridCol w:w="2929"/>
        <w:gridCol w:w="2929"/>
      </w:tblGrid>
      <w:tr>
        <w:tc>
          <w:tcPr>
            <w:tcW w:type="dxa" w:w="510"/>
            <w:shd w:val="clear" w:color="auto" w:fill="1F4E79"/>
          </w:tcPr>
          <w:p>
            <w:pPr>
              <w:spacing w:after="0" w:line="240" w:lineRule="auto"/>
            </w:pPr>
            <w:r/>
            <w:r>
              <w:rPr>
                <w:b/>
                <w:color w:val="FFFFFF"/>
                <w:sz w:val="14"/>
                <w:rFonts w:ascii="Times New Roman" w:hAnsi="Times New Roman" w:eastAsia="Times New Roman"/>
              </w:rPr>
              <w:t>#</w:t>
            </w:r>
          </w:p>
        </w:tc>
        <w:tc>
          <w:tcPr>
            <w:tcW w:type="dxa" w:w="2948"/>
            <w:shd w:val="clear" w:color="auto" w:fill="1F4E79"/>
          </w:tcPr>
          <w:p>
            <w:pPr>
              <w:spacing w:after="0" w:line="240" w:lineRule="auto"/>
            </w:pPr>
            <w:r/>
            <w:r>
              <w:rPr>
                <w:b/>
                <w:color w:val="FFFFFF"/>
                <w:sz w:val="14"/>
                <w:rFonts w:ascii="Times New Roman" w:hAnsi="Times New Roman" w:eastAsia="Times New Roman"/>
              </w:rPr>
              <w:t>Limitation</w:t>
            </w:r>
          </w:p>
        </w:tc>
        <w:tc>
          <w:tcPr>
            <w:tcW w:type="dxa" w:w="5329"/>
            <w:shd w:val="clear" w:color="auto" w:fill="1F4E79"/>
          </w:tcPr>
          <w:p>
            <w:pPr>
              <w:spacing w:after="0" w:line="240" w:lineRule="auto"/>
            </w:pPr>
            <w:r/>
            <w:r>
              <w:rPr>
                <w:b/>
                <w:color w:val="FFFFFF"/>
                <w:sz w:val="14"/>
                <w:rFonts w:ascii="Times New Roman" w:hAnsi="Times New Roman" w:eastAsia="Times New Roman"/>
              </w:rPr>
              <w:t>Consequence</w:t>
            </w:r>
          </w:p>
        </w:tc>
      </w:tr>
      <w:tr>
        <w:tc>
          <w:tcPr>
            <w:tcW w:type="dxa" w:w="510"/>
          </w:tcPr>
          <w:p>
            <w:pPr>
              <w:spacing w:after="0" w:before="0" w:line="240" w:lineRule="auto"/>
            </w:pPr>
            <w:r>
              <w:rPr>
                <w:sz w:val="14"/>
              </w:rPr>
            </w:r>
            <w:r>
              <w:rPr>
                <w:rFonts w:ascii="Times New Roman" w:hAnsi="Times New Roman" w:eastAsia="Times New Roman"/>
                <w:sz w:val="14"/>
              </w:rPr>
              <w:t>L1</w:t>
            </w:r>
          </w:p>
        </w:tc>
        <w:tc>
          <w:tcPr>
            <w:tcW w:type="dxa" w:w="2948"/>
          </w:tcPr>
          <w:p>
            <w:pPr>
              <w:spacing w:after="0" w:before="0" w:line="240" w:lineRule="auto"/>
            </w:pPr>
            <w:r>
              <w:rPr>
                <w:sz w:val="14"/>
              </w:rPr>
            </w:r>
            <w:r>
              <w:rPr>
                <w:rFonts w:ascii="Times New Roman" w:hAnsi="Times New Roman" w:eastAsia="Times New Roman"/>
                <w:sz w:val="14"/>
              </w:rPr>
              <w:t>Self-reported questionnaire inputs</w:t>
            </w:r>
          </w:p>
        </w:tc>
        <w:tc>
          <w:tcPr>
            <w:tcW w:type="dxa" w:w="5329"/>
          </w:tcPr>
          <w:p>
            <w:pPr>
              <w:spacing w:after="0" w:before="0" w:line="240" w:lineRule="auto"/>
            </w:pPr>
            <w:r>
              <w:rPr>
                <w:sz w:val="14"/>
              </w:rPr>
            </w:r>
            <w:r>
              <w:rPr>
                <w:rFonts w:ascii="Times New Roman" w:hAnsi="Times New Roman" w:eastAsia="Times New Roman"/>
                <w:sz w:val="14"/>
              </w:rPr>
              <w:t>A dishonest borrower can inflate their score. This is mitigated by keeping the officer in the loop and by small limits and collateral, but it is not eliminated.</w:t>
            </w:r>
          </w:p>
        </w:tc>
      </w:tr>
      <w:tr>
        <w:tc>
          <w:tcPr>
            <w:tcW w:type="dxa" w:w="510"/>
          </w:tcPr>
          <w:p>
            <w:pPr>
              <w:spacing w:after="0" w:before="0" w:line="240" w:lineRule="auto"/>
            </w:pPr>
            <w:r>
              <w:rPr>
                <w:sz w:val="14"/>
              </w:rPr>
            </w:r>
            <w:r>
              <w:rPr>
                <w:rFonts w:ascii="Times New Roman" w:hAnsi="Times New Roman" w:eastAsia="Times New Roman"/>
                <w:sz w:val="14"/>
              </w:rPr>
              <w:t>L2</w:t>
            </w:r>
          </w:p>
        </w:tc>
        <w:tc>
          <w:tcPr>
            <w:tcW w:type="dxa" w:w="2948"/>
          </w:tcPr>
          <w:p>
            <w:pPr>
              <w:spacing w:after="0" w:before="0" w:line="240" w:lineRule="auto"/>
            </w:pPr>
            <w:r>
              <w:rPr>
                <w:sz w:val="14"/>
              </w:rPr>
            </w:r>
            <w:r>
              <w:rPr>
                <w:rFonts w:ascii="Times New Roman" w:hAnsi="Times New Roman" w:eastAsia="Times New Roman"/>
                <w:sz w:val="14"/>
              </w:rPr>
              <w:t>Synthetic training data, AUC about 0.68</w:t>
            </w:r>
          </w:p>
        </w:tc>
        <w:tc>
          <w:tcPr>
            <w:tcW w:type="dxa" w:w="5329"/>
          </w:tcPr>
          <w:p>
            <w:pPr>
              <w:spacing w:after="0" w:before="0" w:line="240" w:lineRule="auto"/>
            </w:pPr>
            <w:r>
              <w:rPr>
                <w:sz w:val="14"/>
              </w:rPr>
            </w:r>
            <w:r>
              <w:rPr>
                <w:rFonts w:ascii="Times New Roman" w:hAnsi="Times New Roman" w:eastAsia="Times New Roman"/>
                <w:sz w:val="14"/>
              </w:rPr>
              <w:t>Demonstrates the pipeline, not real-world predictive power.</w:t>
            </w:r>
          </w:p>
        </w:tc>
      </w:tr>
      <w:tr>
        <w:tc>
          <w:tcPr>
            <w:tcW w:type="dxa" w:w="510"/>
          </w:tcPr>
          <w:p>
            <w:pPr>
              <w:spacing w:after="0" w:before="0" w:line="240" w:lineRule="auto"/>
            </w:pPr>
            <w:r>
              <w:rPr>
                <w:sz w:val="14"/>
              </w:rPr>
            </w:r>
            <w:r>
              <w:rPr>
                <w:rFonts w:ascii="Times New Roman" w:hAnsi="Times New Roman" w:eastAsia="Times New Roman"/>
                <w:sz w:val="14"/>
              </w:rPr>
              <w:t>L3</w:t>
            </w:r>
          </w:p>
        </w:tc>
        <w:tc>
          <w:tcPr>
            <w:tcW w:type="dxa" w:w="2948"/>
          </w:tcPr>
          <w:p>
            <w:pPr>
              <w:spacing w:after="0" w:before="0" w:line="240" w:lineRule="auto"/>
            </w:pPr>
            <w:r>
              <w:rPr>
                <w:sz w:val="14"/>
              </w:rPr>
            </w:r>
            <w:r>
              <w:rPr>
                <w:rFonts w:ascii="Times New Roman" w:hAnsi="Times New Roman" w:eastAsia="Times New Roman"/>
                <w:sz w:val="14"/>
              </w:rPr>
              <w:t>The scorer key and the admin are trust anchors</w:t>
            </w:r>
          </w:p>
        </w:tc>
        <w:tc>
          <w:tcPr>
            <w:tcW w:type="dxa" w:w="5329"/>
          </w:tcPr>
          <w:p>
            <w:pPr>
              <w:spacing w:after="0" w:before="0" w:line="240" w:lineRule="auto"/>
            </w:pPr>
            <w:r>
              <w:rPr>
                <w:sz w:val="14"/>
              </w:rPr>
            </w:r>
            <w:r>
              <w:rPr>
                <w:rFonts w:ascii="Times New Roman" w:hAnsi="Times New Roman" w:eastAsia="Times New Roman"/>
                <w:sz w:val="14"/>
              </w:rPr>
              <w:t>A compromised scorer key can mint inflated scores, bounded by officer approval, tier limits and expiry; the admin can pause, block, reprice tiers and manage roles, and in production belongs behind a multisig and a timelock.</w:t>
            </w:r>
          </w:p>
        </w:tc>
      </w:tr>
      <w:tr>
        <w:tc>
          <w:tcPr>
            <w:tcW w:type="dxa" w:w="510"/>
          </w:tcPr>
          <w:p>
            <w:pPr>
              <w:spacing w:after="0" w:before="0" w:line="240" w:lineRule="auto"/>
            </w:pPr>
            <w:r>
              <w:rPr>
                <w:sz w:val="14"/>
              </w:rPr>
            </w:r>
            <w:r>
              <w:rPr>
                <w:rFonts w:ascii="Times New Roman" w:hAnsi="Times New Roman" w:eastAsia="Times New Roman"/>
                <w:sz w:val="14"/>
              </w:rPr>
              <w:t>L4</w:t>
            </w:r>
          </w:p>
        </w:tc>
        <w:tc>
          <w:tcPr>
            <w:tcW w:type="dxa" w:w="2948"/>
          </w:tcPr>
          <w:p>
            <w:pPr>
              <w:spacing w:after="0" w:before="0" w:line="240" w:lineRule="auto"/>
            </w:pPr>
            <w:r>
              <w:rPr>
                <w:sz w:val="14"/>
              </w:rPr>
            </w:r>
            <w:r>
              <w:rPr>
                <w:rFonts w:ascii="Times New Roman" w:hAnsi="Times New Roman" w:eastAsia="Times New Roman"/>
                <w:sz w:val="14"/>
              </w:rPr>
              <w:t>Simplified product on a mock stablecoin</w:t>
            </w:r>
          </w:p>
        </w:tc>
        <w:tc>
          <w:tcPr>
            <w:tcW w:type="dxa" w:w="5329"/>
          </w:tcPr>
          <w:p>
            <w:pPr>
              <w:spacing w:after="0" w:before="0" w:line="240" w:lineRule="auto"/>
            </w:pPr>
            <w:r>
              <w:rPr>
                <w:sz w:val="14"/>
              </w:rPr>
            </w:r>
            <w:r>
              <w:rPr>
                <w:rFonts w:ascii="Times New Roman" w:hAnsi="Times New Roman" w:eastAsia="Times New Roman"/>
                <w:sz w:val="14"/>
              </w:rPr>
              <w:t>Flat interest, single bullet maturity, no late fees, no restructuring and one loan at a time; a real stablecoin adds issuer, depeg, blacklist and fee-on-transfer risks that this accounting does not handle.</w:t>
            </w:r>
          </w:p>
        </w:tc>
      </w:tr>
      <w:tr>
        <w:tc>
          <w:tcPr>
            <w:tcW w:type="dxa" w:w="510"/>
          </w:tcPr>
          <w:p>
            <w:pPr>
              <w:spacing w:after="0" w:before="0" w:line="240" w:lineRule="auto"/>
            </w:pPr>
            <w:r>
              <w:rPr>
                <w:sz w:val="14"/>
              </w:rPr>
            </w:r>
            <w:r>
              <w:rPr>
                <w:rFonts w:ascii="Times New Roman" w:hAnsi="Times New Roman" w:eastAsia="Times New Roman"/>
                <w:sz w:val="14"/>
              </w:rPr>
              <w:t>L5</w:t>
            </w:r>
          </w:p>
        </w:tc>
        <w:tc>
          <w:tcPr>
            <w:tcW w:type="dxa" w:w="2948"/>
          </w:tcPr>
          <w:p>
            <w:pPr>
              <w:spacing w:after="0" w:before="0" w:line="240" w:lineRule="auto"/>
            </w:pPr>
            <w:r>
              <w:rPr>
                <w:sz w:val="14"/>
              </w:rPr>
            </w:r>
            <w:r>
              <w:rPr>
                <w:rFonts w:ascii="Times New Roman" w:hAnsi="Times New Roman" w:eastAsia="Times New Roman"/>
                <w:sz w:val="14"/>
              </w:rPr>
              <w:t>Reserve economics</w:t>
            </w:r>
          </w:p>
        </w:tc>
        <w:tc>
          <w:tcPr>
            <w:tcW w:type="dxa" w:w="5329"/>
          </w:tcPr>
          <w:p>
            <w:pPr>
              <w:spacing w:after="0" w:before="0" w:line="240" w:lineRule="auto"/>
            </w:pPr>
            <w:r>
              <w:rPr>
                <w:sz w:val="14"/>
              </w:rPr>
            </w:r>
            <w:r>
              <w:rPr>
                <w:rFonts w:ascii="Times New Roman" w:hAnsi="Times New Roman" w:eastAsia="Times New Roman"/>
                <w:sz w:val="14"/>
              </w:rPr>
              <w:t>A reserve funded only from interest barely improves lender safety; real protection needs external first-loss capital.</w:t>
            </w:r>
          </w:p>
        </w:tc>
      </w:tr>
      <w:tr>
        <w:tc>
          <w:tcPr>
            <w:tcW w:type="dxa" w:w="510"/>
          </w:tcPr>
          <w:p>
            <w:pPr>
              <w:spacing w:after="0" w:before="0" w:line="240" w:lineRule="auto"/>
            </w:pPr>
            <w:r>
              <w:rPr>
                <w:sz w:val="14"/>
              </w:rPr>
            </w:r>
            <w:r>
              <w:rPr>
                <w:rFonts w:ascii="Times New Roman" w:hAnsi="Times New Roman" w:eastAsia="Times New Roman"/>
                <w:sz w:val="14"/>
              </w:rPr>
              <w:t>L6</w:t>
            </w:r>
          </w:p>
        </w:tc>
        <w:tc>
          <w:tcPr>
            <w:tcW w:type="dxa" w:w="2948"/>
          </w:tcPr>
          <w:p>
            <w:pPr>
              <w:spacing w:after="0" w:before="0" w:line="240" w:lineRule="auto"/>
            </w:pPr>
            <w:r>
              <w:rPr>
                <w:sz w:val="14"/>
              </w:rPr>
            </w:r>
            <w:r>
              <w:rPr>
                <w:rFonts w:ascii="Times New Roman" w:hAnsi="Times New Roman" w:eastAsia="Times New Roman"/>
                <w:sz w:val="14"/>
              </w:rPr>
              <w:t>Coverage and assurance gaps</w:t>
            </w:r>
          </w:p>
        </w:tc>
        <w:tc>
          <w:tcPr>
            <w:tcW w:type="dxa" w:w="5329"/>
          </w:tcPr>
          <w:p>
            <w:pPr>
              <w:spacing w:after="0" w:before="0" w:line="240" w:lineRule="auto"/>
            </w:pPr>
            <w:r>
              <w:rPr>
                <w:sz w:val="14"/>
              </w:rPr>
            </w:r>
            <w:r>
              <w:rPr>
                <w:rFonts w:ascii="Times New Roman" w:hAnsi="Times New Roman" w:eastAsia="Times New Roman"/>
                <w:sz w:val="14"/>
              </w:rPr>
              <w:t>Branch coverage is 75.9%, with untested failure paths in CollateralVault at 58.3% and LendingPool at 69.5%; Slither and 49 tests are not a formal audit, fuzz or invariant test.</w:t>
            </w:r>
          </w:p>
        </w:tc>
      </w:tr>
      <w:tr>
        <w:tc>
          <w:tcPr>
            <w:tcW w:type="dxa" w:w="510"/>
          </w:tcPr>
          <w:p>
            <w:pPr>
              <w:spacing w:after="0" w:before="0" w:line="240" w:lineRule="auto"/>
            </w:pPr>
            <w:r>
              <w:rPr>
                <w:sz w:val="14"/>
              </w:rPr>
            </w:r>
            <w:r>
              <w:rPr>
                <w:rFonts w:ascii="Times New Roman" w:hAnsi="Times New Roman" w:eastAsia="Times New Roman"/>
                <w:sz w:val="14"/>
              </w:rPr>
              <w:t>L7</w:t>
            </w:r>
          </w:p>
        </w:tc>
        <w:tc>
          <w:tcPr>
            <w:tcW w:type="dxa" w:w="2948"/>
          </w:tcPr>
          <w:p>
            <w:pPr>
              <w:spacing w:after="0" w:before="0" w:line="240" w:lineRule="auto"/>
            </w:pPr>
            <w:r>
              <w:rPr>
                <w:sz w:val="14"/>
              </w:rPr>
            </w:r>
            <w:r>
              <w:rPr>
                <w:rFonts w:ascii="Times New Roman" w:hAnsi="Times New Roman" w:eastAsia="Times New Roman"/>
                <w:sz w:val="14"/>
              </w:rPr>
              <w:t>No KYC or AML</w:t>
            </w:r>
          </w:p>
        </w:tc>
        <w:tc>
          <w:tcPr>
            <w:tcW w:type="dxa" w:w="5329"/>
          </w:tcPr>
          <w:p>
            <w:pPr>
              <w:spacing w:after="0" w:before="0" w:line="240" w:lineRule="auto"/>
            </w:pPr>
            <w:r>
              <w:rPr>
                <w:sz w:val="14"/>
              </w:rPr>
            </w:r>
            <w:r>
              <w:rPr>
                <w:rFonts w:ascii="Times New Roman" w:hAnsi="Times New Roman" w:eastAsia="Times New Roman"/>
                <w:sz w:val="14"/>
              </w:rPr>
              <w:t>The prototype relies on a manual officer review and cannot satisfy regulatory obligations.</w:t>
            </w:r>
          </w:p>
        </w:tc>
      </w:tr>
      <w:tr>
        <w:tc>
          <w:tcPr>
            <w:tcW w:type="dxa" w:w="510"/>
          </w:tcPr>
          <w:p>
            <w:pPr>
              <w:spacing w:after="0" w:before="0" w:line="240" w:lineRule="auto"/>
            </w:pPr>
            <w:r>
              <w:rPr>
                <w:sz w:val="14"/>
              </w:rPr>
            </w:r>
            <w:r>
              <w:rPr>
                <w:rFonts w:ascii="Times New Roman" w:hAnsi="Times New Roman" w:eastAsia="Times New Roman"/>
                <w:sz w:val="14"/>
              </w:rPr>
              <w:t>L8</w:t>
            </w:r>
          </w:p>
        </w:tc>
        <w:tc>
          <w:tcPr>
            <w:tcW w:type="dxa" w:w="2948"/>
          </w:tcPr>
          <w:p>
            <w:pPr>
              <w:spacing w:after="0" w:before="0" w:line="240" w:lineRule="auto"/>
            </w:pPr>
            <w:r>
              <w:rPr>
                <w:sz w:val="14"/>
              </w:rPr>
            </w:r>
            <w:r>
              <w:rPr>
                <w:rFonts w:ascii="Times New Roman" w:hAnsi="Times New Roman" w:eastAsia="Times New Roman"/>
                <w:sz w:val="14"/>
              </w:rPr>
              <w:t>Validation sample and default handling</w:t>
            </w:r>
          </w:p>
        </w:tc>
        <w:tc>
          <w:tcPr>
            <w:tcW w:type="dxa" w:w="5329"/>
          </w:tcPr>
          <w:p>
            <w:pPr>
              <w:spacing w:after="0" w:before="0" w:line="240" w:lineRule="auto"/>
            </w:pPr>
            <w:r>
              <w:rPr>
                <w:sz w:val="14"/>
              </w:rPr>
            </w:r>
            <w:r>
              <w:rPr>
                <w:rFonts w:ascii="Times New Roman" w:hAnsi="Times New Roman" w:eastAsia="Times New Roman"/>
                <w:sz w:val="14"/>
              </w:rPr>
              <w:t>Primary validation rests on seven university-aged respondents rather than the target market, and no moderated usability test has been run. The default path (S6) is covered by automated tests and a local demonstration only; it was not exercised on Sepolia, because the 7-day grace period after the due date had not elapsed at the time of the recorded run.</w:t>
            </w:r>
          </w:p>
        </w:tc>
      </w:tr>
    </w:tbl>
    <w:p>
      <w:pPr>
        <w:spacing w:after="0" w:before="0"/>
      </w:pPr>
    </w:p>
    <w:p>
      <w:pPr>
        <w:keepNext/>
        <w:spacing w:before="60" w:after="20"/>
        <w:jc w:val="center"/>
      </w:pPr>
      <w:r>
        <w:drawing>
          <wp:inline xmlns:a="http://schemas.openxmlformats.org/drawingml/2006/main" xmlns:pic="http://schemas.openxmlformats.org/drawingml/2006/picture">
            <wp:extent cx="5256000" cy="2890800"/>
            <wp:docPr id="10" name="Picture 10"/>
            <wp:cNvGraphicFramePr>
              <a:graphicFrameLocks noChangeAspect="1"/>
            </wp:cNvGraphicFramePr>
            <a:graphic>
              <a:graphicData uri="http://schemas.openxmlformats.org/drawingml/2006/picture">
                <pic:pic>
                  <pic:nvPicPr>
                    <pic:cNvPr id="0" name="fig_portfolio.png"/>
                    <pic:cNvPicPr/>
                  </pic:nvPicPr>
                  <pic:blipFill>
                    <a:blip r:embed="rId19"/>
                    <a:stretch>
                      <a:fillRect/>
                    </a:stretch>
                  </pic:blipFill>
                  <pic:spPr>
                    <a:xfrm>
                      <a:off x="0" y="0"/>
                      <a:ext cx="5256000" cy="2890800"/>
                    </a:xfrm>
                    <a:prstGeom prst="rect"/>
                  </pic:spPr>
                </pic:pic>
              </a:graphicData>
            </a:graphic>
          </wp:inline>
        </w:drawing>
      </w:r>
    </w:p>
    <w:p>
      <w:pPr>
        <w:keepLines/>
        <w:spacing w:after="120" w:line="240" w:lineRule="auto"/>
        <w:jc w:val="center"/>
      </w:pPr>
      <w:r>
        <w:rPr>
          <w:i/>
          <w:color w:val="595959"/>
          <w:sz w:val="15"/>
        </w:rPr>
        <w:t>Figure 10. Lender return as the portfolio default rate rises, under tiered terms and under a single flat product, from the Monte-Carlo simulation of 500 loans per pool and 1,000 trials per setting on synthetic borrowers. The gap between the two curves, and the break-even markers, are the quantitative argument for risk-based pricing.</w:t>
      </w:r>
    </w:p>
    <w:p>
      <w:pPr>
        <w:keepNext/>
        <w:spacing w:after="40" w:before="80"/>
      </w:pPr>
      <w:r>
        <w:rPr>
          <w:b/>
          <w:color w:val="1F4E79"/>
          <w:sz w:val="16"/>
        </w:rPr>
        <w:t>Table 30. Problem-validation survey results. Seven anonymous respondents aged 22 to 24, not members of the team. Likert items are 1 = strongly disagree or very unlikely and 5 = strongly agree or very likely. Collected 12 October 2026; the raw responses are held in the team's response workbook.</w:t>
      </w:r>
    </w:p>
    <w:tbl>
      <w:tblPr>
        <w:tblStyle w:val="TableGrid"/>
        <w:tblW w:type="auto" w:w="0"/>
        <w:jc w:val="center"/>
        <w:tblLook w:firstColumn="1" w:firstRow="1" w:lastColumn="0" w:lastRow="0" w:noHBand="0" w:noVBand="1" w:val="04A0"/>
      </w:tblPr>
      <w:tblGrid>
        <w:gridCol w:w="2929"/>
        <w:gridCol w:w="2929"/>
        <w:gridCol w:w="2929"/>
      </w:tblGrid>
      <w:tr>
        <w:tc>
          <w:tcPr>
            <w:tcW w:type="dxa" w:w="3628"/>
            <w:shd w:val="clear" w:color="auto" w:fill="1F4E79"/>
          </w:tcPr>
          <w:p>
            <w:pPr>
              <w:spacing w:after="0" w:line="240" w:lineRule="auto"/>
            </w:pPr>
            <w:r/>
            <w:r>
              <w:rPr>
                <w:b/>
                <w:color w:val="FFFFFF"/>
                <w:sz w:val="14"/>
                <w:rFonts w:ascii="Times New Roman" w:hAnsi="Times New Roman" w:eastAsia="Times New Roman"/>
              </w:rPr>
              <w:t>Question</w:t>
            </w:r>
          </w:p>
        </w:tc>
        <w:tc>
          <w:tcPr>
            <w:tcW w:type="dxa" w:w="3742"/>
            <w:shd w:val="clear" w:color="auto" w:fill="1F4E79"/>
          </w:tcPr>
          <w:p>
            <w:pPr>
              <w:spacing w:after="0" w:line="240" w:lineRule="auto"/>
            </w:pPr>
            <w:r/>
            <w:r>
              <w:rPr>
                <w:b/>
                <w:color w:val="FFFFFF"/>
                <w:sz w:val="14"/>
                <w:rFonts w:ascii="Times New Roman" w:hAnsi="Times New Roman" w:eastAsia="Times New Roman"/>
              </w:rPr>
              <w:t>Result</w:t>
            </w:r>
          </w:p>
        </w:tc>
        <w:tc>
          <w:tcPr>
            <w:tcW w:type="dxa" w:w="1417"/>
            <w:shd w:val="clear" w:color="auto" w:fill="1F4E79"/>
          </w:tcPr>
          <w:p>
            <w:pPr>
              <w:spacing w:after="0" w:line="240" w:lineRule="auto"/>
            </w:pPr>
            <w:r/>
            <w:r>
              <w:rPr>
                <w:b/>
                <w:color w:val="FFFFFF"/>
                <w:sz w:val="14"/>
                <w:rFonts w:ascii="Times New Roman" w:hAnsi="Times New Roman" w:eastAsia="Times New Roman"/>
              </w:rPr>
              <w:t>n</w:t>
            </w:r>
          </w:p>
        </w:tc>
      </w:tr>
      <w:tr>
        <w:tc>
          <w:tcPr>
            <w:tcW w:type="dxa" w:w="3628"/>
          </w:tcPr>
          <w:p>
            <w:pPr>
              <w:spacing w:after="0" w:before="0" w:line="240" w:lineRule="auto"/>
            </w:pPr>
            <w:r>
              <w:rPr>
                <w:sz w:val="14"/>
              </w:rPr>
            </w:r>
            <w:r>
              <w:rPr>
                <w:rFonts w:ascii="Times New Roman" w:hAnsi="Times New Roman" w:eastAsia="Times New Roman"/>
                <w:sz w:val="14"/>
              </w:rPr>
              <w:t>Respondents (not team members)</w:t>
            </w:r>
          </w:p>
        </w:tc>
        <w:tc>
          <w:tcPr>
            <w:tcW w:type="dxa" w:w="3742"/>
          </w:tcPr>
          <w:p>
            <w:pPr>
              <w:spacing w:after="0" w:before="0" w:line="240" w:lineRule="auto"/>
            </w:pPr>
            <w:r>
              <w:rPr>
                <w:sz w:val="14"/>
              </w:rPr>
            </w:r>
            <w:r>
              <w:rPr>
                <w:rFonts w:ascii="Times New Roman" w:hAnsi="Times New Roman" w:eastAsia="Times New Roman"/>
                <w:sz w:val="14"/>
              </w:rPr>
              <w:t>7</w:t>
            </w:r>
          </w:p>
        </w:tc>
        <w:tc>
          <w:tcPr>
            <w:tcW w:type="dxa" w:w="1417"/>
          </w:tcPr>
          <w:p>
            <w:pPr>
              <w:spacing w:after="0" w:before="0" w:line="240" w:lineRule="auto"/>
            </w:pPr>
            <w:r>
              <w:rPr>
                <w:sz w:val="14"/>
              </w:rPr>
            </w:r>
            <w:r>
              <w:rPr>
                <w:rFonts w:ascii="Times New Roman" w:hAnsi="Times New Roman" w:eastAsia="Times New Roman"/>
                <w:sz w:val="14"/>
              </w:rPr>
              <w:t>7</w:t>
            </w:r>
          </w:p>
        </w:tc>
      </w:tr>
      <w:tr>
        <w:tc>
          <w:tcPr>
            <w:tcW w:type="dxa" w:w="3628"/>
          </w:tcPr>
          <w:p>
            <w:pPr>
              <w:spacing w:after="0" w:before="0" w:line="240" w:lineRule="auto"/>
            </w:pPr>
            <w:r>
              <w:rPr>
                <w:sz w:val="14"/>
              </w:rPr>
            </w:r>
            <w:r>
              <w:rPr>
                <w:rFonts w:ascii="Times New Roman" w:hAnsi="Times New Roman" w:eastAsia="Times New Roman"/>
                <w:sz w:val="14"/>
              </w:rPr>
              <w:t>No formal credit record</w:t>
            </w:r>
          </w:p>
        </w:tc>
        <w:tc>
          <w:tcPr>
            <w:tcW w:type="dxa" w:w="3742"/>
          </w:tcPr>
          <w:p>
            <w:pPr>
              <w:spacing w:after="0" w:before="0" w:line="240" w:lineRule="auto"/>
            </w:pPr>
            <w:r>
              <w:rPr>
                <w:sz w:val="14"/>
              </w:rPr>
            </w:r>
            <w:r>
              <w:rPr>
                <w:rFonts w:ascii="Times New Roman" w:hAnsi="Times New Roman" w:eastAsia="Times New Roman"/>
                <w:sz w:val="14"/>
              </w:rPr>
              <w:t>7 (100%)</w:t>
            </w:r>
          </w:p>
        </w:tc>
        <w:tc>
          <w:tcPr>
            <w:tcW w:type="dxa" w:w="1417"/>
          </w:tcPr>
          <w:p>
            <w:pPr>
              <w:spacing w:after="0" w:before="0" w:line="240" w:lineRule="auto"/>
            </w:pPr>
            <w:r>
              <w:rPr>
                <w:sz w:val="14"/>
              </w:rPr>
            </w:r>
            <w:r>
              <w:rPr>
                <w:rFonts w:ascii="Times New Roman" w:hAnsi="Times New Roman" w:eastAsia="Times New Roman"/>
                <w:sz w:val="14"/>
              </w:rPr>
              <w:t>7</w:t>
            </w:r>
          </w:p>
        </w:tc>
      </w:tr>
      <w:tr>
        <w:tc>
          <w:tcPr>
            <w:tcW w:type="dxa" w:w="3628"/>
          </w:tcPr>
          <w:p>
            <w:pPr>
              <w:spacing w:after="0" w:before="0" w:line="240" w:lineRule="auto"/>
            </w:pPr>
            <w:r>
              <w:rPr>
                <w:sz w:val="14"/>
              </w:rPr>
            </w:r>
            <w:r>
              <w:rPr>
                <w:rFonts w:ascii="Times New Roman" w:hAnsi="Times New Roman" w:eastAsia="Times New Roman"/>
                <w:sz w:val="14"/>
              </w:rPr>
              <w:t>Refused, or did not apply for fear of refusal</w:t>
            </w:r>
          </w:p>
        </w:tc>
        <w:tc>
          <w:tcPr>
            <w:tcW w:type="dxa" w:w="3742"/>
          </w:tcPr>
          <w:p>
            <w:pPr>
              <w:spacing w:after="0" w:before="0" w:line="240" w:lineRule="auto"/>
            </w:pPr>
            <w:r>
              <w:rPr>
                <w:sz w:val="14"/>
              </w:rPr>
            </w:r>
            <w:r>
              <w:rPr>
                <w:rFonts w:ascii="Times New Roman" w:hAnsi="Times New Roman" w:eastAsia="Times New Roman"/>
                <w:sz w:val="14"/>
              </w:rPr>
              <w:t>6 (86%)</w:t>
            </w:r>
          </w:p>
        </w:tc>
        <w:tc>
          <w:tcPr>
            <w:tcW w:type="dxa" w:w="1417"/>
          </w:tcPr>
          <w:p>
            <w:pPr>
              <w:spacing w:after="0" w:before="0" w:line="240" w:lineRule="auto"/>
            </w:pPr>
            <w:r>
              <w:rPr>
                <w:sz w:val="14"/>
              </w:rPr>
            </w:r>
            <w:r>
              <w:rPr>
                <w:rFonts w:ascii="Times New Roman" w:hAnsi="Times New Roman" w:eastAsia="Times New Roman"/>
                <w:sz w:val="14"/>
              </w:rPr>
              <w:t>7</w:t>
            </w:r>
          </w:p>
        </w:tc>
      </w:tr>
      <w:tr>
        <w:tc>
          <w:tcPr>
            <w:tcW w:type="dxa" w:w="3628"/>
          </w:tcPr>
          <w:p>
            <w:pPr>
              <w:spacing w:after="0" w:before="0" w:line="240" w:lineRule="auto"/>
            </w:pPr>
            <w:r>
              <w:rPr>
                <w:sz w:val="14"/>
              </w:rPr>
            </w:r>
            <w:r>
              <w:rPr>
                <w:rFonts w:ascii="Times New Roman" w:hAnsi="Times New Roman" w:eastAsia="Times New Roman"/>
                <w:sz w:val="14"/>
              </w:rPr>
              <w:t>Needed a small loan at least once in 12 months</w:t>
            </w:r>
          </w:p>
        </w:tc>
        <w:tc>
          <w:tcPr>
            <w:tcW w:type="dxa" w:w="3742"/>
          </w:tcPr>
          <w:p>
            <w:pPr>
              <w:spacing w:after="0" w:before="0" w:line="240" w:lineRule="auto"/>
            </w:pPr>
            <w:r>
              <w:rPr>
                <w:sz w:val="14"/>
              </w:rPr>
            </w:r>
            <w:r>
              <w:rPr>
                <w:rFonts w:ascii="Times New Roman" w:hAnsi="Times New Roman" w:eastAsia="Times New Roman"/>
                <w:sz w:val="14"/>
              </w:rPr>
              <w:t>5 (71%)</w:t>
            </w:r>
          </w:p>
        </w:tc>
        <w:tc>
          <w:tcPr>
            <w:tcW w:type="dxa" w:w="1417"/>
          </w:tcPr>
          <w:p>
            <w:pPr>
              <w:spacing w:after="0" w:before="0" w:line="240" w:lineRule="auto"/>
            </w:pPr>
            <w:r>
              <w:rPr>
                <w:sz w:val="14"/>
              </w:rPr>
            </w:r>
            <w:r>
              <w:rPr>
                <w:rFonts w:ascii="Times New Roman" w:hAnsi="Times New Roman" w:eastAsia="Times New Roman"/>
                <w:sz w:val="14"/>
              </w:rPr>
              <w:t>7</w:t>
            </w:r>
          </w:p>
        </w:tc>
      </w:tr>
      <w:tr>
        <w:tc>
          <w:tcPr>
            <w:tcW w:type="dxa" w:w="3628"/>
          </w:tcPr>
          <w:p>
            <w:pPr>
              <w:spacing w:after="0" w:before="0" w:line="240" w:lineRule="auto"/>
            </w:pPr>
            <w:r>
              <w:rPr>
                <w:sz w:val="14"/>
              </w:rPr>
            </w:r>
            <w:r>
              <w:rPr>
                <w:rFonts w:ascii="Times New Roman" w:hAnsi="Times New Roman" w:eastAsia="Times New Roman"/>
                <w:sz w:val="14"/>
              </w:rPr>
              <w:t>Borrowed from family rather than a bank</w:t>
            </w:r>
          </w:p>
        </w:tc>
        <w:tc>
          <w:tcPr>
            <w:tcW w:type="dxa" w:w="3742"/>
          </w:tcPr>
          <w:p>
            <w:pPr>
              <w:spacing w:after="0" w:before="0" w:line="240" w:lineRule="auto"/>
            </w:pPr>
            <w:r>
              <w:rPr>
                <w:sz w:val="14"/>
              </w:rPr>
            </w:r>
            <w:r>
              <w:rPr>
                <w:rFonts w:ascii="Times New Roman" w:hAnsi="Times New Roman" w:eastAsia="Times New Roman"/>
                <w:sz w:val="14"/>
              </w:rPr>
              <w:t>4 (57%)</w:t>
            </w:r>
          </w:p>
        </w:tc>
        <w:tc>
          <w:tcPr>
            <w:tcW w:type="dxa" w:w="1417"/>
          </w:tcPr>
          <w:p>
            <w:pPr>
              <w:spacing w:after="0" w:before="0" w:line="240" w:lineRule="auto"/>
            </w:pPr>
            <w:r>
              <w:rPr>
                <w:sz w:val="14"/>
              </w:rPr>
            </w:r>
            <w:r>
              <w:rPr>
                <w:rFonts w:ascii="Times New Roman" w:hAnsi="Times New Roman" w:eastAsia="Times New Roman"/>
                <w:sz w:val="14"/>
              </w:rPr>
              <w:t>7</w:t>
            </w:r>
          </w:p>
        </w:tc>
      </w:tr>
      <w:tr>
        <w:tc>
          <w:tcPr>
            <w:tcW w:type="dxa" w:w="3628"/>
          </w:tcPr>
          <w:p>
            <w:pPr>
              <w:spacing w:after="0" w:before="0" w:line="240" w:lineRule="auto"/>
            </w:pPr>
            <w:r>
              <w:rPr>
                <w:sz w:val="14"/>
              </w:rPr>
            </w:r>
            <w:r>
              <w:rPr>
                <w:rFonts w:ascii="Times New Roman" w:hAnsi="Times New Roman" w:eastAsia="Times New Roman"/>
                <w:sz w:val="14"/>
              </w:rPr>
              <w:t>"Lenders make it hard without a bank record" (mean of 5)</w:t>
            </w:r>
          </w:p>
        </w:tc>
        <w:tc>
          <w:tcPr>
            <w:tcW w:type="dxa" w:w="3742"/>
          </w:tcPr>
          <w:p>
            <w:pPr>
              <w:spacing w:after="0" w:before="0" w:line="240" w:lineRule="auto"/>
            </w:pPr>
            <w:r>
              <w:rPr>
                <w:sz w:val="14"/>
              </w:rPr>
            </w:r>
            <w:r>
              <w:rPr>
                <w:rFonts w:ascii="Times New Roman" w:hAnsi="Times New Roman" w:eastAsia="Times New Roman"/>
                <w:sz w:val="14"/>
              </w:rPr>
              <w:t>4.57, sd 0.54, 7 of 7 at 4 or 5</w:t>
            </w:r>
          </w:p>
        </w:tc>
        <w:tc>
          <w:tcPr>
            <w:tcW w:type="dxa" w:w="1417"/>
          </w:tcPr>
          <w:p>
            <w:pPr>
              <w:spacing w:after="0" w:before="0" w:line="240" w:lineRule="auto"/>
            </w:pPr>
            <w:r>
              <w:rPr>
                <w:sz w:val="14"/>
              </w:rPr>
            </w:r>
            <w:r>
              <w:rPr>
                <w:rFonts w:ascii="Times New Roman" w:hAnsi="Times New Roman" w:eastAsia="Times New Roman"/>
                <w:sz w:val="14"/>
              </w:rPr>
              <w:t>7</w:t>
            </w:r>
          </w:p>
        </w:tc>
      </w:tr>
      <w:tr>
        <w:tc>
          <w:tcPr>
            <w:tcW w:type="dxa" w:w="3628"/>
          </w:tcPr>
          <w:p>
            <w:pPr>
              <w:spacing w:after="0" w:before="0" w:line="240" w:lineRule="auto"/>
            </w:pPr>
            <w:r>
              <w:rPr>
                <w:sz w:val="14"/>
              </w:rPr>
            </w:r>
            <w:r>
              <w:rPr>
                <w:rFonts w:ascii="Times New Roman" w:hAnsi="Times New Roman" w:eastAsia="Times New Roman"/>
                <w:sz w:val="14"/>
              </w:rPr>
              <w:t>"A portable repayment record would help" (mean of 5)</w:t>
            </w:r>
          </w:p>
        </w:tc>
        <w:tc>
          <w:tcPr>
            <w:tcW w:type="dxa" w:w="3742"/>
          </w:tcPr>
          <w:p>
            <w:pPr>
              <w:spacing w:after="0" w:before="0" w:line="240" w:lineRule="auto"/>
            </w:pPr>
            <w:r>
              <w:rPr>
                <w:sz w:val="14"/>
              </w:rPr>
            </w:r>
            <w:r>
              <w:rPr>
                <w:rFonts w:ascii="Times New Roman" w:hAnsi="Times New Roman" w:eastAsia="Times New Roman"/>
                <w:sz w:val="14"/>
              </w:rPr>
              <w:t>4.71, sd 0.49, 7 of 7 at 4 or 5</w:t>
            </w:r>
          </w:p>
        </w:tc>
        <w:tc>
          <w:tcPr>
            <w:tcW w:type="dxa" w:w="1417"/>
          </w:tcPr>
          <w:p>
            <w:pPr>
              <w:spacing w:after="0" w:before="0" w:line="240" w:lineRule="auto"/>
            </w:pPr>
            <w:r>
              <w:rPr>
                <w:sz w:val="14"/>
              </w:rPr>
            </w:r>
            <w:r>
              <w:rPr>
                <w:rFonts w:ascii="Times New Roman" w:hAnsi="Times New Roman" w:eastAsia="Times New Roman"/>
                <w:sz w:val="14"/>
              </w:rPr>
              <w:t>7</w:t>
            </w:r>
          </w:p>
        </w:tc>
      </w:tr>
      <w:tr>
        <w:tc>
          <w:tcPr>
            <w:tcW w:type="dxa" w:w="3628"/>
          </w:tcPr>
          <w:p>
            <w:pPr>
              <w:spacing w:after="0" w:before="0" w:line="240" w:lineRule="auto"/>
            </w:pPr>
            <w:r>
              <w:rPr>
                <w:sz w:val="14"/>
              </w:rPr>
            </w:r>
            <w:r>
              <w:rPr>
                <w:rFonts w:ascii="Times New Roman" w:hAnsi="Times New Roman" w:eastAsia="Times New Roman"/>
                <w:sz w:val="14"/>
              </w:rPr>
              <w:t>"Willing to pay more for no collateral" (mean of 5)</w:t>
            </w:r>
          </w:p>
        </w:tc>
        <w:tc>
          <w:tcPr>
            <w:tcW w:type="dxa" w:w="3742"/>
          </w:tcPr>
          <w:p>
            <w:pPr>
              <w:spacing w:after="0" w:before="0" w:line="240" w:lineRule="auto"/>
            </w:pPr>
            <w:r>
              <w:rPr>
                <w:sz w:val="14"/>
              </w:rPr>
            </w:r>
            <w:r>
              <w:rPr>
                <w:b/>
                <w:rFonts w:ascii="Times New Roman" w:hAnsi="Times New Roman" w:eastAsia="Times New Roman"/>
                <w:sz w:val="14"/>
              </w:rPr>
              <w:t>3.00, sd 0.82, only 2 of 7 agreed</w:t>
            </w:r>
          </w:p>
        </w:tc>
        <w:tc>
          <w:tcPr>
            <w:tcW w:type="dxa" w:w="1417"/>
          </w:tcPr>
          <w:p>
            <w:pPr>
              <w:spacing w:after="0" w:before="0" w:line="240" w:lineRule="auto"/>
            </w:pPr>
            <w:r>
              <w:rPr>
                <w:sz w:val="14"/>
              </w:rPr>
            </w:r>
            <w:r>
              <w:rPr>
                <w:rFonts w:ascii="Times New Roman" w:hAnsi="Times New Roman" w:eastAsia="Times New Roman"/>
                <w:sz w:val="14"/>
              </w:rPr>
              <w:t>7</w:t>
            </w:r>
          </w:p>
        </w:tc>
      </w:tr>
      <w:tr>
        <w:tc>
          <w:tcPr>
            <w:tcW w:type="dxa" w:w="3628"/>
          </w:tcPr>
          <w:p>
            <w:pPr>
              <w:spacing w:after="0" w:before="0" w:line="240" w:lineRule="auto"/>
            </w:pPr>
            <w:r>
              <w:rPr>
                <w:sz w:val="14"/>
              </w:rPr>
            </w:r>
            <w:r>
              <w:rPr>
                <w:rFonts w:ascii="Times New Roman" w:hAnsi="Times New Roman" w:eastAsia="Times New Roman"/>
                <w:sz w:val="14"/>
              </w:rPr>
              <w:t>Likely or very likely to use the service</w:t>
            </w:r>
          </w:p>
        </w:tc>
        <w:tc>
          <w:tcPr>
            <w:tcW w:type="dxa" w:w="3742"/>
          </w:tcPr>
          <w:p>
            <w:pPr>
              <w:spacing w:after="0" w:before="0" w:line="240" w:lineRule="auto"/>
            </w:pPr>
            <w:r>
              <w:rPr>
                <w:sz w:val="14"/>
              </w:rPr>
            </w:r>
            <w:r>
              <w:rPr>
                <w:rFonts w:ascii="Times New Roman" w:hAnsi="Times New Roman" w:eastAsia="Times New Roman"/>
                <w:sz w:val="14"/>
              </w:rPr>
              <w:t>4.43 mean, 7 of 7 at 4 or 5</w:t>
            </w:r>
          </w:p>
        </w:tc>
        <w:tc>
          <w:tcPr>
            <w:tcW w:type="dxa" w:w="1417"/>
          </w:tcPr>
          <w:p>
            <w:pPr>
              <w:spacing w:after="0" w:before="0" w:line="240" w:lineRule="auto"/>
            </w:pPr>
            <w:r>
              <w:rPr>
                <w:sz w:val="14"/>
              </w:rPr>
            </w:r>
            <w:r>
              <w:rPr>
                <w:rFonts w:ascii="Times New Roman" w:hAnsi="Times New Roman" w:eastAsia="Times New Roman"/>
                <w:sz w:val="14"/>
              </w:rPr>
              <w:t>7</w:t>
            </w:r>
          </w:p>
        </w:tc>
      </w:tr>
      <w:tr>
        <w:tc>
          <w:tcPr>
            <w:tcW w:type="dxa" w:w="3628"/>
          </w:tcPr>
          <w:p>
            <w:pPr>
              <w:spacing w:after="0" w:before="0" w:line="240" w:lineRule="auto"/>
            </w:pPr>
            <w:r>
              <w:rPr>
                <w:sz w:val="14"/>
              </w:rPr>
            </w:r>
            <w:r>
              <w:rPr>
                <w:rFonts w:ascii="Times New Roman" w:hAnsi="Times New Roman" w:eastAsia="Times New Roman"/>
                <w:sz w:val="14"/>
              </w:rPr>
              <w:t>Most chosen single priority</w:t>
            </w:r>
          </w:p>
        </w:tc>
        <w:tc>
          <w:tcPr>
            <w:tcW w:type="dxa" w:w="3742"/>
          </w:tcPr>
          <w:p>
            <w:pPr>
              <w:spacing w:after="0" w:before="0" w:line="240" w:lineRule="auto"/>
            </w:pPr>
            <w:r>
              <w:rPr>
                <w:sz w:val="14"/>
              </w:rPr>
            </w:r>
            <w:r>
              <w:rPr>
                <w:rFonts w:ascii="Times New Roman" w:hAnsi="Times New Roman" w:eastAsia="Times New Roman"/>
                <w:sz w:val="14"/>
              </w:rPr>
              <w:t>Lower interest rate (3), privacy (2), no collateral (2)</w:t>
            </w:r>
          </w:p>
        </w:tc>
        <w:tc>
          <w:tcPr>
            <w:tcW w:type="dxa" w:w="1417"/>
          </w:tcPr>
          <w:p>
            <w:pPr>
              <w:spacing w:after="0" w:before="0" w:line="240" w:lineRule="auto"/>
            </w:pPr>
            <w:r>
              <w:rPr>
                <w:sz w:val="14"/>
              </w:rPr>
            </w:r>
            <w:r>
              <w:rPr>
                <w:rFonts w:ascii="Times New Roman" w:hAnsi="Times New Roman" w:eastAsia="Times New Roman"/>
                <w:sz w:val="14"/>
              </w:rPr>
              <w:t>7</w:t>
            </w:r>
          </w:p>
        </w:tc>
      </w:tr>
      <w:tr>
        <w:tc>
          <w:tcPr>
            <w:tcW w:type="dxa" w:w="3628"/>
          </w:tcPr>
          <w:p>
            <w:pPr>
              <w:spacing w:after="0" w:before="0" w:line="240" w:lineRule="auto"/>
            </w:pPr>
            <w:r>
              <w:rPr>
                <w:sz w:val="14"/>
              </w:rPr>
            </w:r>
            <w:r>
              <w:rPr>
                <w:rFonts w:ascii="Times New Roman" w:hAnsi="Times New Roman" w:eastAsia="Times New Roman"/>
                <w:sz w:val="14"/>
              </w:rPr>
              <w:t>Barriers named unprompted in free text</w:t>
            </w:r>
          </w:p>
        </w:tc>
        <w:tc>
          <w:tcPr>
            <w:tcW w:type="dxa" w:w="3742"/>
          </w:tcPr>
          <w:p>
            <w:pPr>
              <w:spacing w:after="0" w:before="0" w:line="240" w:lineRule="auto"/>
            </w:pPr>
            <w:r>
              <w:rPr>
                <w:sz w:val="14"/>
              </w:rPr>
            </w:r>
            <w:r>
              <w:rPr>
                <w:rFonts w:ascii="Times New Roman" w:hAnsi="Times New Roman" w:eastAsia="Times New Roman"/>
                <w:sz w:val="14"/>
              </w:rPr>
              <w:t>Distrust of cryptocurrency; cannot manage private keys; fear of debt pursuit</w:t>
            </w:r>
          </w:p>
        </w:tc>
        <w:tc>
          <w:tcPr>
            <w:tcW w:type="dxa" w:w="1417"/>
          </w:tcPr>
          <w:p>
            <w:pPr>
              <w:spacing w:after="0" w:before="0" w:line="240" w:lineRule="auto"/>
            </w:pPr>
            <w:r>
              <w:rPr>
                <w:sz w:val="14"/>
              </w:rPr>
            </w:r>
            <w:r>
              <w:rPr>
                <w:rFonts w:ascii="Times New Roman" w:hAnsi="Times New Roman" w:eastAsia="Times New Roman"/>
                <w:sz w:val="14"/>
              </w:rPr>
              <w:t>3 of 7</w:t>
            </w:r>
          </w:p>
        </w:tc>
      </w:tr>
    </w:tbl>
    <w:p>
      <w:pPr>
        <w:spacing w:after="0" w:before="0"/>
      </w:pPr>
    </w:p>
    <w:p>
      <w:pPr>
        <w:keepNext/>
        <w:spacing w:before="60" w:after="20"/>
        <w:jc w:val="center"/>
      </w:pPr>
      <w:r>
        <w:drawing>
          <wp:inline xmlns:a="http://schemas.openxmlformats.org/drawingml/2006/main" xmlns:pic="http://schemas.openxmlformats.org/drawingml/2006/picture">
            <wp:extent cx="5544000" cy="5096289"/>
            <wp:docPr id="11" name="Picture 11"/>
            <wp:cNvGraphicFramePr>
              <a:graphicFrameLocks noChangeAspect="1"/>
            </wp:cNvGraphicFramePr>
            <a:graphic>
              <a:graphicData uri="http://schemas.openxmlformats.org/drawingml/2006/picture">
                <pic:pic>
                  <pic:nvPicPr>
                    <pic:cNvPr id="0" name="fig_ci_runs.png"/>
                    <pic:cNvPicPr/>
                  </pic:nvPicPr>
                  <pic:blipFill>
                    <a:blip r:embed="rId20"/>
                    <a:stretch>
                      <a:fillRect/>
                    </a:stretch>
                  </pic:blipFill>
                  <pic:spPr>
                    <a:xfrm>
                      <a:off x="0" y="0"/>
                      <a:ext cx="5544000" cy="5096289"/>
                    </a:xfrm>
                    <a:prstGeom prst="rect"/>
                  </pic:spPr>
                </pic:pic>
              </a:graphicData>
            </a:graphic>
          </wp:inline>
        </w:drawing>
      </w:r>
    </w:p>
    <w:p>
      <w:pPr>
        <w:keepLines/>
        <w:spacing w:after="120" w:line="240" w:lineRule="auto"/>
        <w:jc w:val="center"/>
      </w:pPr>
      <w:r>
        <w:rPr>
          <w:i/>
          <w:color w:val="595959"/>
          <w:sz w:val="15"/>
        </w:rPr>
        <w:t>Figure 11. The GitHub Actions run list for the repository, captured 12 October 2026. Six runs, every one successful, from the initial import on 10 October to the merge of pull request #2 on 11 October. The second line of each entry names the commit the run built, which is how the pipeline ties to the history in the contribution report.</w:t>
      </w:r>
    </w:p>
    <w:p>
      <w:pPr>
        <w:keepNext/>
        <w:spacing w:before="60" w:after="20"/>
        <w:jc w:val="center"/>
      </w:pPr>
      <w:r>
        <w:drawing>
          <wp:inline xmlns:a="http://schemas.openxmlformats.org/drawingml/2006/main" xmlns:pic="http://schemas.openxmlformats.org/drawingml/2006/picture">
            <wp:extent cx="5544000" cy="4602761"/>
            <wp:docPr id="12" name="Picture 12"/>
            <wp:cNvGraphicFramePr>
              <a:graphicFrameLocks noChangeAspect="1"/>
            </wp:cNvGraphicFramePr>
            <a:graphic>
              <a:graphicData uri="http://schemas.openxmlformats.org/drawingml/2006/picture">
                <pic:pic>
                  <pic:nvPicPr>
                    <pic:cNvPr id="0" name="fig_ci_jobs.png"/>
                    <pic:cNvPicPr/>
                  </pic:nvPicPr>
                  <pic:blipFill>
                    <a:blip r:embed="rId21"/>
                    <a:stretch>
                      <a:fillRect/>
                    </a:stretch>
                  </pic:blipFill>
                  <pic:spPr>
                    <a:xfrm>
                      <a:off x="0" y="0"/>
                      <a:ext cx="5544000" cy="4602761"/>
                    </a:xfrm>
                    <a:prstGeom prst="rect"/>
                  </pic:spPr>
                </pic:pic>
              </a:graphicData>
            </a:graphic>
          </wp:inline>
        </w:drawing>
      </w:r>
    </w:p>
    <w:p>
      <w:pPr>
        <w:keepLines/>
        <w:spacing w:after="120" w:line="240" w:lineRule="auto"/>
        <w:jc w:val="center"/>
      </w:pPr>
      <w:r>
        <w:rPr>
          <w:i/>
          <w:color w:val="595959"/>
          <w:sz w:val="15"/>
        </w:rPr>
        <w:t>Figure 12. The four parallel jobs of run 6, the current head of main. The contracts job takes about a minute because it compiles, runs the 49-test suite, produces the gas report and runs Slither; backend, frontend and model together take under a minute: 15, 11 and 32 seconds. Two artefacts are uploaded. The run also carries four Node.js 20 deprecation notices, which are warnings rather than failures and are recorded here rather than omitted.</w:t>
      </w:r>
    </w:p>
    <w:p>
      <w:pPr>
        <w:pStyle w:val="Heading1"/>
      </w:pPr>
      <w:r>
        <w:t>Appendix C. Author contributions</w:t>
      </w:r>
    </w:p>
    <w:p>
      <w:r>
        <w:rPr>
          <w:rFonts w:ascii="Times New Roman" w:hAnsi="Times New Roman" w:eastAsia="Times New Roman"/>
        </w:rPr>
        <w:t xml:space="preserve">The matrix below is the team's own record of who did what. It is compiled from that record rather than from the commit history alone, because the repository records only two contributing accounts while the work was shared across six members: </w:t>
      </w:r>
      <w:r>
        <w:rPr>
          <w:rFonts w:ascii="Times New Roman" w:hAnsi="Times New Roman" w:eastAsia="Times New Roman"/>
          <w:sz w:val="19"/>
        </w:rPr>
        <w:t>catjlx</w:t>
      </w:r>
      <w:r>
        <w:rPr>
          <w:rFonts w:ascii="Times New Roman" w:hAnsi="Times New Roman" w:eastAsia="Times New Roman"/>
        </w:rPr>
        <w:t xml:space="preserve"> (JIANG LEXUAN), whose initial import placed the whole codebase in one commit, and </w:t>
      </w:r>
      <w:r>
        <w:rPr>
          <w:rFonts w:ascii="Times New Roman" w:hAnsi="Times New Roman" w:eastAsia="Times New Roman"/>
          <w:sz w:val="19"/>
        </w:rPr>
        <w:t>Garywong007</w:t>
      </w:r>
      <w:r>
        <w:rPr>
          <w:rFonts w:ascii="Times New Roman" w:hAnsi="Times New Roman" w:eastAsia="Times New Roman"/>
        </w:rPr>
        <w:t xml:space="preserve"> (HUANG JUNXUAN). The accompanying contribution report holds the full master table, the commit and pull-request log, and the actions still outstanding.</w:t>
      </w:r>
    </w:p>
    <w:p>
      <w:pPr>
        <w:keepNext/>
        <w:spacing w:after="40" w:before="80"/>
      </w:pPr>
      <w:r>
        <w:rPr>
          <w:b/>
          <w:color w:val="1F4E79"/>
          <w:sz w:val="16"/>
        </w:rPr>
        <w:t>Table 31. Contribution matrix, from the team's own record. Section numbers refer to this report. All six members reviewed the final draft.</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312"/>
            <w:shd w:val="clear" w:color="auto" w:fill="1F4E79"/>
          </w:tcPr>
          <w:p>
            <w:pPr>
              <w:spacing w:after="0" w:line="240" w:lineRule="auto"/>
            </w:pPr>
            <w:r/>
            <w:r>
              <w:rPr>
                <w:b/>
                <w:color w:val="FFFFFF"/>
                <w:sz w:val="13"/>
                <w:rFonts w:ascii="Times New Roman" w:hAnsi="Times New Roman" w:eastAsia="Times New Roman"/>
              </w:rPr>
              <w:t>Member</w:t>
            </w:r>
          </w:p>
        </w:tc>
        <w:tc>
          <w:tcPr>
            <w:tcW w:type="dxa" w:w="799"/>
            <w:shd w:val="clear" w:color="auto" w:fill="1F4E79"/>
          </w:tcPr>
          <w:p>
            <w:pPr>
              <w:spacing w:after="0" w:line="240" w:lineRule="auto"/>
            </w:pPr>
            <w:r/>
            <w:r>
              <w:rPr>
                <w:b/>
                <w:color w:val="FFFFFF"/>
                <w:sz w:val="13"/>
                <w:rFonts w:ascii="Times New Roman" w:hAnsi="Times New Roman" w:eastAsia="Times New Roman"/>
              </w:rPr>
              <w:t>Matric.</w:t>
            </w:r>
          </w:p>
        </w:tc>
        <w:tc>
          <w:tcPr>
            <w:tcW w:type="dxa" w:w="2282"/>
            <w:shd w:val="clear" w:color="auto" w:fill="1F4E79"/>
          </w:tcPr>
          <w:p>
            <w:pPr>
              <w:spacing w:after="0" w:line="240" w:lineRule="auto"/>
            </w:pPr>
            <w:r/>
            <w:r>
              <w:rPr>
                <w:b/>
                <w:color w:val="FFFFFF"/>
                <w:sz w:val="13"/>
                <w:rFonts w:ascii="Times New Roman" w:hAnsi="Times New Roman" w:eastAsia="Times New Roman"/>
              </w:rPr>
              <w:t>Primary responsibility</w:t>
            </w:r>
          </w:p>
        </w:tc>
        <w:tc>
          <w:tcPr>
            <w:tcW w:type="dxa" w:w="913"/>
            <w:shd w:val="clear" w:color="auto" w:fill="1F4E79"/>
          </w:tcPr>
          <w:p>
            <w:pPr>
              <w:spacing w:after="0" w:line="240" w:lineRule="auto"/>
            </w:pPr>
            <w:r/>
            <w:r>
              <w:rPr>
                <w:b/>
                <w:color w:val="FFFFFF"/>
                <w:sz w:val="13"/>
                <w:rFonts w:ascii="Times New Roman" w:hAnsi="Times New Roman" w:eastAsia="Times New Roman"/>
              </w:rPr>
              <w:t>Sections</w:t>
            </w:r>
          </w:p>
        </w:tc>
        <w:tc>
          <w:tcPr>
            <w:tcW w:type="dxa" w:w="3481"/>
            <w:shd w:val="clear" w:color="auto" w:fill="1F4E79"/>
          </w:tcPr>
          <w:p>
            <w:pPr>
              <w:spacing w:after="0" w:line="240" w:lineRule="auto"/>
            </w:pPr>
            <w:r/>
            <w:r>
              <w:rPr>
                <w:b/>
                <w:color w:val="FFFFFF"/>
                <w:sz w:val="13"/>
                <w:rFonts w:ascii="Times New Roman" w:hAnsi="Times New Roman" w:eastAsia="Times New Roman"/>
              </w:rPr>
              <w:t>Verifiable artefacts</w:t>
            </w:r>
          </w:p>
        </w:tc>
      </w:tr>
      <w:tr>
        <w:tc>
          <w:tcPr>
            <w:tcW w:type="dxa" w:w="1312"/>
          </w:tcPr>
          <w:p>
            <w:pPr>
              <w:spacing w:after="0" w:before="0" w:line="240" w:lineRule="auto"/>
            </w:pPr>
            <w:r>
              <w:rPr>
                <w:sz w:val="13"/>
              </w:rPr>
            </w:r>
            <w:r>
              <w:rPr>
                <w:rFonts w:ascii="Times New Roman" w:hAnsi="Times New Roman" w:eastAsia="Times New Roman"/>
                <w:sz w:val="13"/>
              </w:rPr>
              <w:t>LIU ZHEN</w:t>
            </w:r>
          </w:p>
        </w:tc>
        <w:tc>
          <w:tcPr>
            <w:tcW w:type="dxa" w:w="799"/>
          </w:tcPr>
          <w:p>
            <w:pPr>
              <w:spacing w:after="0" w:before="0" w:line="240" w:lineRule="auto"/>
            </w:pPr>
            <w:r>
              <w:rPr>
                <w:sz w:val="13"/>
              </w:rPr>
            </w:r>
            <w:r>
              <w:rPr>
                <w:rFonts w:ascii="Times New Roman" w:hAnsi="Times New Roman" w:eastAsia="Times New Roman"/>
                <w:sz w:val="13"/>
              </w:rPr>
              <w:t>G260146E</w:t>
            </w:r>
          </w:p>
        </w:tc>
        <w:tc>
          <w:tcPr>
            <w:tcW w:type="dxa" w:w="2282"/>
          </w:tcPr>
          <w:p>
            <w:pPr>
              <w:spacing w:after="0" w:before="0" w:line="240" w:lineRule="auto"/>
            </w:pPr>
            <w:r>
              <w:rPr>
                <w:sz w:val="13"/>
              </w:rPr>
            </w:r>
            <w:r>
              <w:rPr>
                <w:rFonts w:ascii="Times New Roman" w:hAnsi="Times New Roman" w:eastAsia="Times New Roman"/>
                <w:sz w:val="13"/>
              </w:rPr>
              <w:t>Contract interfaces; LoanManager and LendingPool; Sepolia deployment</w:t>
            </w:r>
          </w:p>
        </w:tc>
        <w:tc>
          <w:tcPr>
            <w:tcW w:type="dxa" w:w="913"/>
          </w:tcPr>
          <w:p>
            <w:pPr>
              <w:spacing w:after="0" w:before="0" w:line="240" w:lineRule="auto"/>
            </w:pPr>
            <w:r>
              <w:rPr>
                <w:sz w:val="13"/>
              </w:rPr>
            </w:r>
            <w:r>
              <w:rPr>
                <w:rFonts w:ascii="Times New Roman" w:hAnsi="Times New Roman" w:eastAsia="Times New Roman"/>
                <w:sz w:val="13"/>
              </w:rPr>
              <w:t>5, 6</w:t>
            </w:r>
          </w:p>
        </w:tc>
        <w:tc>
          <w:tcPr>
            <w:tcW w:type="dxa" w:w="3481"/>
          </w:tcPr>
          <w:p>
            <w:pPr>
              <w:spacing w:after="0" w:before="0" w:line="240" w:lineRule="auto"/>
            </w:pPr>
            <w:r>
              <w:rPr>
                <w:sz w:val="13"/>
              </w:rPr>
            </w:r>
            <w:r>
              <w:rPr>
                <w:rFonts w:ascii="Times New Roman" w:hAnsi="Times New Roman" w:eastAsia="Times New Roman"/>
                <w:sz w:val="13"/>
              </w:rPr>
              <w:t>The LoanManager and LendingPool sources, the shared interface definitions, and the Sepolia deployment record</w:t>
            </w:r>
          </w:p>
        </w:tc>
      </w:tr>
      <w:tr>
        <w:tc>
          <w:tcPr>
            <w:tcW w:type="dxa" w:w="1312"/>
          </w:tcPr>
          <w:p>
            <w:pPr>
              <w:spacing w:after="0" w:before="0" w:line="240" w:lineRule="auto"/>
            </w:pPr>
            <w:r>
              <w:rPr>
                <w:sz w:val="13"/>
              </w:rPr>
            </w:r>
            <w:r>
              <w:rPr>
                <w:rFonts w:ascii="Times New Roman" w:hAnsi="Times New Roman" w:eastAsia="Times New Roman"/>
                <w:sz w:val="13"/>
              </w:rPr>
              <w:t>DONG RUNZHOU</w:t>
            </w:r>
          </w:p>
        </w:tc>
        <w:tc>
          <w:tcPr>
            <w:tcW w:type="dxa" w:w="799"/>
          </w:tcPr>
          <w:p>
            <w:pPr>
              <w:spacing w:after="0" w:before="0" w:line="240" w:lineRule="auto"/>
            </w:pPr>
            <w:r>
              <w:rPr>
                <w:sz w:val="13"/>
              </w:rPr>
            </w:r>
            <w:r>
              <w:rPr>
                <w:rFonts w:ascii="Times New Roman" w:hAnsi="Times New Roman" w:eastAsia="Times New Roman"/>
                <w:sz w:val="13"/>
              </w:rPr>
              <w:t>G2603792L</w:t>
            </w:r>
          </w:p>
        </w:tc>
        <w:tc>
          <w:tcPr>
            <w:tcW w:type="dxa" w:w="2282"/>
          </w:tcPr>
          <w:p>
            <w:pPr>
              <w:spacing w:after="0" w:before="0" w:line="240" w:lineRule="auto"/>
            </w:pPr>
            <w:r>
              <w:rPr>
                <w:sz w:val="13"/>
              </w:rPr>
            </w:r>
            <w:r>
              <w:rPr>
                <w:rFonts w:ascii="Times New Roman" w:hAnsi="Times New Roman" w:eastAsia="Times New Roman"/>
                <w:sz w:val="13"/>
              </w:rPr>
              <w:t>CreditRegistry and CollateralVault; automated test suites; gas analysis</w:t>
            </w:r>
          </w:p>
        </w:tc>
        <w:tc>
          <w:tcPr>
            <w:tcW w:type="dxa" w:w="913"/>
          </w:tcPr>
          <w:p>
            <w:pPr>
              <w:spacing w:after="0" w:before="0" w:line="240" w:lineRule="auto"/>
            </w:pPr>
            <w:r>
              <w:rPr>
                <w:sz w:val="13"/>
              </w:rPr>
            </w:r>
            <w:r>
              <w:rPr>
                <w:rFonts w:ascii="Times New Roman" w:hAnsi="Times New Roman" w:eastAsia="Times New Roman"/>
                <w:sz w:val="13"/>
              </w:rPr>
              <w:t>5, 6, 9</w:t>
            </w:r>
          </w:p>
        </w:tc>
        <w:tc>
          <w:tcPr>
            <w:tcW w:type="dxa" w:w="3481"/>
          </w:tcPr>
          <w:p>
            <w:pPr>
              <w:spacing w:after="0" w:before="0" w:line="240" w:lineRule="auto"/>
            </w:pPr>
            <w:r>
              <w:rPr>
                <w:sz w:val="13"/>
              </w:rPr>
            </w:r>
            <w:r>
              <w:rPr>
                <w:rFonts w:ascii="Times New Roman" w:hAnsi="Times New Roman" w:eastAsia="Times New Roman"/>
                <w:sz w:val="13"/>
              </w:rPr>
              <w:t>The CreditRegistry and CollateralVault sources, the 49 contract and 16 backend tests, and the gas report</w:t>
            </w:r>
          </w:p>
        </w:tc>
      </w:tr>
      <w:tr>
        <w:tc>
          <w:tcPr>
            <w:tcW w:type="dxa" w:w="1312"/>
          </w:tcPr>
          <w:p>
            <w:pPr>
              <w:spacing w:after="0" w:before="0" w:line="240" w:lineRule="auto"/>
            </w:pPr>
            <w:r>
              <w:rPr>
                <w:sz w:val="13"/>
              </w:rPr>
            </w:r>
            <w:r>
              <w:rPr>
                <w:rFonts w:ascii="Times New Roman" w:hAnsi="Times New Roman" w:eastAsia="Times New Roman"/>
                <w:sz w:val="13"/>
              </w:rPr>
              <w:t>JIANG LEXUAN</w:t>
            </w:r>
          </w:p>
        </w:tc>
        <w:tc>
          <w:tcPr>
            <w:tcW w:type="dxa" w:w="799"/>
          </w:tcPr>
          <w:p>
            <w:pPr>
              <w:spacing w:after="0" w:before="0" w:line="240" w:lineRule="auto"/>
            </w:pPr>
            <w:r>
              <w:rPr>
                <w:sz w:val="13"/>
              </w:rPr>
            </w:r>
            <w:r>
              <w:rPr>
                <w:rFonts w:ascii="Times New Roman" w:hAnsi="Times New Roman" w:eastAsia="Times New Roman"/>
                <w:sz w:val="13"/>
              </w:rPr>
              <w:t>G2601709B</w:t>
            </w:r>
          </w:p>
        </w:tc>
        <w:tc>
          <w:tcPr>
            <w:tcW w:type="dxa" w:w="2282"/>
          </w:tcPr>
          <w:p>
            <w:pPr>
              <w:spacing w:after="0" w:before="0" w:line="240" w:lineRule="auto"/>
            </w:pPr>
            <w:r>
              <w:rPr>
                <w:sz w:val="13"/>
              </w:rPr>
            </w:r>
            <w:r>
              <w:rPr>
                <w:rFonts w:ascii="Times New Roman" w:hAnsi="Times New Roman" w:eastAsia="Times New Roman"/>
                <w:sz w:val="13"/>
              </w:rPr>
              <w:t>The role-based interfaces for every role, six pages in total; MetaMask connection; transaction history and charts</w:t>
            </w:r>
          </w:p>
        </w:tc>
        <w:tc>
          <w:tcPr>
            <w:tcW w:type="dxa" w:w="913"/>
          </w:tcPr>
          <w:p>
            <w:pPr>
              <w:spacing w:after="0" w:before="0" w:line="240" w:lineRule="auto"/>
            </w:pPr>
            <w:r>
              <w:rPr>
                <w:sz w:val="13"/>
              </w:rPr>
            </w:r>
            <w:r>
              <w:rPr>
                <w:rFonts w:ascii="Times New Roman" w:hAnsi="Times New Roman" w:eastAsia="Times New Roman"/>
                <w:sz w:val="13"/>
              </w:rPr>
              <w:t>8</w:t>
            </w:r>
          </w:p>
        </w:tc>
        <w:tc>
          <w:tcPr>
            <w:tcW w:type="dxa" w:w="3481"/>
          </w:tcPr>
          <w:p>
            <w:pPr>
              <w:spacing w:after="0" w:before="0" w:line="240" w:lineRule="auto"/>
            </w:pPr>
            <w:r>
              <w:rPr>
                <w:sz w:val="13"/>
              </w:rPr>
            </w:r>
            <w:r>
              <w:rPr>
                <w:rFonts w:ascii="Times New Roman" w:hAnsi="Times New Roman" w:eastAsia="Times New Roman"/>
                <w:sz w:val="13"/>
              </w:rPr>
              <w:t>The frontend sources, the role-based pages, the event log and charts, and the interface screenshots</w:t>
            </w:r>
          </w:p>
        </w:tc>
      </w:tr>
      <w:tr>
        <w:tc>
          <w:tcPr>
            <w:tcW w:type="dxa" w:w="1312"/>
          </w:tcPr>
          <w:p>
            <w:pPr>
              <w:spacing w:after="0" w:before="0" w:line="240" w:lineRule="auto"/>
            </w:pPr>
            <w:r>
              <w:rPr>
                <w:sz w:val="13"/>
              </w:rPr>
            </w:r>
            <w:r>
              <w:rPr>
                <w:rFonts w:ascii="Times New Roman" w:hAnsi="Times New Roman" w:eastAsia="Times New Roman"/>
                <w:sz w:val="13"/>
              </w:rPr>
              <w:t>HUANG JUNXUAN</w:t>
            </w:r>
          </w:p>
        </w:tc>
        <w:tc>
          <w:tcPr>
            <w:tcW w:type="dxa" w:w="799"/>
          </w:tcPr>
          <w:p>
            <w:pPr>
              <w:spacing w:after="0" w:before="0" w:line="240" w:lineRule="auto"/>
            </w:pPr>
            <w:r>
              <w:rPr>
                <w:sz w:val="13"/>
              </w:rPr>
            </w:r>
            <w:r>
              <w:rPr>
                <w:rFonts w:ascii="Times New Roman" w:hAnsi="Times New Roman" w:eastAsia="Times New Roman"/>
                <w:sz w:val="13"/>
              </w:rPr>
              <w:t>G2602046C</w:t>
            </w:r>
          </w:p>
        </w:tc>
        <w:tc>
          <w:tcPr>
            <w:tcW w:type="dxa" w:w="2282"/>
          </w:tcPr>
          <w:p>
            <w:pPr>
              <w:spacing w:after="0" w:before="0" w:line="240" w:lineRule="auto"/>
            </w:pPr>
            <w:r>
              <w:rPr>
                <w:sz w:val="13"/>
              </w:rPr>
            </w:r>
            <w:r>
              <w:rPr>
                <w:rFonts w:ascii="Times New Roman" w:hAnsi="Times New Roman" w:eastAsia="Times New Roman"/>
                <w:sz w:val="13"/>
              </w:rPr>
              <w:t>The Express API and database; wallet sign-in and role enforcement; Render deployment</w:t>
            </w:r>
          </w:p>
        </w:tc>
        <w:tc>
          <w:tcPr>
            <w:tcW w:type="dxa" w:w="913"/>
          </w:tcPr>
          <w:p>
            <w:pPr>
              <w:spacing w:after="0" w:before="0" w:line="240" w:lineRule="auto"/>
            </w:pPr>
            <w:r>
              <w:rPr>
                <w:sz w:val="13"/>
              </w:rPr>
            </w:r>
            <w:r>
              <w:rPr>
                <w:rFonts w:ascii="Times New Roman" w:hAnsi="Times New Roman" w:eastAsia="Times New Roman"/>
                <w:sz w:val="13"/>
              </w:rPr>
              <w:t>3, 7, 10</w:t>
            </w:r>
          </w:p>
        </w:tc>
        <w:tc>
          <w:tcPr>
            <w:tcW w:type="dxa" w:w="3481"/>
          </w:tcPr>
          <w:p>
            <w:pPr>
              <w:spacing w:after="0" w:before="0" w:line="240" w:lineRule="auto"/>
            </w:pPr>
            <w:r>
              <w:rPr>
                <w:sz w:val="13"/>
              </w:rPr>
            </w:r>
            <w:r>
              <w:rPr>
                <w:rFonts w:ascii="Times New Roman" w:hAnsi="Times New Roman" w:eastAsia="Times New Roman"/>
                <w:sz w:val="13"/>
              </w:rPr>
              <w:t>The backend sources, the database schema, the session and role-check modules, and the live URLs</w:t>
            </w:r>
          </w:p>
        </w:tc>
      </w:tr>
      <w:tr>
        <w:tc>
          <w:tcPr>
            <w:tcW w:type="dxa" w:w="1312"/>
          </w:tcPr>
          <w:p>
            <w:pPr>
              <w:spacing w:after="0" w:before="0" w:line="240" w:lineRule="auto"/>
            </w:pPr>
            <w:r>
              <w:rPr>
                <w:sz w:val="13"/>
              </w:rPr>
            </w:r>
            <w:r>
              <w:rPr>
                <w:rFonts w:ascii="Times New Roman" w:hAnsi="Times New Roman" w:eastAsia="Times New Roman"/>
                <w:sz w:val="13"/>
              </w:rPr>
              <w:t>GU YAOYUAN</w:t>
            </w:r>
          </w:p>
        </w:tc>
        <w:tc>
          <w:tcPr>
            <w:tcW w:type="dxa" w:w="799"/>
          </w:tcPr>
          <w:p>
            <w:pPr>
              <w:spacing w:after="0" w:before="0" w:line="240" w:lineRule="auto"/>
            </w:pPr>
            <w:r>
              <w:rPr>
                <w:sz w:val="13"/>
              </w:rPr>
            </w:r>
            <w:r>
              <w:rPr>
                <w:rFonts w:ascii="Times New Roman" w:hAnsi="Times New Roman" w:eastAsia="Times New Roman"/>
                <w:sz w:val="13"/>
              </w:rPr>
              <w:t>G2602099F</w:t>
            </w:r>
          </w:p>
        </w:tc>
        <w:tc>
          <w:tcPr>
            <w:tcW w:type="dxa" w:w="2282"/>
          </w:tcPr>
          <w:p>
            <w:pPr>
              <w:spacing w:after="0" w:before="0" w:line="240" w:lineRule="auto"/>
            </w:pPr>
            <w:r>
              <w:rPr>
                <w:sz w:val="13"/>
              </w:rPr>
            </w:r>
            <w:r>
              <w:rPr>
                <w:rFonts w:ascii="Times New Roman" w:hAnsi="Times New Roman" w:eastAsia="Times New Roman"/>
                <w:sz w:val="13"/>
              </w:rPr>
              <w:t>Evidence gathering; stakeholder analysis; ethics and regulation; report editing, slides and video</w:t>
            </w:r>
          </w:p>
        </w:tc>
        <w:tc>
          <w:tcPr>
            <w:tcW w:type="dxa" w:w="913"/>
          </w:tcPr>
          <w:p>
            <w:pPr>
              <w:spacing w:after="0" w:before="0" w:line="240" w:lineRule="auto"/>
            </w:pPr>
            <w:r>
              <w:rPr>
                <w:sz w:val="13"/>
              </w:rPr>
            </w:r>
            <w:r>
              <w:rPr>
                <w:rFonts w:ascii="Times New Roman" w:hAnsi="Times New Roman" w:eastAsia="Times New Roman"/>
                <w:sz w:val="13"/>
              </w:rPr>
              <w:t>0 to 2, 11, 12</w:t>
            </w:r>
          </w:p>
        </w:tc>
        <w:tc>
          <w:tcPr>
            <w:tcW w:type="dxa" w:w="3481"/>
          </w:tcPr>
          <w:p>
            <w:pPr>
              <w:spacing w:after="0" w:before="0" w:line="240" w:lineRule="auto"/>
            </w:pPr>
            <w:r>
              <w:rPr>
                <w:sz w:val="13"/>
              </w:rPr>
            </w:r>
            <w:r>
              <w:rPr>
                <w:rFonts w:ascii="Times New Roman" w:hAnsi="Times New Roman" w:eastAsia="Times New Roman"/>
                <w:sz w:val="13"/>
              </w:rPr>
              <w:t>The evidence table, the stakeholder analysis, the ethics discussion and the final edit</w:t>
            </w:r>
          </w:p>
        </w:tc>
      </w:tr>
      <w:tr>
        <w:tc>
          <w:tcPr>
            <w:tcW w:type="dxa" w:w="1312"/>
          </w:tcPr>
          <w:p>
            <w:pPr>
              <w:spacing w:after="0" w:before="0" w:line="240" w:lineRule="auto"/>
            </w:pPr>
            <w:r>
              <w:rPr>
                <w:sz w:val="13"/>
              </w:rPr>
            </w:r>
            <w:r>
              <w:rPr>
                <w:rFonts w:ascii="Times New Roman" w:hAnsi="Times New Roman" w:eastAsia="Times New Roman"/>
                <w:sz w:val="13"/>
              </w:rPr>
              <w:t>ZHANG SHUJIA</w:t>
            </w:r>
          </w:p>
        </w:tc>
        <w:tc>
          <w:tcPr>
            <w:tcW w:type="dxa" w:w="799"/>
          </w:tcPr>
          <w:p>
            <w:pPr>
              <w:spacing w:after="0" w:before="0" w:line="240" w:lineRule="auto"/>
            </w:pPr>
            <w:r>
              <w:rPr>
                <w:sz w:val="13"/>
              </w:rPr>
            </w:r>
            <w:r>
              <w:rPr>
                <w:rFonts w:ascii="Times New Roman" w:hAnsi="Times New Roman" w:eastAsia="Times New Roman"/>
                <w:sz w:val="13"/>
              </w:rPr>
              <w:t>G2601577A</w:t>
            </w:r>
          </w:p>
        </w:tc>
        <w:tc>
          <w:tcPr>
            <w:tcW w:type="dxa" w:w="2282"/>
          </w:tcPr>
          <w:p>
            <w:pPr>
              <w:spacing w:after="0" w:before="0" w:line="240" w:lineRule="auto"/>
            </w:pPr>
            <w:r>
              <w:rPr>
                <w:sz w:val="13"/>
              </w:rPr>
            </w:r>
            <w:r>
              <w:rPr>
                <w:rFonts w:ascii="Times New Roman" w:hAnsi="Times New Roman" w:eastAsia="Times New Roman"/>
                <w:sz w:val="13"/>
              </w:rPr>
              <w:t>The credit-scoring model and its evaluation metrics; the validation questionnaire</w:t>
            </w:r>
          </w:p>
        </w:tc>
        <w:tc>
          <w:tcPr>
            <w:tcW w:type="dxa" w:w="913"/>
          </w:tcPr>
          <w:p>
            <w:pPr>
              <w:spacing w:after="0" w:before="0" w:line="240" w:lineRule="auto"/>
            </w:pPr>
            <w:r>
              <w:rPr>
                <w:sz w:val="13"/>
              </w:rPr>
            </w:r>
            <w:r>
              <w:rPr>
                <w:rFonts w:ascii="Times New Roman" w:hAnsi="Times New Roman" w:eastAsia="Times New Roman"/>
                <w:sz w:val="13"/>
              </w:rPr>
              <w:t>4, 9.7</w:t>
            </w:r>
          </w:p>
        </w:tc>
        <w:tc>
          <w:tcPr>
            <w:tcW w:type="dxa" w:w="3481"/>
          </w:tcPr>
          <w:p>
            <w:pPr>
              <w:spacing w:after="0" w:before="0" w:line="240" w:lineRule="auto"/>
            </w:pPr>
            <w:r>
              <w:rPr>
                <w:sz w:val="13"/>
              </w:rPr>
            </w:r>
            <w:r>
              <w:rPr>
                <w:rFonts w:ascii="Times New Roman" w:hAnsi="Times New Roman" w:eastAsia="Times New Roman"/>
                <w:sz w:val="13"/>
              </w:rPr>
              <w:t>The model pipeline, the metrics report, the calibration and fairness figures, and the questionnaire</w:t>
            </w:r>
          </w:p>
        </w:tc>
      </w:tr>
    </w:tbl>
    <w:p>
      <w:pPr>
        <w:spacing w:after="0" w:before="0"/>
      </w:pP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 xml:space="preserve">MicroLend - Technical Report  —  </w:t>
    </w:r>
    <w:r>
      <w:rPr>
        <w:color w:val="80808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06"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Times New Roman" w:hAnsi="Times New Roman"/>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20" w:after="30"/>
      <w:outlineLvl w:val="2"/>
    </w:pPr>
    <w:rPr>
      <w:rFonts w:asciiTheme="majorHAnsi" w:eastAsiaTheme="majorEastAsia" w:hAnsiTheme="majorHAnsi" w:cstheme="majorBidi" w:ascii="Times New Roman" w:hAnsi="Times New Roman"/>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