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BB24" w14:textId="6036F49D" w:rsidR="009D79CF" w:rsidRPr="00617FBE" w:rsidRDefault="00C76445" w:rsidP="00F65F8E">
      <w:pPr>
        <w:pStyle w:val="Default"/>
        <w:jc w:val="center"/>
        <w:rPr>
          <w:b/>
          <w:bCs/>
        </w:rPr>
      </w:pPr>
      <w:r w:rsidRPr="7061E78C">
        <w:rPr>
          <w:b/>
          <w:bCs/>
        </w:rPr>
        <w:t>Go</w:t>
      </w:r>
      <w:r w:rsidR="0085117E" w:rsidRPr="7061E78C">
        <w:rPr>
          <w:b/>
          <w:bCs/>
        </w:rPr>
        <w:t>od</w:t>
      </w:r>
      <w:r w:rsidR="00F65F8E" w:rsidRPr="7061E78C">
        <w:rPr>
          <w:b/>
          <w:bCs/>
        </w:rPr>
        <w:t xml:space="preserve"> estate</w:t>
      </w:r>
      <w:r w:rsidR="0085117E" w:rsidRPr="7061E78C">
        <w:rPr>
          <w:b/>
          <w:bCs/>
        </w:rPr>
        <w:t xml:space="preserve"> governance</w:t>
      </w:r>
    </w:p>
    <w:p w14:paraId="46712670" w14:textId="77777777" w:rsidR="00C76445" w:rsidRPr="00617FBE" w:rsidRDefault="00C76445" w:rsidP="00F65F8E">
      <w:pPr>
        <w:pStyle w:val="Default"/>
        <w:jc w:val="center"/>
        <w:rPr>
          <w:b/>
          <w:bCs/>
        </w:rPr>
      </w:pPr>
    </w:p>
    <w:p w14:paraId="2B2D0388" w14:textId="2D1C8D70" w:rsidR="00895118" w:rsidRPr="00AF3E32" w:rsidRDefault="00162B82" w:rsidP="00AF3E32">
      <w:pPr>
        <w:pStyle w:val="Default"/>
        <w:spacing w:after="240"/>
      </w:pPr>
      <w:r w:rsidRPr="00AF3E32">
        <w:t>This</w:t>
      </w:r>
      <w:r w:rsidR="009A6676" w:rsidRPr="00AF3E32">
        <w:t xml:space="preserve"> tool </w:t>
      </w:r>
      <w:r w:rsidRPr="00AF3E32">
        <w:t>will</w:t>
      </w:r>
      <w:r w:rsidR="009A6676" w:rsidRPr="00AF3E32">
        <w:t xml:space="preserve"> help you </w:t>
      </w:r>
      <w:r w:rsidR="006B3D12" w:rsidRPr="00AF3E32">
        <w:t>to</w:t>
      </w:r>
      <w:r w:rsidR="009A6676" w:rsidRPr="00AF3E32">
        <w:t xml:space="preserve"> understand</w:t>
      </w:r>
      <w:r w:rsidR="006B3D12" w:rsidRPr="00AF3E32">
        <w:t xml:space="preserve"> and communicate</w:t>
      </w:r>
      <w:r w:rsidR="009A6676" w:rsidRPr="00AF3E32">
        <w:t xml:space="preserve"> how strategic estate decisions are made in your organisation and</w:t>
      </w:r>
      <w:r w:rsidR="00861F75" w:rsidRPr="00AF3E32">
        <w:t xml:space="preserve"> your organisation’s l</w:t>
      </w:r>
      <w:r w:rsidR="006B3D12" w:rsidRPr="00AF3E32">
        <w:t>evels of accountability and responsibility.</w:t>
      </w:r>
      <w:r w:rsidR="00D35678">
        <w:t xml:space="preserve"> </w:t>
      </w:r>
      <w:r w:rsidR="00D35678" w:rsidRPr="00AD4450">
        <w:t>To understand the principles of governance and its importance in effective estate management, you should read the relevant guidance</w:t>
      </w:r>
      <w:r w:rsidR="00D35678">
        <w:rPr>
          <w:rStyle w:val="CommentReference"/>
          <w:color w:val="auto"/>
          <w:lang w:eastAsia="en-US"/>
        </w:rPr>
        <w:t>.</w:t>
      </w:r>
    </w:p>
    <w:p w14:paraId="06D8A8C5" w14:textId="0A9A7C91" w:rsidR="00212774" w:rsidRPr="00AF3E32" w:rsidRDefault="009D79CF" w:rsidP="00AF3E32">
      <w:pPr>
        <w:pStyle w:val="Default"/>
        <w:spacing w:after="240"/>
      </w:pPr>
      <w:r w:rsidRPr="00AF3E32">
        <w:t>Different types of school will have different governance arrangements</w:t>
      </w:r>
      <w:r w:rsidR="00212774" w:rsidRPr="00AF3E32">
        <w:t xml:space="preserve"> although </w:t>
      </w:r>
      <w:r w:rsidRPr="00AF3E32">
        <w:t xml:space="preserve">all governance boards have </w:t>
      </w:r>
      <w:r w:rsidR="00212774" w:rsidRPr="00AF3E32">
        <w:t>the same</w:t>
      </w:r>
      <w:r w:rsidRPr="00AF3E32">
        <w:t xml:space="preserve"> core functions no matter what type of school or how many schools they govern</w:t>
      </w:r>
      <w:r w:rsidR="00861F75" w:rsidRPr="00AF3E32">
        <w:t xml:space="preserve">, </w:t>
      </w:r>
      <w:r w:rsidR="00212774" w:rsidRPr="00AF3E32">
        <w:t xml:space="preserve">see the </w:t>
      </w:r>
      <w:hyperlink r:id="rId10" w:history="1">
        <w:r w:rsidR="00212774" w:rsidRPr="00AF3E32">
          <w:rPr>
            <w:rStyle w:val="Hyperlink"/>
          </w:rPr>
          <w:t>Department for Education Governance Handbook 2019</w:t>
        </w:r>
      </w:hyperlink>
      <w:r w:rsidR="00861F75" w:rsidRPr="00AF3E32">
        <w:t xml:space="preserve"> for more information. </w:t>
      </w:r>
    </w:p>
    <w:p w14:paraId="2CB043BE" w14:textId="07A56F8F" w:rsidR="00895118" w:rsidRPr="00617FBE" w:rsidRDefault="00C76445" w:rsidP="00AF3E32">
      <w:pPr>
        <w:pStyle w:val="Default"/>
        <w:spacing w:after="240"/>
      </w:pPr>
      <w:r w:rsidRPr="00AF3E32">
        <w:t xml:space="preserve">You will already have </w:t>
      </w:r>
      <w:r w:rsidR="00F65F8E" w:rsidRPr="00AF3E32">
        <w:t xml:space="preserve">formal, </w:t>
      </w:r>
      <w:r w:rsidRPr="00AF3E32">
        <w:t>documented governance arrangements</w:t>
      </w:r>
      <w:r w:rsidR="00B83D68" w:rsidRPr="00AF3E32">
        <w:t xml:space="preserve"> in your organisation. This will </w:t>
      </w:r>
      <w:r w:rsidR="001D4CCB" w:rsidRPr="00AF3E32">
        <w:t xml:space="preserve">include </w:t>
      </w:r>
      <w:r w:rsidR="00B83D68" w:rsidRPr="00AF3E32">
        <w:t>the governance structure</w:t>
      </w:r>
      <w:r w:rsidR="001D4CCB" w:rsidRPr="00AF3E32">
        <w:t xml:space="preserve">, how functions are carried out, </w:t>
      </w:r>
      <w:r w:rsidR="00F65F8E" w:rsidRPr="00AF3E32">
        <w:t>accountability</w:t>
      </w:r>
      <w:r w:rsidR="001D4CCB" w:rsidRPr="00AF3E32">
        <w:t xml:space="preserve"> and </w:t>
      </w:r>
      <w:r w:rsidR="00F65F8E" w:rsidRPr="00AF3E32">
        <w:t>delegations.</w:t>
      </w:r>
      <w:r w:rsidR="001D4CCB" w:rsidRPr="00AF3E32">
        <w:t xml:space="preserve"> </w:t>
      </w:r>
    </w:p>
    <w:p w14:paraId="6D9EBD92" w14:textId="2BCE66D2" w:rsidR="00212774" w:rsidRPr="00617FBE" w:rsidRDefault="00B6374B" w:rsidP="3E65A6D6">
      <w:pPr>
        <w:pStyle w:val="Default"/>
        <w:spacing w:after="240"/>
      </w:pPr>
      <w:r>
        <w:t xml:space="preserve">You are likely to already have a documented approach to define this across a range of functions such as staffing, education and finance. Your governance arrangements should include estates governance so you could include estates functions in the same format. </w:t>
      </w:r>
    </w:p>
    <w:p w14:paraId="4370531B" w14:textId="01057CD8" w:rsidR="00CD4D19" w:rsidRPr="00617FBE" w:rsidRDefault="00895118" w:rsidP="3E65A6D6">
      <w:pPr>
        <w:pStyle w:val="Default"/>
      </w:pPr>
      <w:r>
        <w:t xml:space="preserve">You may already use a system of categorisation to define accountability, responsibility and delegations. It </w:t>
      </w:r>
      <w:r w:rsidR="00D303A9">
        <w:t>may</w:t>
      </w:r>
      <w:r>
        <w:t xml:space="preserve"> include categories such as</w:t>
      </w:r>
      <w:r w:rsidR="00691A34">
        <w:t>:</w:t>
      </w:r>
    </w:p>
    <w:tbl>
      <w:tblPr>
        <w:tblStyle w:val="GridTable4"/>
        <w:tblpPr w:leftFromText="180" w:rightFromText="180" w:vertAnchor="page" w:horzAnchor="margin" w:tblpY="7877"/>
        <w:tblW w:w="5000" w:type="pct"/>
        <w:tblLook w:val="0420" w:firstRow="1" w:lastRow="0" w:firstColumn="0" w:lastColumn="0" w:noHBand="0" w:noVBand="1"/>
      </w:tblPr>
      <w:tblGrid>
        <w:gridCol w:w="5032"/>
        <w:gridCol w:w="4912"/>
      </w:tblGrid>
      <w:tr w:rsidR="00CD0861" w:rsidRPr="00617FBE" w14:paraId="4B9E0242" w14:textId="77777777" w:rsidTr="00AF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0" w:type="pct"/>
            <w:vAlign w:val="center"/>
            <w:hideMark/>
          </w:tcPr>
          <w:p w14:paraId="3CF0729E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b w:val="0"/>
                <w:bCs w:val="0"/>
                <w:szCs w:val="24"/>
                <w:lang w:eastAsia="en-GB"/>
              </w:rPr>
            </w:pPr>
            <w:r w:rsidRPr="00AF3E32">
              <w:rPr>
                <w:rFonts w:cs="Arial"/>
                <w:szCs w:val="24"/>
                <w:lang w:eastAsia="en-GB"/>
              </w:rPr>
              <w:t>Category</w:t>
            </w:r>
          </w:p>
        </w:tc>
        <w:tc>
          <w:tcPr>
            <w:tcW w:w="0" w:type="pct"/>
            <w:vAlign w:val="center"/>
            <w:hideMark/>
          </w:tcPr>
          <w:p w14:paraId="6F69DF07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b w:val="0"/>
                <w:bCs w:val="0"/>
                <w:szCs w:val="24"/>
                <w:lang w:eastAsia="en-GB"/>
              </w:rPr>
            </w:pPr>
            <w:r w:rsidRPr="00AF3E32">
              <w:rPr>
                <w:rFonts w:cs="Arial"/>
                <w:szCs w:val="24"/>
                <w:lang w:eastAsia="en-GB"/>
              </w:rPr>
              <w:t>Description</w:t>
            </w:r>
          </w:p>
        </w:tc>
      </w:tr>
      <w:tr w:rsidR="00CD0861" w:rsidRPr="00617FBE" w14:paraId="579BC7B9" w14:textId="77777777" w:rsidTr="00AF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0" w:type="pct"/>
            <w:vAlign w:val="center"/>
            <w:hideMark/>
          </w:tcPr>
          <w:p w14:paraId="07C97B6A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 w:themeColor="dark1"/>
                <w:kern w:val="24"/>
                <w:szCs w:val="24"/>
                <w:lang w:eastAsia="en-GB"/>
              </w:rPr>
              <w:t>Accountable (A)</w:t>
            </w:r>
          </w:p>
        </w:tc>
        <w:tc>
          <w:tcPr>
            <w:tcW w:w="0" w:type="pct"/>
            <w:vAlign w:val="center"/>
            <w:hideMark/>
          </w:tcPr>
          <w:p w14:paraId="57905864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Those who would be ultimately answerable if the task </w:t>
            </w:r>
            <w:proofErr w:type="gramStart"/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>was</w:t>
            </w:r>
            <w:proofErr w:type="gramEnd"/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 not completed correctly or thoroughly. They would be the ones who would delegate the work to those who would be responsible.   </w:t>
            </w:r>
          </w:p>
        </w:tc>
      </w:tr>
      <w:tr w:rsidR="00CD0861" w:rsidRPr="00617FBE" w14:paraId="1B17E901" w14:textId="77777777" w:rsidTr="00AF3E32">
        <w:trPr>
          <w:trHeight w:val="397"/>
        </w:trPr>
        <w:tc>
          <w:tcPr>
            <w:tcW w:w="0" w:type="pct"/>
            <w:vAlign w:val="center"/>
            <w:hideMark/>
          </w:tcPr>
          <w:p w14:paraId="0E49E46B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 w:themeColor="dark1"/>
                <w:kern w:val="24"/>
                <w:szCs w:val="24"/>
                <w:lang w:eastAsia="en-GB"/>
              </w:rPr>
              <w:t>Responsible (R)</w:t>
            </w:r>
          </w:p>
        </w:tc>
        <w:tc>
          <w:tcPr>
            <w:tcW w:w="0" w:type="pct"/>
            <w:vAlign w:val="center"/>
            <w:hideMark/>
          </w:tcPr>
          <w:p w14:paraId="43CC990A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Those who would be responsible for the task and ensuring that </w:t>
            </w:r>
            <w:proofErr w:type="gramStart"/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>it’s</w:t>
            </w:r>
            <w:proofErr w:type="gramEnd"/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 done.  </w:t>
            </w:r>
          </w:p>
        </w:tc>
      </w:tr>
      <w:tr w:rsidR="00CD0861" w:rsidRPr="00617FBE" w14:paraId="58EB8D29" w14:textId="77777777" w:rsidTr="00AF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0" w:type="pct"/>
            <w:vAlign w:val="center"/>
            <w:hideMark/>
          </w:tcPr>
          <w:p w14:paraId="7F529311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 w:themeColor="dark1"/>
                <w:kern w:val="24"/>
                <w:szCs w:val="24"/>
                <w:lang w:eastAsia="en-GB"/>
              </w:rPr>
              <w:t>Supporting (S)</w:t>
            </w:r>
          </w:p>
        </w:tc>
        <w:tc>
          <w:tcPr>
            <w:tcW w:w="0" w:type="pct"/>
            <w:vAlign w:val="center"/>
            <w:hideMark/>
          </w:tcPr>
          <w:p w14:paraId="1DE0ECDD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Those who would provide the resource to those responsible to </w:t>
            </w:r>
            <w:r w:rsidRPr="00AF3E32">
              <w:rPr>
                <w:rFonts w:cs="Arial"/>
                <w:color w:val="000000" w:themeColor="dark1"/>
                <w:kern w:val="24"/>
                <w:szCs w:val="24"/>
                <w:lang w:eastAsia="en-GB"/>
              </w:rPr>
              <w:t>provide direct input into the task and help to complete it</w:t>
            </w:r>
          </w:p>
        </w:tc>
      </w:tr>
      <w:tr w:rsidR="00CD0861" w:rsidRPr="00617FBE" w14:paraId="7ADDD6C9" w14:textId="77777777" w:rsidTr="00AF3E32">
        <w:trPr>
          <w:trHeight w:val="397"/>
        </w:trPr>
        <w:tc>
          <w:tcPr>
            <w:tcW w:w="0" w:type="pct"/>
            <w:vAlign w:val="center"/>
            <w:hideMark/>
          </w:tcPr>
          <w:p w14:paraId="5F93448B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 w:themeColor="dark1"/>
                <w:kern w:val="24"/>
                <w:szCs w:val="24"/>
                <w:lang w:eastAsia="en-GB"/>
              </w:rPr>
              <w:t>Consulted (C)</w:t>
            </w:r>
          </w:p>
        </w:tc>
        <w:tc>
          <w:tcPr>
            <w:tcW w:w="0" w:type="pct"/>
            <w:vAlign w:val="center"/>
            <w:hideMark/>
          </w:tcPr>
          <w:p w14:paraId="2FB982DB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Those who would provide input and an </w:t>
            </w:r>
            <w:proofErr w:type="gramStart"/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>opinion, and</w:t>
            </w:r>
            <w:proofErr w:type="gramEnd"/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 be engaged in the process.   </w:t>
            </w:r>
          </w:p>
        </w:tc>
      </w:tr>
      <w:tr w:rsidR="00CD0861" w:rsidRPr="00617FBE" w14:paraId="6FAE2EEC" w14:textId="77777777" w:rsidTr="00AF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0" w:type="pct"/>
            <w:vAlign w:val="center"/>
            <w:hideMark/>
          </w:tcPr>
          <w:p w14:paraId="2B85C4F2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 w:themeColor="dark1"/>
                <w:kern w:val="24"/>
                <w:szCs w:val="24"/>
                <w:lang w:eastAsia="en-GB"/>
              </w:rPr>
              <w:t>Informed (I)</w:t>
            </w:r>
          </w:p>
        </w:tc>
        <w:tc>
          <w:tcPr>
            <w:tcW w:w="0" w:type="pct"/>
            <w:vAlign w:val="center"/>
            <w:hideMark/>
          </w:tcPr>
          <w:p w14:paraId="45E14F5B" w14:textId="77777777" w:rsidR="00CD0861" w:rsidRPr="00AF3E32" w:rsidRDefault="00CD0861" w:rsidP="00CD086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 w:themeColor="dark1"/>
                <w:kern w:val="24"/>
                <w:szCs w:val="24"/>
                <w:lang w:val="en" w:eastAsia="en-GB"/>
              </w:rPr>
              <w:t xml:space="preserve">Those who would be kept up to date with the progress of the task.  </w:t>
            </w:r>
          </w:p>
        </w:tc>
      </w:tr>
    </w:tbl>
    <w:p w14:paraId="122C6AD6" w14:textId="77777777" w:rsidR="00D35678" w:rsidRPr="00AF3E32" w:rsidRDefault="00D35678" w:rsidP="00CD4D19">
      <w:pPr>
        <w:rPr>
          <w:rFonts w:cs="Arial"/>
          <w:szCs w:val="24"/>
        </w:rPr>
      </w:pPr>
    </w:p>
    <w:p w14:paraId="770E9997" w14:textId="30BD3154" w:rsidR="00B6374B" w:rsidRPr="00AF3E32" w:rsidRDefault="00691A34">
      <w:pPr>
        <w:rPr>
          <w:rFonts w:cs="Arial"/>
          <w:szCs w:val="24"/>
        </w:rPr>
      </w:pPr>
      <w:r w:rsidRPr="00AF3E32">
        <w:rPr>
          <w:rFonts w:cs="Arial"/>
          <w:szCs w:val="24"/>
        </w:rPr>
        <w:t>The following table is for illustrative purposes only</w:t>
      </w:r>
      <w:r w:rsidR="00D35678">
        <w:rPr>
          <w:rFonts w:cs="Arial"/>
          <w:szCs w:val="24"/>
        </w:rPr>
        <w:t xml:space="preserve">, </w:t>
      </w:r>
      <w:r w:rsidR="00AB6361" w:rsidRPr="00AF3E32">
        <w:rPr>
          <w:rFonts w:cs="Arial"/>
          <w:szCs w:val="24"/>
        </w:rPr>
        <w:t>using these categories</w:t>
      </w:r>
      <w:r w:rsidRPr="00AF3E32">
        <w:rPr>
          <w:rFonts w:cs="Arial"/>
          <w:szCs w:val="24"/>
        </w:rPr>
        <w:t xml:space="preserve">. </w:t>
      </w:r>
      <w:r w:rsidR="00D35678">
        <w:rPr>
          <w:rFonts w:cs="Arial"/>
          <w:szCs w:val="24"/>
        </w:rPr>
        <w:t xml:space="preserve">You </w:t>
      </w:r>
      <w:r w:rsidRPr="00AF3E32">
        <w:rPr>
          <w:rFonts w:cs="Arial"/>
          <w:szCs w:val="24"/>
        </w:rPr>
        <w:t>should adapt</w:t>
      </w:r>
      <w:r w:rsidR="00D35678">
        <w:rPr>
          <w:rFonts w:cs="Arial"/>
          <w:szCs w:val="24"/>
        </w:rPr>
        <w:t xml:space="preserve"> the grey shaded areas</w:t>
      </w:r>
      <w:r w:rsidRPr="00AF3E32">
        <w:rPr>
          <w:rFonts w:cs="Arial"/>
          <w:szCs w:val="24"/>
        </w:rPr>
        <w:t xml:space="preserve"> </w:t>
      </w:r>
      <w:r w:rsidR="00D35678">
        <w:rPr>
          <w:rFonts w:cs="Arial"/>
          <w:szCs w:val="24"/>
        </w:rPr>
        <w:t xml:space="preserve">for </w:t>
      </w:r>
      <w:r w:rsidRPr="00AF3E32">
        <w:rPr>
          <w:rFonts w:cs="Arial"/>
          <w:szCs w:val="24"/>
        </w:rPr>
        <w:t>your own governance arrangements, structure and the style</w:t>
      </w:r>
      <w:r w:rsidR="0054106E" w:rsidRPr="00AF3E32">
        <w:rPr>
          <w:rFonts w:cs="Arial"/>
          <w:szCs w:val="24"/>
        </w:rPr>
        <w:t xml:space="preserve"> and </w:t>
      </w:r>
      <w:r w:rsidRPr="00AF3E32">
        <w:rPr>
          <w:rFonts w:cs="Arial"/>
          <w:szCs w:val="24"/>
        </w:rPr>
        <w:t>format of documentation that you already use</w:t>
      </w:r>
      <w:r w:rsidR="00D35678">
        <w:rPr>
          <w:rFonts w:cs="Arial"/>
          <w:szCs w:val="24"/>
        </w:rPr>
        <w:t>, as follows:</w:t>
      </w:r>
    </w:p>
    <w:p w14:paraId="2766253D" w14:textId="77777777" w:rsidR="00B6374B" w:rsidRPr="00AF3E32" w:rsidRDefault="00B6374B" w:rsidP="00CD4D19">
      <w:pPr>
        <w:rPr>
          <w:rFonts w:cs="Arial"/>
          <w:szCs w:val="24"/>
        </w:rPr>
      </w:pPr>
    </w:p>
    <w:p w14:paraId="659C40B2" w14:textId="140DBE37" w:rsidR="00212774" w:rsidRPr="00AF3E32" w:rsidRDefault="00B6374B" w:rsidP="00212774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AF3E32">
        <w:rPr>
          <w:rFonts w:cs="Arial"/>
          <w:szCs w:val="24"/>
        </w:rPr>
        <w:t xml:space="preserve">Levels of decision </w:t>
      </w:r>
      <w:proofErr w:type="gramStart"/>
      <w:r w:rsidRPr="00AF3E32">
        <w:rPr>
          <w:rFonts w:cs="Arial"/>
          <w:szCs w:val="24"/>
        </w:rPr>
        <w:t>making:</w:t>
      </w:r>
      <w:proofErr w:type="gramEnd"/>
      <w:r w:rsidRPr="00AF3E32">
        <w:rPr>
          <w:rFonts w:cs="Arial"/>
          <w:szCs w:val="24"/>
        </w:rPr>
        <w:t xml:space="preserve"> examples have been included but you will need to amend to reflect your particular circumstances</w:t>
      </w:r>
      <w:r w:rsidR="00212774" w:rsidRPr="00AF3E32">
        <w:rPr>
          <w:rFonts w:cs="Arial"/>
          <w:szCs w:val="24"/>
        </w:rPr>
        <w:t xml:space="preserve"> </w:t>
      </w:r>
      <w:r w:rsidR="0054106E" w:rsidRPr="00AF3E32">
        <w:rPr>
          <w:rFonts w:cs="Arial"/>
          <w:szCs w:val="24"/>
        </w:rPr>
        <w:t>and</w:t>
      </w:r>
      <w:r w:rsidR="00212774" w:rsidRPr="00AF3E32">
        <w:rPr>
          <w:rFonts w:cs="Arial"/>
          <w:szCs w:val="24"/>
        </w:rPr>
        <w:t xml:space="preserve"> governance levels</w:t>
      </w:r>
      <w:r w:rsidR="0054106E" w:rsidRPr="00AF3E32">
        <w:rPr>
          <w:rFonts w:cs="Arial"/>
          <w:szCs w:val="24"/>
        </w:rPr>
        <w:t>.</w:t>
      </w:r>
    </w:p>
    <w:p w14:paraId="05B80645" w14:textId="22EBC887" w:rsidR="00212774" w:rsidRPr="00AF3E32" w:rsidRDefault="00212774" w:rsidP="00212774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AF3E32">
        <w:rPr>
          <w:rFonts w:cs="Arial"/>
          <w:szCs w:val="24"/>
        </w:rPr>
        <w:t xml:space="preserve">Estate functions: examples have been </w:t>
      </w:r>
      <w:r w:rsidR="00BD452B" w:rsidRPr="00AF3E32">
        <w:rPr>
          <w:rFonts w:cs="Arial"/>
          <w:szCs w:val="24"/>
        </w:rPr>
        <w:t xml:space="preserve">included </w:t>
      </w:r>
      <w:r w:rsidRPr="00AF3E32">
        <w:rPr>
          <w:rFonts w:cs="Arial"/>
          <w:szCs w:val="24"/>
        </w:rPr>
        <w:t xml:space="preserve">to reflect the fundamental strategic elements in </w:t>
      </w:r>
      <w:r w:rsidR="0054106E" w:rsidRPr="00AF3E32">
        <w:rPr>
          <w:rFonts w:cs="Arial"/>
          <w:szCs w:val="24"/>
        </w:rPr>
        <w:t>the g</w:t>
      </w:r>
      <w:r w:rsidRPr="00AF3E32">
        <w:rPr>
          <w:rFonts w:cs="Arial"/>
          <w:szCs w:val="24"/>
        </w:rPr>
        <w:t xml:space="preserve">ood </w:t>
      </w:r>
      <w:r w:rsidR="0054106E" w:rsidRPr="00AF3E32">
        <w:rPr>
          <w:rFonts w:cs="Arial"/>
          <w:szCs w:val="24"/>
        </w:rPr>
        <w:t>e</w:t>
      </w:r>
      <w:r w:rsidRPr="00AF3E32">
        <w:rPr>
          <w:rFonts w:cs="Arial"/>
          <w:szCs w:val="24"/>
        </w:rPr>
        <w:t xml:space="preserve">state </w:t>
      </w:r>
      <w:r w:rsidR="0054106E" w:rsidRPr="00AF3E32">
        <w:rPr>
          <w:rFonts w:cs="Arial"/>
          <w:szCs w:val="24"/>
        </w:rPr>
        <w:t>m</w:t>
      </w:r>
      <w:r w:rsidRPr="00AF3E32">
        <w:rPr>
          <w:rFonts w:cs="Arial"/>
          <w:szCs w:val="24"/>
        </w:rPr>
        <w:t xml:space="preserve">anagement for </w:t>
      </w:r>
      <w:proofErr w:type="gramStart"/>
      <w:r w:rsidR="0054106E" w:rsidRPr="00AF3E32">
        <w:rPr>
          <w:rFonts w:cs="Arial"/>
          <w:szCs w:val="24"/>
        </w:rPr>
        <w:t>s</w:t>
      </w:r>
      <w:r w:rsidRPr="00AF3E32">
        <w:rPr>
          <w:rFonts w:cs="Arial"/>
          <w:szCs w:val="24"/>
        </w:rPr>
        <w:t>chools</w:t>
      </w:r>
      <w:proofErr w:type="gramEnd"/>
      <w:r w:rsidR="0054106E" w:rsidRPr="00AF3E32">
        <w:rPr>
          <w:rFonts w:cs="Arial"/>
          <w:szCs w:val="24"/>
        </w:rPr>
        <w:t xml:space="preserve"> guidance</w:t>
      </w:r>
      <w:r w:rsidR="00A55B34" w:rsidRPr="00AF3E32">
        <w:rPr>
          <w:rFonts w:cs="Arial"/>
          <w:szCs w:val="24"/>
        </w:rPr>
        <w:t>.</w:t>
      </w:r>
      <w:r w:rsidRPr="00AF3E32">
        <w:rPr>
          <w:rFonts w:cs="Arial"/>
          <w:szCs w:val="24"/>
        </w:rPr>
        <w:t xml:space="preserve"> </w:t>
      </w:r>
      <w:r w:rsidR="00B6374B" w:rsidRPr="00AF3E32">
        <w:rPr>
          <w:rFonts w:cs="Arial"/>
          <w:szCs w:val="24"/>
        </w:rPr>
        <w:t xml:space="preserve">You should </w:t>
      </w:r>
      <w:r w:rsidR="00A55B34" w:rsidRPr="00AF3E32">
        <w:rPr>
          <w:rFonts w:cs="Arial"/>
          <w:szCs w:val="24"/>
        </w:rPr>
        <w:t xml:space="preserve">amend to suit </w:t>
      </w:r>
      <w:r w:rsidR="00B6374B" w:rsidRPr="00AF3E32">
        <w:rPr>
          <w:rFonts w:cs="Arial"/>
          <w:szCs w:val="24"/>
        </w:rPr>
        <w:t>your key strategic estates related functions</w:t>
      </w:r>
      <w:r w:rsidR="00A55B34" w:rsidRPr="00AF3E32">
        <w:rPr>
          <w:rFonts w:cs="Arial"/>
          <w:szCs w:val="24"/>
        </w:rPr>
        <w:t>.</w:t>
      </w:r>
    </w:p>
    <w:p w14:paraId="6ED380D8" w14:textId="461BF2E3" w:rsidR="00B6374B" w:rsidRPr="00AF3E32" w:rsidRDefault="00212774" w:rsidP="00212774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AF3E32">
        <w:rPr>
          <w:rFonts w:cs="Arial"/>
          <w:szCs w:val="24"/>
        </w:rPr>
        <w:t xml:space="preserve">Categorisation: examples have been given as an illustration only. You should consider </w:t>
      </w:r>
      <w:r w:rsidR="00B6374B" w:rsidRPr="00AF3E32">
        <w:rPr>
          <w:rFonts w:cs="Arial"/>
          <w:szCs w:val="24"/>
        </w:rPr>
        <w:t>where accountability and responsibility sit for each</w:t>
      </w:r>
      <w:r w:rsidRPr="00AF3E32">
        <w:rPr>
          <w:rFonts w:cs="Arial"/>
          <w:szCs w:val="24"/>
        </w:rPr>
        <w:t xml:space="preserve"> function</w:t>
      </w:r>
      <w:r w:rsidR="00B6374B" w:rsidRPr="00AF3E32">
        <w:rPr>
          <w:rFonts w:cs="Arial"/>
          <w:szCs w:val="24"/>
        </w:rPr>
        <w:t>, how decisions are made</w:t>
      </w:r>
      <w:r w:rsidRPr="00AF3E32">
        <w:rPr>
          <w:rFonts w:cs="Arial"/>
          <w:szCs w:val="24"/>
        </w:rPr>
        <w:t xml:space="preserve"> in your organisation and categorise accordingly</w:t>
      </w:r>
      <w:r w:rsidR="00B6374B" w:rsidRPr="00AF3E32">
        <w:rPr>
          <w:rFonts w:cs="Arial"/>
          <w:szCs w:val="24"/>
        </w:rPr>
        <w:t xml:space="preserve">. </w:t>
      </w:r>
    </w:p>
    <w:p w14:paraId="0F028AEB" w14:textId="4302D95A" w:rsidR="000B6070" w:rsidRPr="00AF3E32" w:rsidRDefault="000B6070" w:rsidP="00CD4D19">
      <w:pPr>
        <w:rPr>
          <w:rFonts w:cs="Arial"/>
          <w:szCs w:val="24"/>
        </w:rPr>
      </w:pPr>
    </w:p>
    <w:p w14:paraId="0844A0BF" w14:textId="199ED62B" w:rsidR="00895118" w:rsidRPr="00AF3E32" w:rsidRDefault="00212774" w:rsidP="00D303A9">
      <w:pPr>
        <w:rPr>
          <w:rFonts w:cs="Arial"/>
          <w:szCs w:val="24"/>
        </w:rPr>
        <w:sectPr w:rsidR="00895118" w:rsidRPr="00AF3E32" w:rsidSect="00AF3E32">
          <w:headerReference w:type="default" r:id="rId11"/>
          <w:footerReference w:type="default" r:id="rId12"/>
          <w:headerReference w:type="first" r:id="rId13"/>
          <w:pgSz w:w="11906" w:h="17338"/>
          <w:pgMar w:top="1750" w:right="880" w:bottom="580" w:left="1072" w:header="284" w:footer="720" w:gutter="0"/>
          <w:cols w:space="720"/>
          <w:noEndnote/>
        </w:sectPr>
      </w:pPr>
      <w:r w:rsidRPr="00AF3E32">
        <w:rPr>
          <w:rFonts w:cs="Arial"/>
          <w:szCs w:val="24"/>
        </w:rPr>
        <w:t>Whilst the focus of this tool is on strategic estate functions, you</w:t>
      </w:r>
      <w:r w:rsidR="000A5E52" w:rsidRPr="00AF3E32">
        <w:rPr>
          <w:rFonts w:cs="Arial"/>
          <w:szCs w:val="24"/>
        </w:rPr>
        <w:t xml:space="preserve"> should </w:t>
      </w:r>
      <w:r w:rsidRPr="00AF3E32">
        <w:rPr>
          <w:rFonts w:cs="Arial"/>
          <w:szCs w:val="24"/>
        </w:rPr>
        <w:t xml:space="preserve">also </w:t>
      </w:r>
      <w:r w:rsidR="00BD452B" w:rsidRPr="00AF3E32">
        <w:rPr>
          <w:rFonts w:cs="Arial"/>
          <w:szCs w:val="24"/>
        </w:rPr>
        <w:t xml:space="preserve">set out clear roles and responsibilities </w:t>
      </w:r>
      <w:r w:rsidR="00055A64" w:rsidRPr="00AF3E32">
        <w:rPr>
          <w:rFonts w:cs="Arial"/>
          <w:szCs w:val="24"/>
        </w:rPr>
        <w:t xml:space="preserve">for </w:t>
      </w:r>
      <w:r w:rsidRPr="00AF3E32">
        <w:rPr>
          <w:rFonts w:cs="Arial"/>
          <w:szCs w:val="24"/>
        </w:rPr>
        <w:t xml:space="preserve">other operational estates functions and activities </w:t>
      </w:r>
      <w:r w:rsidR="00BD452B" w:rsidRPr="00AF3E32">
        <w:rPr>
          <w:rFonts w:cs="Arial"/>
          <w:szCs w:val="24"/>
        </w:rPr>
        <w:t>across your organisation</w:t>
      </w:r>
      <w:r w:rsidR="000A5E52" w:rsidRPr="00AF3E32">
        <w:rPr>
          <w:rFonts w:cs="Arial"/>
          <w:szCs w:val="24"/>
        </w:rPr>
        <w:t xml:space="preserve"> as part of your asset management planning</w:t>
      </w:r>
      <w:r w:rsidR="00BF6A87" w:rsidRPr="00AF3E32">
        <w:rPr>
          <w:rFonts w:cs="Arial"/>
          <w:szCs w:val="24"/>
        </w:rPr>
        <w:t>.</w:t>
      </w:r>
      <w:r w:rsidR="000B6070" w:rsidRPr="00AF3E32">
        <w:rPr>
          <w:rFonts w:cs="Arial"/>
          <w:szCs w:val="24"/>
        </w:rPr>
        <w:t xml:space="preserve"> </w:t>
      </w:r>
    </w:p>
    <w:p w14:paraId="6996A45D" w14:textId="5AB0C9E3" w:rsidR="001024F9" w:rsidRPr="00AF3E32" w:rsidRDefault="001024F9">
      <w:pPr>
        <w:tabs>
          <w:tab w:val="left" w:pos="6386"/>
        </w:tabs>
        <w:jc w:val="center"/>
        <w:rPr>
          <w:rFonts w:cs="Arial"/>
          <w:b/>
          <w:bCs/>
          <w:szCs w:val="24"/>
        </w:rPr>
      </w:pPr>
      <w:r w:rsidRPr="00FE2739">
        <w:rPr>
          <w:rFonts w:cs="Arial"/>
          <w:b/>
          <w:bCs/>
          <w:szCs w:val="24"/>
        </w:rPr>
        <w:lastRenderedPageBreak/>
        <w:t xml:space="preserve">Illustration of delegations/levels of decision making for </w:t>
      </w:r>
      <w:r w:rsidR="00012152" w:rsidRPr="001126FE">
        <w:rPr>
          <w:rFonts w:cs="Arial"/>
          <w:b/>
          <w:bCs/>
          <w:szCs w:val="24"/>
        </w:rPr>
        <w:t xml:space="preserve">key </w:t>
      </w:r>
      <w:r w:rsidR="00895118" w:rsidRPr="00AF3E32">
        <w:rPr>
          <w:rFonts w:cs="Arial"/>
          <w:b/>
          <w:bCs/>
          <w:szCs w:val="24"/>
        </w:rPr>
        <w:t xml:space="preserve">strategic </w:t>
      </w:r>
      <w:r w:rsidRPr="00AF3E32">
        <w:rPr>
          <w:rFonts w:cs="Arial"/>
          <w:b/>
          <w:bCs/>
          <w:szCs w:val="24"/>
        </w:rPr>
        <w:t>estates functions</w:t>
      </w:r>
    </w:p>
    <w:p w14:paraId="12792647" w14:textId="77777777" w:rsidR="000A61C9" w:rsidRPr="00AF3E32" w:rsidRDefault="000A61C9" w:rsidP="001024F9">
      <w:pPr>
        <w:tabs>
          <w:tab w:val="left" w:pos="6386"/>
        </w:tabs>
        <w:jc w:val="center"/>
        <w:rPr>
          <w:rFonts w:cs="Arial"/>
          <w:b/>
          <w:bCs/>
          <w:szCs w:val="24"/>
        </w:rPr>
      </w:pPr>
    </w:p>
    <w:tbl>
      <w:tblPr>
        <w:tblStyle w:val="TableGrid"/>
        <w:tblW w:w="5000" w:type="pct"/>
        <w:tblLayout w:type="fixed"/>
        <w:tblLook w:val="0420" w:firstRow="1" w:lastRow="0" w:firstColumn="0" w:lastColumn="0" w:noHBand="0" w:noVBand="1"/>
      </w:tblPr>
      <w:tblGrid>
        <w:gridCol w:w="7839"/>
        <w:gridCol w:w="1508"/>
        <w:gridCol w:w="1508"/>
        <w:gridCol w:w="1511"/>
        <w:gridCol w:w="1508"/>
        <w:gridCol w:w="1514"/>
      </w:tblGrid>
      <w:tr w:rsidR="007312DE" w:rsidRPr="00617FBE" w14:paraId="4D3D0206" w14:textId="77777777" w:rsidTr="00B6374B">
        <w:trPr>
          <w:trHeight w:val="131"/>
        </w:trPr>
        <w:tc>
          <w:tcPr>
            <w:tcW w:w="2547" w:type="pct"/>
            <w:vMerge w:val="restart"/>
            <w:vAlign w:val="center"/>
            <w:hideMark/>
          </w:tcPr>
          <w:p w14:paraId="43A41158" w14:textId="77777777" w:rsidR="007312DE" w:rsidRPr="00617FBE" w:rsidRDefault="007312DE" w:rsidP="00B6374B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  <w:t>Estate function</w:t>
            </w:r>
          </w:p>
        </w:tc>
        <w:tc>
          <w:tcPr>
            <w:tcW w:w="2453" w:type="pct"/>
            <w:gridSpan w:val="5"/>
            <w:hideMark/>
          </w:tcPr>
          <w:p w14:paraId="7036635A" w14:textId="3D887659" w:rsidR="007312DE" w:rsidRPr="00AF3E32" w:rsidRDefault="007312DE" w:rsidP="001024F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  <w:t>Level of decision making</w:t>
            </w:r>
          </w:p>
        </w:tc>
      </w:tr>
      <w:tr w:rsidR="0096542E" w:rsidRPr="00617FBE" w14:paraId="7CACB5E9" w14:textId="77777777" w:rsidTr="00B6374B">
        <w:tc>
          <w:tcPr>
            <w:tcW w:w="2547" w:type="pct"/>
            <w:vMerge/>
            <w:hideMark/>
          </w:tcPr>
          <w:p w14:paraId="388373CD" w14:textId="77777777" w:rsidR="0096542E" w:rsidRPr="00AF3E32" w:rsidRDefault="0096542E" w:rsidP="001024F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53" w:type="pct"/>
            <w:gridSpan w:val="5"/>
          </w:tcPr>
          <w:p w14:paraId="7FCD7E10" w14:textId="18B906D5" w:rsidR="0096542E" w:rsidRPr="00AF3E32" w:rsidRDefault="0096542E" w:rsidP="005B1F1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i/>
                <w:iCs/>
                <w:color w:val="FF0000"/>
                <w:kern w:val="24"/>
                <w:szCs w:val="24"/>
                <w:lang w:eastAsia="en-GB"/>
              </w:rPr>
              <w:t>Insert levels (illustration only – not all will apply, you will need to change to reflect your own organisation)</w:t>
            </w:r>
          </w:p>
        </w:tc>
      </w:tr>
      <w:tr w:rsidR="0096542E" w:rsidRPr="00617FBE" w14:paraId="60AD34A3" w14:textId="77777777" w:rsidTr="00D303A9">
        <w:tc>
          <w:tcPr>
            <w:tcW w:w="2547" w:type="pct"/>
            <w:vAlign w:val="center"/>
          </w:tcPr>
          <w:p w14:paraId="1396B060" w14:textId="7255F092" w:rsidR="0096542E" w:rsidRPr="00AF3E32" w:rsidRDefault="0096542E" w:rsidP="00D303A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i/>
                <w:iCs/>
                <w:color w:val="FF0000"/>
                <w:kern w:val="24"/>
                <w:szCs w:val="24"/>
                <w:lang w:eastAsia="en-GB"/>
              </w:rPr>
              <w:t>Insert your key estates functions (illustration only – you may want to change or add others)</w:t>
            </w:r>
          </w:p>
        </w:tc>
        <w:tc>
          <w:tcPr>
            <w:tcW w:w="490" w:type="pct"/>
            <w:shd w:val="clear" w:color="auto" w:fill="D9D9D9" w:themeFill="background1" w:themeFillShade="D9"/>
          </w:tcPr>
          <w:p w14:paraId="16F9193C" w14:textId="551DB348" w:rsidR="0096542E" w:rsidRPr="00AF3E32" w:rsidRDefault="0096542E" w:rsidP="0096542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  <w:t xml:space="preserve">Eg Trustees </w:t>
            </w:r>
            <w:r w:rsidRPr="00AF3E32">
              <w:rPr>
                <w:rFonts w:cs="Arial"/>
                <w:b/>
                <w:bCs/>
                <w:i/>
                <w:iCs/>
                <w:color w:val="000000"/>
                <w:kern w:val="24"/>
                <w:szCs w:val="24"/>
                <w:lang w:eastAsia="en-GB"/>
              </w:rPr>
              <w:t>(could define charity trustees or trustees of the school)</w:t>
            </w:r>
          </w:p>
        </w:tc>
        <w:tc>
          <w:tcPr>
            <w:tcW w:w="490" w:type="pct"/>
            <w:shd w:val="clear" w:color="auto" w:fill="D9D9D9" w:themeFill="background1" w:themeFillShade="D9"/>
          </w:tcPr>
          <w:p w14:paraId="6D49DBC6" w14:textId="5DCAAC31" w:rsidR="0096542E" w:rsidRPr="00AF3E32" w:rsidRDefault="0096542E" w:rsidP="0096542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  <w:t>Eg Executive/ Senior Leadership Team</w:t>
            </w:r>
          </w:p>
        </w:tc>
        <w:tc>
          <w:tcPr>
            <w:tcW w:w="491" w:type="pct"/>
            <w:shd w:val="clear" w:color="auto" w:fill="D9D9D9" w:themeFill="background1" w:themeFillShade="D9"/>
          </w:tcPr>
          <w:p w14:paraId="458137FC" w14:textId="601FE1F4" w:rsidR="0096542E" w:rsidRPr="00AF3E32" w:rsidRDefault="0096542E" w:rsidP="0096542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  <w:t xml:space="preserve">Eg Local Governing Body </w:t>
            </w:r>
            <w:r w:rsidRPr="00AF3E32">
              <w:rPr>
                <w:rFonts w:cs="Arial"/>
                <w:b/>
                <w:bCs/>
                <w:i/>
                <w:iCs/>
                <w:color w:val="000000"/>
                <w:kern w:val="24"/>
                <w:szCs w:val="24"/>
                <w:lang w:eastAsia="en-GB"/>
              </w:rPr>
              <w:t>(could also add relevant committees)</w:t>
            </w:r>
          </w:p>
        </w:tc>
        <w:tc>
          <w:tcPr>
            <w:tcW w:w="490" w:type="pct"/>
            <w:shd w:val="clear" w:color="auto" w:fill="D9D9D9" w:themeFill="background1" w:themeFillShade="D9"/>
          </w:tcPr>
          <w:p w14:paraId="094D9E89" w14:textId="586DBF24" w:rsidR="0096542E" w:rsidRPr="00AF3E32" w:rsidRDefault="0096542E" w:rsidP="0096542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  <w:t>Eg Head teacher / staff</w:t>
            </w:r>
          </w:p>
        </w:tc>
        <w:tc>
          <w:tcPr>
            <w:tcW w:w="492" w:type="pct"/>
            <w:shd w:val="clear" w:color="auto" w:fill="D9D9D9" w:themeFill="background1" w:themeFillShade="D9"/>
          </w:tcPr>
          <w:p w14:paraId="01C79509" w14:textId="4399BF48" w:rsidR="0096542E" w:rsidRPr="00AF3E32" w:rsidRDefault="0096542E" w:rsidP="0096542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b/>
                <w:bCs/>
                <w:color w:val="000000"/>
                <w:kern w:val="24"/>
                <w:szCs w:val="24"/>
                <w:lang w:eastAsia="en-GB"/>
              </w:rPr>
              <w:t>Eg Local authority/ Diocesan board</w:t>
            </w:r>
          </w:p>
        </w:tc>
      </w:tr>
      <w:tr w:rsidR="0096542E" w:rsidRPr="00617FBE" w14:paraId="5021CA25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  <w:hideMark/>
          </w:tcPr>
          <w:p w14:paraId="08CBAA5A" w14:textId="1AAFFDEB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>Developing medium to long term strategic estates documents and plans (eg Estate vision, strategy and asset management plan)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0852F82B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FF0000"/>
                <w:kern w:val="24"/>
                <w:szCs w:val="24"/>
                <w:lang w:eastAsia="en-GB"/>
              </w:rPr>
              <w:t>A*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7207494F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FF0000"/>
                <w:kern w:val="24"/>
                <w:szCs w:val="24"/>
                <w:lang w:eastAsia="en-GB"/>
              </w:rPr>
              <w:t>R*</w:t>
            </w:r>
          </w:p>
        </w:tc>
        <w:tc>
          <w:tcPr>
            <w:tcW w:w="491" w:type="pct"/>
            <w:shd w:val="clear" w:color="auto" w:fill="D9D9D9" w:themeFill="background1" w:themeFillShade="D9"/>
            <w:vAlign w:val="center"/>
            <w:hideMark/>
          </w:tcPr>
          <w:p w14:paraId="1C9444AD" w14:textId="5D9159F1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FF0000"/>
                <w:kern w:val="24"/>
                <w:szCs w:val="24"/>
                <w:lang w:eastAsia="en-GB"/>
              </w:rPr>
              <w:t>C*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7F1B66C1" w14:textId="57CA5294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FF0000"/>
                <w:kern w:val="24"/>
                <w:szCs w:val="24"/>
                <w:lang w:eastAsia="en-GB"/>
              </w:rPr>
              <w:t>S*</w:t>
            </w: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46308958" w14:textId="07CEEC35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FF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color w:val="FF0000"/>
                <w:kern w:val="24"/>
                <w:szCs w:val="24"/>
                <w:lang w:eastAsia="en-GB"/>
              </w:rPr>
              <w:t>C*</w:t>
            </w:r>
          </w:p>
        </w:tc>
      </w:tr>
      <w:tr w:rsidR="0096542E" w:rsidRPr="00617FBE" w14:paraId="4F094ED9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</w:tcPr>
          <w:p w14:paraId="5FC2B73B" w14:textId="2C4B1B7A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>Making strategic decisions about the estate (eg to acquire or dispose of land and buildings)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4BFC4573" w14:textId="501C8FEA" w:rsidR="007064E5" w:rsidRPr="00AF3E32" w:rsidRDefault="007064E5" w:rsidP="0085286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28011FA6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</w:tcPr>
          <w:p w14:paraId="4E27F919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6E8C0D18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0DDF49D5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  <w:tr w:rsidR="0096542E" w:rsidRPr="00617FBE" w14:paraId="468F5D28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  <w:hideMark/>
          </w:tcPr>
          <w:p w14:paraId="3B54CB1A" w14:textId="1A19FAEE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 xml:space="preserve">Managing the performance of the estate and ensuring it delivers value for money (eg as part of accountability for financial performance) 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3F00803C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114444D5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  <w:hideMark/>
          </w:tcPr>
          <w:p w14:paraId="03115A5A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4BC3E04C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7682EC09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  <w:tr w:rsidR="0096542E" w:rsidRPr="00617FBE" w14:paraId="18D63269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</w:tcPr>
          <w:p w14:paraId="1E95D80E" w14:textId="5C8530A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 xml:space="preserve">Setting a </w:t>
            </w:r>
            <w:proofErr w:type="gramStart"/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>medium term</w:t>
            </w:r>
            <w:proofErr w:type="gramEnd"/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 xml:space="preserve"> budget for the estate (eg as part of your 3-5 year overall budget planning process)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758E4C93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6F1CAC25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</w:tcPr>
          <w:p w14:paraId="3A04F450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6B1D780D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64938681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  <w:tr w:rsidR="0096542E" w:rsidRPr="00617FBE" w14:paraId="68E36E5D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</w:tcPr>
          <w:p w14:paraId="78839A15" w14:textId="2A7CDED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>Planning for emergencies and business continuity (eg ensuring the estate is integral in organisational emergency planning)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6BBB0DF0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0212A933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</w:tcPr>
          <w:p w14:paraId="20F1CA7E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76F209C1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3E6D3AFB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  <w:tr w:rsidR="0096542E" w:rsidRPr="00617FBE" w14:paraId="23474BAB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  <w:hideMark/>
          </w:tcPr>
          <w:p w14:paraId="04F5A9B1" w14:textId="060C4C23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 xml:space="preserve">Instituting a health and safety policy for the estate and defining responsibilities across the organisation (eg ensuring the estate is integral in organisational health and safety policies) 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5F7B9CD4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243C4D54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  <w:hideMark/>
          </w:tcPr>
          <w:p w14:paraId="386F60F7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23E7A838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58DD7CC6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  <w:tr w:rsidR="0096542E" w:rsidRPr="00617FBE" w14:paraId="371C80FA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  <w:hideMark/>
          </w:tcPr>
          <w:p w14:paraId="012EB5AB" w14:textId="651A95C4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>Ensuring that all buildings are safe, secure and comply with statutory requirements (eg managing and monitoring the safe use and operation of the estate)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77FC0CBA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1B8130D6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  <w:hideMark/>
          </w:tcPr>
          <w:p w14:paraId="463B4B19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6BBCD140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1C257231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  <w:tr w:rsidR="0096542E" w:rsidRPr="00617FBE" w14:paraId="01517987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  <w:hideMark/>
          </w:tcPr>
          <w:p w14:paraId="5B8CD108" w14:textId="14CB5B0A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>Producing and implementing a properly funded maintenance plan (eg as part of organisational budget planning process)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443C146B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4FE83805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  <w:hideMark/>
          </w:tcPr>
          <w:p w14:paraId="1AB9E7EB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  <w:hideMark/>
          </w:tcPr>
          <w:p w14:paraId="6902DC83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39F63AEB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  <w:tr w:rsidR="0096542E" w:rsidRPr="00617FBE" w14:paraId="39B51E69" w14:textId="77777777" w:rsidTr="000A61C9">
        <w:trPr>
          <w:trHeight w:val="567"/>
        </w:trPr>
        <w:tc>
          <w:tcPr>
            <w:tcW w:w="2547" w:type="pct"/>
            <w:shd w:val="clear" w:color="auto" w:fill="D9D9D9" w:themeFill="background1" w:themeFillShade="D9"/>
            <w:vAlign w:val="center"/>
          </w:tcPr>
          <w:p w14:paraId="68F3DA6F" w14:textId="4374D32C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kern w:val="24"/>
                <w:szCs w:val="24"/>
                <w:lang w:eastAsia="en-GB"/>
              </w:rPr>
            </w:pPr>
            <w:r w:rsidRPr="00AF3E32">
              <w:rPr>
                <w:rFonts w:cs="Arial"/>
                <w:color w:val="000000"/>
                <w:kern w:val="24"/>
                <w:szCs w:val="24"/>
                <w:lang w:eastAsia="en-GB"/>
              </w:rPr>
              <w:t>Approving capital projects, building works and bids for capital funding (eg formal sign off for different levels of investment)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6E0FD606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70928E20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1" w:type="pct"/>
            <w:shd w:val="clear" w:color="auto" w:fill="D9D9D9" w:themeFill="background1" w:themeFillShade="D9"/>
            <w:vAlign w:val="center"/>
          </w:tcPr>
          <w:p w14:paraId="41635BD5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1BC6DE1C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2FD4B92D" w14:textId="77777777" w:rsidR="0096542E" w:rsidRPr="00AF3E32" w:rsidRDefault="0096542E" w:rsidP="000A61C9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Cs w:val="24"/>
                <w:lang w:eastAsia="en-GB"/>
              </w:rPr>
            </w:pPr>
          </w:p>
        </w:tc>
      </w:tr>
    </w:tbl>
    <w:p w14:paraId="395A4F31" w14:textId="77777777" w:rsidR="000A61C9" w:rsidRPr="00AF3E32" w:rsidRDefault="000A61C9" w:rsidP="009654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</w:rPr>
      </w:pPr>
    </w:p>
    <w:p w14:paraId="20469782" w14:textId="4CBE3DEB" w:rsidR="001024F9" w:rsidRPr="00AF3E32" w:rsidRDefault="0096542E" w:rsidP="009654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FF0000"/>
          <w:lang w:eastAsia="en-US"/>
        </w:rPr>
      </w:pPr>
      <w:r w:rsidRPr="00AF3E32">
        <w:rPr>
          <w:rFonts w:ascii="Arial" w:hAnsi="Arial" w:cs="Arial"/>
          <w:b/>
          <w:bCs/>
          <w:i/>
          <w:iCs/>
          <w:color w:val="FF0000"/>
          <w:lang w:eastAsia="en-US"/>
        </w:rPr>
        <w:t xml:space="preserve">* These are illustrative designations only – you should insert your own delegations to reflect the way your organisation works. </w:t>
      </w:r>
    </w:p>
    <w:sectPr w:rsidR="001024F9" w:rsidRPr="00AF3E32" w:rsidSect="00AF3E32">
      <w:headerReference w:type="default" r:id="rId14"/>
      <w:headerReference w:type="first" r:id="rId15"/>
      <w:pgSz w:w="16838" w:h="11906" w:orient="landscape" w:code="9"/>
      <w:pgMar w:top="1608" w:right="720" w:bottom="284" w:left="720" w:header="142" w:footer="4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31AC6" w14:textId="77777777" w:rsidR="00B078A6" w:rsidRDefault="00B078A6">
      <w:r>
        <w:separator/>
      </w:r>
    </w:p>
  </w:endnote>
  <w:endnote w:type="continuationSeparator" w:id="0">
    <w:p w14:paraId="0069176A" w14:textId="77777777" w:rsidR="00B078A6" w:rsidRDefault="00B0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713C" w14:textId="77777777" w:rsidR="007B44C2" w:rsidRDefault="007B44C2" w:rsidP="007B44C2">
    <w:pPr>
      <w:pStyle w:val="Footer"/>
      <w:jc w:val="right"/>
    </w:pPr>
    <w:r w:rsidRPr="00AF17E4">
      <w:rPr>
        <w:color w:val="FF0000"/>
      </w:rPr>
      <w:t xml:space="preserve">OFFICIAL – SENSITIVE                                                                                                                                                                                </w:t>
    </w:r>
  </w:p>
  <w:p w14:paraId="1036FE68" w14:textId="77777777" w:rsidR="007B44C2" w:rsidRDefault="007B4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98321" w14:textId="77777777" w:rsidR="00B078A6" w:rsidRDefault="00B078A6">
      <w:r>
        <w:separator/>
      </w:r>
    </w:p>
  </w:footnote>
  <w:footnote w:type="continuationSeparator" w:id="0">
    <w:p w14:paraId="51C5A5D3" w14:textId="77777777" w:rsidR="00B078A6" w:rsidRDefault="00B0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7282A" w14:textId="65303B3E" w:rsidR="00C76445" w:rsidRDefault="00A3359B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1" allowOverlap="1" wp14:anchorId="073FCCFE" wp14:editId="2B9F4894">
          <wp:simplePos x="0" y="0"/>
          <wp:positionH relativeFrom="column">
            <wp:posOffset>4328795</wp:posOffset>
          </wp:positionH>
          <wp:positionV relativeFrom="paragraph">
            <wp:posOffset>195580</wp:posOffset>
          </wp:positionV>
          <wp:extent cx="2272030" cy="401320"/>
          <wp:effectExtent l="0" t="0" r="0" b="0"/>
          <wp:wrapSquare wrapText="bothSides"/>
          <wp:docPr id="2" name="Picture 14" descr="Good estate management for schools (GEMS)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2030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52B08261" wp14:editId="16A52A3C">
          <wp:simplePos x="0" y="0"/>
          <wp:positionH relativeFrom="column">
            <wp:posOffset>-380365</wp:posOffset>
          </wp:positionH>
          <wp:positionV relativeFrom="paragraph">
            <wp:posOffset>10795</wp:posOffset>
          </wp:positionV>
          <wp:extent cx="1228725" cy="804545"/>
          <wp:effectExtent l="0" t="0" r="9525" b="0"/>
          <wp:wrapTight wrapText="bothSides">
            <wp:wrapPolygon edited="0">
              <wp:start x="0" y="0"/>
              <wp:lineTo x="0" y="20969"/>
              <wp:lineTo x="21433" y="20969"/>
              <wp:lineTo x="21433" y="0"/>
              <wp:lineTo x="0" y="0"/>
            </wp:wrapPolygon>
          </wp:wrapTight>
          <wp:docPr id="1" name="Picture 1" descr="Department for Educatio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804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88527238"/>
        <w:docPartObj>
          <w:docPartGallery w:val="Watermarks"/>
          <w:docPartUnique/>
        </w:docPartObj>
      </w:sdtPr>
      <w:sdtEndPr/>
      <w:sdtContent>
        <w:r w:rsidR="005E38F4">
          <w:rPr>
            <w:noProof/>
          </w:rPr>
          <w:pict w14:anchorId="69F24F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241080" o:spid="_x0000_s2053" type="#_x0000_t136" style="position:absolute;margin-left:0;margin-top:0;width:617.25pt;height:280.9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230pt" string="DRAFT"/>
              <w10:wrap anchorx="margin" anchory="margin"/>
            </v:shape>
          </w:pic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46C" w14:textId="3E79B1E5" w:rsidR="00D35678" w:rsidRDefault="3E65A6D6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5DAA7ABA" wp14:editId="6AC3DFFC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2272030" cy="401320"/>
          <wp:effectExtent l="0" t="0" r="0" b="0"/>
          <wp:wrapSquare wrapText="bothSides"/>
          <wp:docPr id="3" name="Picture 15" descr="Good estate management for schools (GEMS)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2030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2A669AE2" wp14:editId="5E67893C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228725" cy="804863"/>
          <wp:effectExtent l="0" t="0" r="0" b="0"/>
          <wp:wrapSquare wrapText="bothSides"/>
          <wp:docPr id="4" name="Picture 16" descr="Department for Education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804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1F4E6" w14:textId="77777777" w:rsidR="00A3359B" w:rsidRDefault="00A3359B">
    <w:pPr>
      <w:pStyle w:val="Header"/>
    </w:pPr>
    <w:r>
      <w:rPr>
        <w:noProof/>
      </w:rPr>
      <w:drawing>
        <wp:anchor distT="0" distB="0" distL="114300" distR="114300" simplePos="0" relativeHeight="251664896" behindDoc="1" locked="0" layoutInCell="1" allowOverlap="1" wp14:anchorId="5B7CEF8C" wp14:editId="62FEBF73">
          <wp:simplePos x="0" y="0"/>
          <wp:positionH relativeFrom="column">
            <wp:posOffset>7591742</wp:posOffset>
          </wp:positionH>
          <wp:positionV relativeFrom="paragraph">
            <wp:posOffset>195898</wp:posOffset>
          </wp:positionV>
          <wp:extent cx="2272030" cy="401320"/>
          <wp:effectExtent l="0" t="0" r="0" b="0"/>
          <wp:wrapSquare wrapText="bothSides"/>
          <wp:docPr id="9" name="Picture 14" descr="Good estate management for schools (GEMS)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2030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 wp14:anchorId="620386B3" wp14:editId="3C537EC2">
          <wp:simplePos x="0" y="0"/>
          <wp:positionH relativeFrom="column">
            <wp:posOffset>-380365</wp:posOffset>
          </wp:positionH>
          <wp:positionV relativeFrom="paragraph">
            <wp:posOffset>10795</wp:posOffset>
          </wp:positionV>
          <wp:extent cx="1228725" cy="804545"/>
          <wp:effectExtent l="0" t="0" r="9525" b="0"/>
          <wp:wrapTight wrapText="bothSides">
            <wp:wrapPolygon edited="0">
              <wp:start x="0" y="0"/>
              <wp:lineTo x="0" y="20969"/>
              <wp:lineTo x="21433" y="20969"/>
              <wp:lineTo x="21433" y="0"/>
              <wp:lineTo x="0" y="0"/>
            </wp:wrapPolygon>
          </wp:wrapTight>
          <wp:docPr id="10" name="Picture 10" descr="Department for Educatio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804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282330333"/>
        <w:docPartObj>
          <w:docPartGallery w:val="Watermarks"/>
          <w:docPartUnique/>
        </w:docPartObj>
      </w:sdtPr>
      <w:sdtEndPr/>
      <w:sdtContent>
        <w:r w:rsidR="005E38F4">
          <w:rPr>
            <w:noProof/>
          </w:rPr>
          <w:pict w14:anchorId="2D34B32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5" type="#_x0000_t136" style="position:absolute;margin-left:0;margin-top:0;width:617.25pt;height:280.9pt;rotation:315;z-index:-25164953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230pt" string="DRAFT"/>
              <w10:wrap anchorx="margin" anchory="margin"/>
            </v:shape>
          </w:pic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AC5BA" w14:textId="77777777" w:rsidR="00A3359B" w:rsidRDefault="00A3359B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2EB0355B" wp14:editId="39A81700">
          <wp:simplePos x="0" y="0"/>
          <wp:positionH relativeFrom="column">
            <wp:posOffset>7648575</wp:posOffset>
          </wp:positionH>
          <wp:positionV relativeFrom="paragraph">
            <wp:posOffset>223520</wp:posOffset>
          </wp:positionV>
          <wp:extent cx="2272030" cy="401320"/>
          <wp:effectExtent l="0" t="0" r="0" b="0"/>
          <wp:wrapSquare wrapText="bothSides"/>
          <wp:docPr id="5" name="Picture 15" descr="Good estate management for schools (GEMS)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2030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1" locked="0" layoutInCell="1" allowOverlap="1" wp14:anchorId="2B3B430A" wp14:editId="1B87AEAD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228725" cy="804863"/>
          <wp:effectExtent l="0" t="0" r="0" b="0"/>
          <wp:wrapSquare wrapText="bothSides"/>
          <wp:docPr id="6" name="Picture 16" descr="Department for Education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804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4B05AD"/>
    <w:multiLevelType w:val="multilevel"/>
    <w:tmpl w:val="BC0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11953"/>
    <w:multiLevelType w:val="hybridMultilevel"/>
    <w:tmpl w:val="91668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11CC0"/>
    <w:multiLevelType w:val="hybridMultilevel"/>
    <w:tmpl w:val="5462C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CF"/>
    <w:rsid w:val="00011F78"/>
    <w:rsid w:val="00012152"/>
    <w:rsid w:val="00022DB6"/>
    <w:rsid w:val="00041864"/>
    <w:rsid w:val="0004776A"/>
    <w:rsid w:val="00053E83"/>
    <w:rsid w:val="00055A64"/>
    <w:rsid w:val="000833EF"/>
    <w:rsid w:val="000A0C1B"/>
    <w:rsid w:val="000A5E52"/>
    <w:rsid w:val="000A61C9"/>
    <w:rsid w:val="000A61CE"/>
    <w:rsid w:val="000B1468"/>
    <w:rsid w:val="000B6070"/>
    <w:rsid w:val="000F4E59"/>
    <w:rsid w:val="001024F9"/>
    <w:rsid w:val="00105E7A"/>
    <w:rsid w:val="001126FE"/>
    <w:rsid w:val="00116F59"/>
    <w:rsid w:val="001362FD"/>
    <w:rsid w:val="001366BB"/>
    <w:rsid w:val="001372F2"/>
    <w:rsid w:val="00153F85"/>
    <w:rsid w:val="00162B82"/>
    <w:rsid w:val="00172C95"/>
    <w:rsid w:val="00180A06"/>
    <w:rsid w:val="00182783"/>
    <w:rsid w:val="00192C2A"/>
    <w:rsid w:val="00195F8E"/>
    <w:rsid w:val="001A54FA"/>
    <w:rsid w:val="001B05C8"/>
    <w:rsid w:val="001B6DF9"/>
    <w:rsid w:val="001D4CCB"/>
    <w:rsid w:val="001D55BC"/>
    <w:rsid w:val="001D7FB3"/>
    <w:rsid w:val="002009C2"/>
    <w:rsid w:val="00211C37"/>
    <w:rsid w:val="00212774"/>
    <w:rsid w:val="00212D24"/>
    <w:rsid w:val="00217581"/>
    <w:rsid w:val="00222CAB"/>
    <w:rsid w:val="00225154"/>
    <w:rsid w:val="002335B0"/>
    <w:rsid w:val="002338A1"/>
    <w:rsid w:val="00241BF5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152C9"/>
    <w:rsid w:val="00347A3B"/>
    <w:rsid w:val="00366EB2"/>
    <w:rsid w:val="00367EEB"/>
    <w:rsid w:val="00370895"/>
    <w:rsid w:val="003812E7"/>
    <w:rsid w:val="00392AE9"/>
    <w:rsid w:val="003B78F9"/>
    <w:rsid w:val="003D74A2"/>
    <w:rsid w:val="003D7A13"/>
    <w:rsid w:val="003E1B86"/>
    <w:rsid w:val="003F5CE1"/>
    <w:rsid w:val="00402829"/>
    <w:rsid w:val="00430DC5"/>
    <w:rsid w:val="00441509"/>
    <w:rsid w:val="00450D89"/>
    <w:rsid w:val="004533A7"/>
    <w:rsid w:val="00460505"/>
    <w:rsid w:val="00463122"/>
    <w:rsid w:val="00480E77"/>
    <w:rsid w:val="00484C39"/>
    <w:rsid w:val="004955D9"/>
    <w:rsid w:val="004E633C"/>
    <w:rsid w:val="00506903"/>
    <w:rsid w:val="00511CA5"/>
    <w:rsid w:val="005150CE"/>
    <w:rsid w:val="00530814"/>
    <w:rsid w:val="0054106E"/>
    <w:rsid w:val="00545301"/>
    <w:rsid w:val="005466F5"/>
    <w:rsid w:val="00565333"/>
    <w:rsid w:val="00591B39"/>
    <w:rsid w:val="005B1CC3"/>
    <w:rsid w:val="005B1F17"/>
    <w:rsid w:val="005B5A07"/>
    <w:rsid w:val="005C1372"/>
    <w:rsid w:val="005E38F4"/>
    <w:rsid w:val="00602F15"/>
    <w:rsid w:val="00607A4B"/>
    <w:rsid w:val="00616F0D"/>
    <w:rsid w:val="00617FBE"/>
    <w:rsid w:val="0062704E"/>
    <w:rsid w:val="00634682"/>
    <w:rsid w:val="0063507E"/>
    <w:rsid w:val="006363E9"/>
    <w:rsid w:val="006858D6"/>
    <w:rsid w:val="00685D82"/>
    <w:rsid w:val="00687908"/>
    <w:rsid w:val="00691A34"/>
    <w:rsid w:val="006A0189"/>
    <w:rsid w:val="006A1127"/>
    <w:rsid w:val="006A2F72"/>
    <w:rsid w:val="006A3278"/>
    <w:rsid w:val="006B284A"/>
    <w:rsid w:val="006B3D12"/>
    <w:rsid w:val="006D3EBD"/>
    <w:rsid w:val="006D5CDB"/>
    <w:rsid w:val="006E6F0B"/>
    <w:rsid w:val="006F05BC"/>
    <w:rsid w:val="007064E5"/>
    <w:rsid w:val="007104E4"/>
    <w:rsid w:val="00723536"/>
    <w:rsid w:val="00724601"/>
    <w:rsid w:val="007312DE"/>
    <w:rsid w:val="007442BB"/>
    <w:rsid w:val="007463C5"/>
    <w:rsid w:val="00746846"/>
    <w:rsid w:val="007510C3"/>
    <w:rsid w:val="00762877"/>
    <w:rsid w:val="0076458E"/>
    <w:rsid w:val="00767063"/>
    <w:rsid w:val="007940AE"/>
    <w:rsid w:val="007A10F9"/>
    <w:rsid w:val="007A4C02"/>
    <w:rsid w:val="007B44C2"/>
    <w:rsid w:val="007B4626"/>
    <w:rsid w:val="007B49CD"/>
    <w:rsid w:val="007B593B"/>
    <w:rsid w:val="007B5A46"/>
    <w:rsid w:val="007C1BC2"/>
    <w:rsid w:val="007C50BB"/>
    <w:rsid w:val="007D0DBA"/>
    <w:rsid w:val="007D4DB0"/>
    <w:rsid w:val="007E68F8"/>
    <w:rsid w:val="007F073B"/>
    <w:rsid w:val="00805C72"/>
    <w:rsid w:val="00831225"/>
    <w:rsid w:val="008428AB"/>
    <w:rsid w:val="0085117E"/>
    <w:rsid w:val="00852863"/>
    <w:rsid w:val="00861F75"/>
    <w:rsid w:val="00862334"/>
    <w:rsid w:val="00863664"/>
    <w:rsid w:val="0088151C"/>
    <w:rsid w:val="008817AB"/>
    <w:rsid w:val="008843A4"/>
    <w:rsid w:val="00895118"/>
    <w:rsid w:val="008B1C49"/>
    <w:rsid w:val="008B518A"/>
    <w:rsid w:val="008B67CC"/>
    <w:rsid w:val="008C3C23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6542E"/>
    <w:rsid w:val="0097315A"/>
    <w:rsid w:val="009A3F0A"/>
    <w:rsid w:val="009A6676"/>
    <w:rsid w:val="009B3EFE"/>
    <w:rsid w:val="009B493A"/>
    <w:rsid w:val="009D3D73"/>
    <w:rsid w:val="009D79CF"/>
    <w:rsid w:val="009E73AD"/>
    <w:rsid w:val="009F0876"/>
    <w:rsid w:val="009F5357"/>
    <w:rsid w:val="009F7653"/>
    <w:rsid w:val="00A00569"/>
    <w:rsid w:val="00A02A20"/>
    <w:rsid w:val="00A0654E"/>
    <w:rsid w:val="00A21E85"/>
    <w:rsid w:val="00A2712A"/>
    <w:rsid w:val="00A3306B"/>
    <w:rsid w:val="00A3359B"/>
    <w:rsid w:val="00A36044"/>
    <w:rsid w:val="00A366A9"/>
    <w:rsid w:val="00A46912"/>
    <w:rsid w:val="00A55B34"/>
    <w:rsid w:val="00A64099"/>
    <w:rsid w:val="00A96425"/>
    <w:rsid w:val="00AB6016"/>
    <w:rsid w:val="00AB6361"/>
    <w:rsid w:val="00AC2A37"/>
    <w:rsid w:val="00AD0E50"/>
    <w:rsid w:val="00AD632D"/>
    <w:rsid w:val="00AF0554"/>
    <w:rsid w:val="00AF1C07"/>
    <w:rsid w:val="00AF3E32"/>
    <w:rsid w:val="00AF737F"/>
    <w:rsid w:val="00B006DF"/>
    <w:rsid w:val="00B05ECD"/>
    <w:rsid w:val="00B06172"/>
    <w:rsid w:val="00B078A6"/>
    <w:rsid w:val="00B16A24"/>
    <w:rsid w:val="00B16A8C"/>
    <w:rsid w:val="00B275C1"/>
    <w:rsid w:val="00B6374B"/>
    <w:rsid w:val="00B6522B"/>
    <w:rsid w:val="00B65709"/>
    <w:rsid w:val="00B67DF2"/>
    <w:rsid w:val="00B83D68"/>
    <w:rsid w:val="00B85BF7"/>
    <w:rsid w:val="00B939CC"/>
    <w:rsid w:val="00BB6600"/>
    <w:rsid w:val="00BB6DE7"/>
    <w:rsid w:val="00BC0B27"/>
    <w:rsid w:val="00BC547B"/>
    <w:rsid w:val="00BD452B"/>
    <w:rsid w:val="00BD4B6C"/>
    <w:rsid w:val="00BF6A87"/>
    <w:rsid w:val="00C03B02"/>
    <w:rsid w:val="00C37933"/>
    <w:rsid w:val="00C408C7"/>
    <w:rsid w:val="00C47EEA"/>
    <w:rsid w:val="00C519D0"/>
    <w:rsid w:val="00C63EAE"/>
    <w:rsid w:val="00C70ACB"/>
    <w:rsid w:val="00C76445"/>
    <w:rsid w:val="00CA4FEC"/>
    <w:rsid w:val="00CA6B3A"/>
    <w:rsid w:val="00CB2731"/>
    <w:rsid w:val="00CC54D8"/>
    <w:rsid w:val="00CD0861"/>
    <w:rsid w:val="00CD4D19"/>
    <w:rsid w:val="00CD7921"/>
    <w:rsid w:val="00CE084B"/>
    <w:rsid w:val="00CF44E1"/>
    <w:rsid w:val="00D02D57"/>
    <w:rsid w:val="00D118D6"/>
    <w:rsid w:val="00D20266"/>
    <w:rsid w:val="00D20C29"/>
    <w:rsid w:val="00D303A9"/>
    <w:rsid w:val="00D33842"/>
    <w:rsid w:val="00D35678"/>
    <w:rsid w:val="00D4320F"/>
    <w:rsid w:val="00D47915"/>
    <w:rsid w:val="00D534EA"/>
    <w:rsid w:val="00D57D6E"/>
    <w:rsid w:val="00D61F5A"/>
    <w:rsid w:val="00D62AB5"/>
    <w:rsid w:val="00D656C2"/>
    <w:rsid w:val="00DB20DC"/>
    <w:rsid w:val="00DB4C12"/>
    <w:rsid w:val="00E0081E"/>
    <w:rsid w:val="00E02094"/>
    <w:rsid w:val="00E10F4C"/>
    <w:rsid w:val="00E2419F"/>
    <w:rsid w:val="00E366D6"/>
    <w:rsid w:val="00E61B6B"/>
    <w:rsid w:val="00E63D8B"/>
    <w:rsid w:val="00E81F4B"/>
    <w:rsid w:val="00EA11BE"/>
    <w:rsid w:val="00EC644A"/>
    <w:rsid w:val="00EC6A3F"/>
    <w:rsid w:val="00F16120"/>
    <w:rsid w:val="00F30554"/>
    <w:rsid w:val="00F348D2"/>
    <w:rsid w:val="00F4485F"/>
    <w:rsid w:val="00F44B6A"/>
    <w:rsid w:val="00F521C7"/>
    <w:rsid w:val="00F551C7"/>
    <w:rsid w:val="00F60BF8"/>
    <w:rsid w:val="00F64863"/>
    <w:rsid w:val="00F65F8E"/>
    <w:rsid w:val="00F960C1"/>
    <w:rsid w:val="00FA0331"/>
    <w:rsid w:val="00FC049C"/>
    <w:rsid w:val="00FC1C0E"/>
    <w:rsid w:val="00FC5ED8"/>
    <w:rsid w:val="00FC6E37"/>
    <w:rsid w:val="00FE2739"/>
    <w:rsid w:val="00FF745A"/>
    <w:rsid w:val="3E65A6D6"/>
    <w:rsid w:val="7061E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75E8A152"/>
  <w15:chartTrackingRefBased/>
  <w15:docId w15:val="{9AB9B3BA-C793-401E-936C-F6E40AB9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  <w:style w:type="paragraph" w:customStyle="1" w:styleId="Default">
    <w:name w:val="Default"/>
    <w:rsid w:val="009D79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6445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GB"/>
    </w:rPr>
  </w:style>
  <w:style w:type="character" w:styleId="Hyperlink">
    <w:name w:val="Hyperlink"/>
    <w:basedOn w:val="DefaultParagraphFont"/>
    <w:unhideWhenUsed/>
    <w:rsid w:val="00F65F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B20DC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053E8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B63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54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C54D8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semiHidden/>
    <w:unhideWhenUsed/>
    <w:rsid w:val="009F08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087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087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0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087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yperlink" Target="https://assets.publishing.service.gov.uk/government/uploads/system/uploads/attachment_data/file/788234/governance_handbook_2019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5D95645693C419D99F437D9D70467" ma:contentTypeVersion="6" ma:contentTypeDescription="Create a new document." ma:contentTypeScope="" ma:versionID="02b8d23697360509f930a26d289bcd68">
  <xsd:schema xmlns:xsd="http://www.w3.org/2001/XMLSchema" xmlns:xs="http://www.w3.org/2001/XMLSchema" xmlns:p="http://schemas.microsoft.com/office/2006/metadata/properties" xmlns:ns2="c9d8870b-c42c-4da0-9cd4-0ae7103ff914" xmlns:ns3="41e1ea30-befa-4bf1-8c17-5d102e8e60b8" targetNamespace="http://schemas.microsoft.com/office/2006/metadata/properties" ma:root="true" ma:fieldsID="9e16c4231cc99e9515f98de3e2808730" ns2:_="" ns3:_="">
    <xsd:import namespace="c9d8870b-c42c-4da0-9cd4-0ae7103ff914"/>
    <xsd:import namespace="41e1ea30-befa-4bf1-8c17-5d102e8e6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8870b-c42c-4da0-9cd4-0ae7103ff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1ea30-befa-4bf1-8c17-5d102e8e6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AA60E4-696C-4A06-8D08-9BF603F4D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CD6D0F-7FBC-493C-9400-4370BE255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8870b-c42c-4da0-9cd4-0ae7103ff914"/>
    <ds:schemaRef ds:uri="41e1ea30-befa-4bf1-8c17-5d102e8e6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C4966-4DCE-437D-BEE1-9C3B0FE043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4277</Characters>
  <Application>Microsoft Office Word</Application>
  <DocSecurity>4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LOWRIE, Jane</dc:creator>
  <cp:keywords/>
  <dc:description/>
  <cp:lastModifiedBy>LAWSON, Catherine</cp:lastModifiedBy>
  <cp:revision>2</cp:revision>
  <cp:lastPrinted>2020-03-10T17:57:00Z</cp:lastPrinted>
  <dcterms:created xsi:type="dcterms:W3CDTF">2020-08-09T22:59:00Z</dcterms:created>
  <dcterms:modified xsi:type="dcterms:W3CDTF">2020-08-09T22:59:00Z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0x010100BB15D95645693C419D99F437D9D70467</vt:lpwstr>
  </property>
</Properties>
</file>