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027730" w14:textId="50B462C1" w:rsidR="0035503D" w:rsidRPr="000B644D" w:rsidRDefault="0035503D" w:rsidP="00853192">
      <w:pPr>
        <w:pStyle w:val="DeptBullets"/>
        <w:numPr>
          <w:ilvl w:val="0"/>
          <w:numId w:val="0"/>
        </w:numPr>
        <w:spacing w:before="240"/>
        <w:jc w:val="center"/>
        <w:rPr>
          <w:rFonts w:cs="Arial"/>
          <w:b/>
          <w:bCs/>
          <w:sz w:val="28"/>
          <w:szCs w:val="28"/>
        </w:rPr>
      </w:pPr>
      <w:bookmarkStart w:id="0" w:name="_Hlk31195423"/>
      <w:r w:rsidRPr="000B644D">
        <w:rPr>
          <w:rFonts w:cs="Arial"/>
          <w:b/>
          <w:bCs/>
          <w:sz w:val="28"/>
          <w:szCs w:val="28"/>
        </w:rPr>
        <w:t xml:space="preserve">How to begin estate </w:t>
      </w:r>
      <w:r w:rsidR="008265B8" w:rsidRPr="000B644D">
        <w:rPr>
          <w:rFonts w:cs="Arial"/>
          <w:b/>
          <w:bCs/>
          <w:sz w:val="28"/>
          <w:szCs w:val="28"/>
        </w:rPr>
        <w:t xml:space="preserve">performance management and </w:t>
      </w:r>
      <w:r w:rsidRPr="000B644D">
        <w:rPr>
          <w:rFonts w:cs="Arial"/>
          <w:b/>
          <w:bCs/>
          <w:sz w:val="28"/>
          <w:szCs w:val="28"/>
        </w:rPr>
        <w:t>benchmarking</w:t>
      </w:r>
    </w:p>
    <w:bookmarkEnd w:id="0"/>
    <w:p w14:paraId="2006B1AC" w14:textId="2763B395" w:rsidR="0030303B" w:rsidRPr="001848DD" w:rsidRDefault="009718BC" w:rsidP="0035503D">
      <w:pPr>
        <w:pStyle w:val="DeptBullets"/>
        <w:numPr>
          <w:ilvl w:val="0"/>
          <w:numId w:val="0"/>
        </w:numPr>
        <w:rPr>
          <w:rFonts w:cs="Arial"/>
          <w:i/>
          <w:iCs/>
          <w:color w:val="FF0000"/>
          <w:szCs w:val="24"/>
        </w:rPr>
      </w:pPr>
      <w:r w:rsidRPr="001848DD">
        <w:rPr>
          <w:rFonts w:cs="Arial"/>
          <w:szCs w:val="24"/>
        </w:rPr>
        <w:t>To understand the principles of estate performance measurement and benchmarking, y</w:t>
      </w:r>
      <w:r w:rsidR="005B40DC" w:rsidRPr="001848DD">
        <w:rPr>
          <w:rFonts w:cs="Arial"/>
          <w:szCs w:val="24"/>
        </w:rPr>
        <w:t xml:space="preserve">ou should </w:t>
      </w:r>
      <w:r w:rsidR="001848DD">
        <w:rPr>
          <w:rFonts w:cs="Arial"/>
          <w:szCs w:val="24"/>
        </w:rPr>
        <w:t>start by reading the guidance.</w:t>
      </w:r>
    </w:p>
    <w:p w14:paraId="46A3351E" w14:textId="4CF2F751" w:rsidR="0035503D" w:rsidRPr="001848DD" w:rsidRDefault="009718BC" w:rsidP="0035503D">
      <w:pPr>
        <w:pStyle w:val="DeptBullets"/>
        <w:numPr>
          <w:ilvl w:val="0"/>
          <w:numId w:val="0"/>
        </w:numPr>
        <w:rPr>
          <w:rFonts w:cs="Arial"/>
          <w:szCs w:val="24"/>
        </w:rPr>
      </w:pPr>
      <w:r w:rsidRPr="001848DD">
        <w:rPr>
          <w:rFonts w:cs="Arial"/>
          <w:szCs w:val="24"/>
        </w:rPr>
        <w:t xml:space="preserve">This document is intended as a </w:t>
      </w:r>
      <w:r w:rsidR="00897EFF" w:rsidRPr="001848DD">
        <w:rPr>
          <w:rFonts w:cs="Arial"/>
          <w:szCs w:val="24"/>
        </w:rPr>
        <w:t xml:space="preserve">supplementary </w:t>
      </w:r>
      <w:r w:rsidRPr="001848DD">
        <w:rPr>
          <w:rFonts w:cs="Arial"/>
          <w:szCs w:val="24"/>
        </w:rPr>
        <w:t>tool to provide you with a</w:t>
      </w:r>
      <w:r w:rsidR="002D6CFB" w:rsidRPr="001848DD">
        <w:rPr>
          <w:rFonts w:cs="Arial"/>
          <w:szCs w:val="24"/>
        </w:rPr>
        <w:t>n outline</w:t>
      </w:r>
      <w:r w:rsidRPr="001848DD">
        <w:rPr>
          <w:rFonts w:cs="Arial"/>
          <w:szCs w:val="24"/>
        </w:rPr>
        <w:t xml:space="preserve"> process and potential performance measures to help you get started</w:t>
      </w:r>
      <w:r w:rsidR="00897EFF" w:rsidRPr="001848DD">
        <w:rPr>
          <w:rFonts w:cs="Arial"/>
          <w:szCs w:val="24"/>
        </w:rPr>
        <w:t>,</w:t>
      </w:r>
      <w:r w:rsidRPr="001848DD">
        <w:rPr>
          <w:rFonts w:cs="Arial"/>
          <w:szCs w:val="24"/>
        </w:rPr>
        <w:t xml:space="preserve"> and to </w:t>
      </w:r>
      <w:r w:rsidR="00897EFF" w:rsidRPr="001848DD">
        <w:rPr>
          <w:rFonts w:cs="Arial"/>
          <w:szCs w:val="24"/>
        </w:rPr>
        <w:t xml:space="preserve">help </w:t>
      </w:r>
      <w:r w:rsidRPr="001848DD">
        <w:rPr>
          <w:rFonts w:cs="Arial"/>
          <w:szCs w:val="24"/>
        </w:rPr>
        <w:t>develop a</w:t>
      </w:r>
      <w:r w:rsidR="002D6CFB" w:rsidRPr="001848DD">
        <w:rPr>
          <w:rFonts w:cs="Arial"/>
          <w:szCs w:val="24"/>
        </w:rPr>
        <w:t xml:space="preserve">n effective </w:t>
      </w:r>
      <w:r w:rsidRPr="001848DD">
        <w:rPr>
          <w:rFonts w:cs="Arial"/>
          <w:szCs w:val="24"/>
        </w:rPr>
        <w:t>performance management</w:t>
      </w:r>
      <w:r w:rsidR="002D6CFB" w:rsidRPr="001848DD">
        <w:rPr>
          <w:rFonts w:cs="Arial"/>
          <w:szCs w:val="24"/>
        </w:rPr>
        <w:t xml:space="preserve"> system within your organisation.  </w:t>
      </w:r>
      <w:r w:rsidRPr="001848DD">
        <w:rPr>
          <w:rFonts w:cs="Arial"/>
          <w:szCs w:val="24"/>
        </w:rPr>
        <w:t xml:space="preserve"> </w:t>
      </w:r>
    </w:p>
    <w:p w14:paraId="17BDD2FF" w14:textId="181CAD99" w:rsidR="004B4986" w:rsidRPr="001848DD" w:rsidRDefault="006A43B1" w:rsidP="004B4986">
      <w:pPr>
        <w:pStyle w:val="DeptBullets"/>
        <w:numPr>
          <w:ilvl w:val="0"/>
          <w:numId w:val="0"/>
        </w:numPr>
        <w:rPr>
          <w:rFonts w:cs="Arial"/>
          <w:szCs w:val="24"/>
        </w:rPr>
      </w:pPr>
      <w:r w:rsidRPr="001848DD">
        <w:rPr>
          <w:rFonts w:cs="Arial"/>
          <w:szCs w:val="24"/>
        </w:rPr>
        <w:t>It is important to</w:t>
      </w:r>
      <w:r w:rsidR="004B4986" w:rsidRPr="001848DD">
        <w:rPr>
          <w:rFonts w:cs="Arial"/>
          <w:szCs w:val="24"/>
        </w:rPr>
        <w:t xml:space="preserve"> remember that: </w:t>
      </w:r>
    </w:p>
    <w:p w14:paraId="1C7EAC73" w14:textId="71CA511F" w:rsidR="004B4986" w:rsidRPr="001848DD" w:rsidRDefault="00B80C3C" w:rsidP="004B4986">
      <w:pPr>
        <w:pStyle w:val="DeptBullets"/>
        <w:numPr>
          <w:ilvl w:val="0"/>
          <w:numId w:val="8"/>
        </w:numPr>
        <w:spacing w:after="120"/>
        <w:ind w:left="714" w:hanging="357"/>
        <w:rPr>
          <w:rFonts w:cs="Arial"/>
          <w:szCs w:val="24"/>
        </w:rPr>
      </w:pPr>
      <w:r>
        <w:rPr>
          <w:rFonts w:cs="Arial"/>
          <w:szCs w:val="24"/>
        </w:rPr>
        <w:t>b</w:t>
      </w:r>
      <w:r w:rsidR="004B4986" w:rsidRPr="001848DD">
        <w:rPr>
          <w:rFonts w:cs="Arial"/>
          <w:szCs w:val="24"/>
        </w:rPr>
        <w:t xml:space="preserve">oards need to </w:t>
      </w:r>
      <w:r w:rsidR="008361AE">
        <w:rPr>
          <w:rFonts w:cs="Arial"/>
          <w:szCs w:val="24"/>
        </w:rPr>
        <w:t xml:space="preserve">hold executive leaders to account and </w:t>
      </w:r>
      <w:r w:rsidR="004B4986" w:rsidRPr="001848DD">
        <w:rPr>
          <w:rFonts w:cs="Arial"/>
          <w:szCs w:val="24"/>
        </w:rPr>
        <w:t>be confident that school premises are safely and effectively managed</w:t>
      </w:r>
      <w:r w:rsidR="008361AE">
        <w:rPr>
          <w:rFonts w:cs="Arial"/>
          <w:szCs w:val="24"/>
        </w:rPr>
        <w:t xml:space="preserve"> – see the top 10 estate checks for boards for more information</w:t>
      </w:r>
    </w:p>
    <w:p w14:paraId="46FD1890" w14:textId="45CCA294" w:rsidR="004B4986" w:rsidRPr="001848DD" w:rsidRDefault="00D84014" w:rsidP="004B4986">
      <w:pPr>
        <w:pStyle w:val="DeptBullets"/>
        <w:numPr>
          <w:ilvl w:val="0"/>
          <w:numId w:val="8"/>
        </w:numPr>
        <w:spacing w:after="120"/>
        <w:ind w:left="714" w:hanging="357"/>
        <w:rPr>
          <w:rFonts w:cs="Arial"/>
          <w:szCs w:val="24"/>
        </w:rPr>
      </w:pPr>
      <w:r>
        <w:rPr>
          <w:rFonts w:cs="Arial"/>
          <w:szCs w:val="24"/>
        </w:rPr>
        <w:t xml:space="preserve">senior leadership should be </w:t>
      </w:r>
      <w:r w:rsidR="006A7C29">
        <w:rPr>
          <w:rFonts w:cs="Arial"/>
          <w:szCs w:val="24"/>
        </w:rPr>
        <w:t>r</w:t>
      </w:r>
      <w:r w:rsidR="0035503D" w:rsidRPr="001848DD">
        <w:rPr>
          <w:rFonts w:cs="Arial"/>
          <w:szCs w:val="24"/>
        </w:rPr>
        <w:t>esponsib</w:t>
      </w:r>
      <w:r>
        <w:rPr>
          <w:rFonts w:cs="Arial"/>
          <w:szCs w:val="24"/>
        </w:rPr>
        <w:t>le</w:t>
      </w:r>
      <w:r w:rsidR="0035503D" w:rsidRPr="001848DD">
        <w:rPr>
          <w:rFonts w:cs="Arial"/>
          <w:szCs w:val="24"/>
        </w:rPr>
        <w:t xml:space="preserve"> for </w:t>
      </w:r>
      <w:r w:rsidR="008265B8" w:rsidRPr="001848DD">
        <w:rPr>
          <w:rFonts w:cs="Arial"/>
          <w:szCs w:val="24"/>
        </w:rPr>
        <w:t xml:space="preserve">performance management and </w:t>
      </w:r>
      <w:r w:rsidR="0035503D" w:rsidRPr="001848DD">
        <w:rPr>
          <w:rFonts w:cs="Arial"/>
          <w:szCs w:val="24"/>
        </w:rPr>
        <w:t>benchmarking</w:t>
      </w:r>
      <w:r>
        <w:rPr>
          <w:rFonts w:cs="Arial"/>
          <w:szCs w:val="24"/>
        </w:rPr>
        <w:t>, they should report</w:t>
      </w:r>
      <w:r w:rsidR="008265B8" w:rsidRPr="001848DD">
        <w:rPr>
          <w:rFonts w:cs="Arial"/>
          <w:szCs w:val="24"/>
        </w:rPr>
        <w:t xml:space="preserve"> to the executive leadership team</w:t>
      </w:r>
      <w:r w:rsidR="004B4986" w:rsidRPr="001848DD">
        <w:rPr>
          <w:rFonts w:cs="Arial"/>
          <w:szCs w:val="24"/>
        </w:rPr>
        <w:t xml:space="preserve"> and board</w:t>
      </w:r>
    </w:p>
    <w:p w14:paraId="2EC6FD67" w14:textId="645EE49A" w:rsidR="00AD425F" w:rsidRPr="001848DD" w:rsidRDefault="00D8310D" w:rsidP="00973D40">
      <w:pPr>
        <w:pStyle w:val="DeptBullets"/>
        <w:numPr>
          <w:ilvl w:val="0"/>
          <w:numId w:val="8"/>
        </w:numPr>
        <w:spacing w:after="120"/>
        <w:ind w:left="714" w:hanging="357"/>
        <w:rPr>
          <w:rFonts w:cs="Arial"/>
          <w:szCs w:val="24"/>
        </w:rPr>
      </w:pPr>
      <w:r>
        <w:rPr>
          <w:rFonts w:cs="Arial"/>
          <w:szCs w:val="24"/>
          <w:lang w:val="en"/>
        </w:rPr>
        <w:t>y</w:t>
      </w:r>
      <w:r w:rsidR="00897EFF" w:rsidRPr="001848DD">
        <w:rPr>
          <w:rFonts w:cs="Arial"/>
          <w:szCs w:val="24"/>
          <w:lang w:val="en"/>
        </w:rPr>
        <w:t>ou should identify p</w:t>
      </w:r>
      <w:r w:rsidR="00AD425F" w:rsidRPr="001848DD">
        <w:rPr>
          <w:rFonts w:cs="Arial"/>
          <w:szCs w:val="24"/>
          <w:lang w:val="en"/>
        </w:rPr>
        <w:t>erformance measures that meet the needs of your organisation</w:t>
      </w:r>
      <w:r w:rsidR="00897EFF" w:rsidRPr="001848DD">
        <w:rPr>
          <w:rFonts w:cs="Arial"/>
          <w:szCs w:val="24"/>
          <w:lang w:val="en"/>
        </w:rPr>
        <w:t xml:space="preserve"> </w:t>
      </w:r>
      <w:r w:rsidR="00094489">
        <w:rPr>
          <w:rFonts w:cs="Arial"/>
          <w:szCs w:val="24"/>
          <w:lang w:val="en"/>
        </w:rPr>
        <w:t xml:space="preserve">– </w:t>
      </w:r>
      <w:r w:rsidR="00897EFF" w:rsidRPr="001848DD">
        <w:rPr>
          <w:rFonts w:cs="Arial"/>
          <w:szCs w:val="24"/>
          <w:lang w:val="en"/>
        </w:rPr>
        <w:t>y</w:t>
      </w:r>
      <w:r w:rsidR="00E14A1C" w:rsidRPr="001848DD">
        <w:rPr>
          <w:rFonts w:cs="Arial"/>
          <w:szCs w:val="24"/>
          <w:lang w:val="en"/>
        </w:rPr>
        <w:t xml:space="preserve">ou could start with </w:t>
      </w:r>
      <w:r w:rsidR="003579F0" w:rsidRPr="001848DD">
        <w:rPr>
          <w:rFonts w:cs="Arial"/>
          <w:szCs w:val="24"/>
          <w:lang w:val="en"/>
        </w:rPr>
        <w:t xml:space="preserve">just </w:t>
      </w:r>
      <w:r w:rsidR="00094489">
        <w:rPr>
          <w:rFonts w:cs="Arial"/>
          <w:szCs w:val="24"/>
          <w:lang w:val="en"/>
        </w:rPr>
        <w:t>5</w:t>
      </w:r>
      <w:r w:rsidR="00E14A1C" w:rsidRPr="001848DD">
        <w:rPr>
          <w:rFonts w:cs="Arial"/>
          <w:szCs w:val="24"/>
          <w:lang w:val="en"/>
        </w:rPr>
        <w:t xml:space="preserve"> </w:t>
      </w:r>
      <w:r w:rsidR="00897EFF" w:rsidRPr="001848DD">
        <w:rPr>
          <w:rFonts w:cs="Arial"/>
          <w:szCs w:val="24"/>
          <w:lang w:val="en"/>
        </w:rPr>
        <w:t xml:space="preserve">or </w:t>
      </w:r>
      <w:r w:rsidR="00094489">
        <w:rPr>
          <w:rFonts w:cs="Arial"/>
          <w:szCs w:val="24"/>
          <w:lang w:val="en"/>
        </w:rPr>
        <w:t>6</w:t>
      </w:r>
      <w:r w:rsidR="00897EFF" w:rsidRPr="001848DD">
        <w:rPr>
          <w:rFonts w:cs="Arial"/>
          <w:szCs w:val="24"/>
          <w:lang w:val="en"/>
        </w:rPr>
        <w:t xml:space="preserve"> </w:t>
      </w:r>
      <w:r w:rsidR="00094489">
        <w:rPr>
          <w:rFonts w:cs="Arial"/>
          <w:szCs w:val="24"/>
          <w:lang w:val="en"/>
        </w:rPr>
        <w:t xml:space="preserve">simple, </w:t>
      </w:r>
      <w:r w:rsidR="00E14A1C" w:rsidRPr="001848DD">
        <w:rPr>
          <w:rFonts w:cs="Arial"/>
          <w:szCs w:val="24"/>
          <w:lang w:val="en"/>
        </w:rPr>
        <w:t>clear measures</w:t>
      </w:r>
      <w:r w:rsidR="004C4DA8">
        <w:rPr>
          <w:rFonts w:cs="Arial"/>
          <w:szCs w:val="24"/>
          <w:lang w:val="en"/>
        </w:rPr>
        <w:t>.</w:t>
      </w:r>
    </w:p>
    <w:p w14:paraId="09874A0E" w14:textId="29E02B9C" w:rsidR="00E124ED" w:rsidRPr="001848DD" w:rsidRDefault="00B101B3" w:rsidP="006E687D">
      <w:pPr>
        <w:pStyle w:val="DeptBullets"/>
        <w:numPr>
          <w:ilvl w:val="0"/>
          <w:numId w:val="0"/>
        </w:numPr>
        <w:ind w:left="1134" w:hanging="1134"/>
        <w:rPr>
          <w:rFonts w:cs="Arial"/>
          <w:b/>
          <w:bCs/>
          <w:szCs w:val="24"/>
        </w:rPr>
      </w:pPr>
      <w:r w:rsidRPr="001848DD">
        <w:rPr>
          <w:rFonts w:cs="Arial"/>
          <w:b/>
          <w:bCs/>
          <w:noProof/>
          <w:szCs w:val="24"/>
        </w:rPr>
        <mc:AlternateContent>
          <mc:Choice Requires="wpg">
            <w:drawing>
              <wp:anchor distT="0" distB="0" distL="114300" distR="114300" simplePos="0" relativeHeight="251658240" behindDoc="0" locked="0" layoutInCell="1" allowOverlap="1" wp14:anchorId="179F1A06" wp14:editId="6B73C21C">
                <wp:simplePos x="0" y="0"/>
                <wp:positionH relativeFrom="margin">
                  <wp:posOffset>23495</wp:posOffset>
                </wp:positionH>
                <wp:positionV relativeFrom="paragraph">
                  <wp:posOffset>151130</wp:posOffset>
                </wp:positionV>
                <wp:extent cx="6071870" cy="644525"/>
                <wp:effectExtent l="0" t="0" r="24130" b="22225"/>
                <wp:wrapNone/>
                <wp:docPr id="5" name="Group 5"/>
                <wp:cNvGraphicFramePr/>
                <a:graphic xmlns:a="http://schemas.openxmlformats.org/drawingml/2006/main">
                  <a:graphicData uri="http://schemas.microsoft.com/office/word/2010/wordprocessingGroup">
                    <wpg:wgp>
                      <wpg:cNvGrpSpPr/>
                      <wpg:grpSpPr>
                        <a:xfrm>
                          <a:off x="0" y="0"/>
                          <a:ext cx="6071870" cy="644525"/>
                          <a:chOff x="-66675" y="0"/>
                          <a:chExt cx="6071944" cy="786809"/>
                        </a:xfrm>
                      </wpg:grpSpPr>
                      <wps:wsp>
                        <wps:cNvPr id="1" name="Flowchart: Off-page Connector 1" descr="Step 1&#10;"/>
                        <wps:cNvSpPr/>
                        <wps:spPr>
                          <a:xfrm>
                            <a:off x="-66675" y="0"/>
                            <a:ext cx="662743" cy="786809"/>
                          </a:xfrm>
                          <a:prstGeom prst="flowChartOffpageConnector">
                            <a:avLst/>
                          </a:prstGeom>
                          <a:solidFill>
                            <a:schemeClr val="accent1">
                              <a:lumMod val="20000"/>
                              <a:lumOff val="80000"/>
                            </a:schemeClr>
                          </a:solidFill>
                        </wps:spPr>
                        <wps:style>
                          <a:lnRef idx="2">
                            <a:schemeClr val="accent1"/>
                          </a:lnRef>
                          <a:fillRef idx="1">
                            <a:schemeClr val="lt1"/>
                          </a:fillRef>
                          <a:effectRef idx="0">
                            <a:schemeClr val="accent1"/>
                          </a:effectRef>
                          <a:fontRef idx="minor">
                            <a:schemeClr val="dk1"/>
                          </a:fontRef>
                        </wps:style>
                        <wps:txbx>
                          <w:txbxContent>
                            <w:p w14:paraId="563F2490" w14:textId="1551AF7F" w:rsidR="002B4DCE" w:rsidRPr="00B101B3" w:rsidRDefault="00B101B3" w:rsidP="002B4DCE">
                              <w:pPr>
                                <w:jc w:val="center"/>
                                <w:rPr>
                                  <w:szCs w:val="24"/>
                                  <w14:textOutline w14:w="9525" w14:cap="rnd" w14:cmpd="sng" w14:algn="ctr">
                                    <w14:solidFill>
                                      <w14:srgbClr w14:val="000000"/>
                                    </w14:solidFill>
                                    <w14:prstDash w14:val="solid"/>
                                    <w14:bevel/>
                                  </w14:textOutline>
                                </w:rPr>
                              </w:pPr>
                              <w:r>
                                <w:rPr>
                                  <w:szCs w:val="24"/>
                                  <w14:textOutline w14:w="9525" w14:cap="rnd" w14:cmpd="sng" w14:algn="ctr">
                                    <w14:solidFill>
                                      <w14:srgbClr w14:val="000000"/>
                                    </w14:solidFill>
                                    <w14:prstDash w14:val="solid"/>
                                    <w14:bevel/>
                                  </w14:textOutline>
                                </w:rPr>
                                <w:t>Step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Rounded Corners 4"/>
                        <wps:cNvSpPr/>
                        <wps:spPr>
                          <a:xfrm>
                            <a:off x="680484" y="4253"/>
                            <a:ext cx="5324785" cy="667725"/>
                          </a:xfrm>
                          <a:prstGeom prst="roundRect">
                            <a:avLst/>
                          </a:prstGeom>
                          <a:ln/>
                        </wps:spPr>
                        <wps:style>
                          <a:lnRef idx="2">
                            <a:schemeClr val="accent1"/>
                          </a:lnRef>
                          <a:fillRef idx="1">
                            <a:schemeClr val="lt1"/>
                          </a:fillRef>
                          <a:effectRef idx="0">
                            <a:schemeClr val="accent1"/>
                          </a:effectRef>
                          <a:fontRef idx="minor">
                            <a:schemeClr val="dk1"/>
                          </a:fontRef>
                        </wps:style>
                        <wps:txbx>
                          <w:txbxContent>
                            <w:p w14:paraId="6ABA239B" w14:textId="695DB75F" w:rsidR="002B4DCE" w:rsidRPr="00B101B3" w:rsidRDefault="002B4DCE" w:rsidP="002B4DCE">
                              <w:pPr>
                                <w:jc w:val="center"/>
                                <w:rPr>
                                  <w:sz w:val="32"/>
                                  <w:szCs w:val="24"/>
                                </w:rPr>
                              </w:pPr>
                              <w:r w:rsidRPr="00B101B3">
                                <w:rPr>
                                  <w:b/>
                                  <w:bCs/>
                                  <w:szCs w:val="24"/>
                                </w:rPr>
                                <w:t>Consider what performance measures are important to your organisation and can help you manage your estate more effectively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
            <w:pict>
              <v:group w14:anchorId="179F1A06" id="Group 5" o:spid="_x0000_s1026" style="position:absolute;left:0;text-align:left;margin-left:1.85pt;margin-top:11.9pt;width:478.1pt;height:50.75pt;z-index:251658240;mso-position-horizontal-relative:margin;mso-width-relative:margin;mso-height-relative:margin" coordorigin="-666" coordsize="60719,7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">
                <v:shapetype id="_x0000_t177" coordsize="21600,21600" o:spt="177" path="m,l21600,r,17255l10800,21600,,17255xe">
                  <v:stroke joinstyle="miter"/>
                  <v:path gradientshapeok="t" o:connecttype="rect" textboxrect="0,0,21600,17255"/>
                </v:shapetype>
                <v:shape id="Flowchart: Off-page Connector 1" o:spid="_x0000_s1027" type="#_x0000_t177" alt="Step 1&#10;" style="position:absolute;left:-666;width:6626;height:7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" fillcolor="#dbe5f1 [660]" strokecolor="#4f81bd [3204]" strokeweight="2pt">
                  <v:textbox>
                    <w:txbxContent>
                      <w:p w14:paraId="563F2490" w14:textId="1551AF7F" w:rsidR="002B4DCE" w:rsidRPr="00B101B3" w:rsidRDefault="00B101B3" w:rsidP="002B4DCE">
                        <w:pPr>
                          <w:jc w:val="center"/>
                          <w:rPr>
                            <w:szCs w:val="24"/>
                            <w14:textOutline w14:w="9525" w14:cap="rnd" w14:cmpd="sng" w14:algn="ctr">
                              <w14:solidFill>
                                <w14:srgbClr w14:val="000000"/>
                              </w14:solidFill>
                              <w14:prstDash w14:val="solid"/>
                              <w14:bevel/>
                            </w14:textOutline>
                          </w:rPr>
                        </w:pPr>
                        <w:r>
                          <w:rPr>
                            <w:szCs w:val="24"/>
                            <w14:textOutline w14:w="9525" w14:cap="rnd" w14:cmpd="sng" w14:algn="ctr">
                              <w14:solidFill>
                                <w14:srgbClr w14:val="000000"/>
                              </w14:solidFill>
                              <w14:prstDash w14:val="solid"/>
                              <w14:bevel/>
                            </w14:textOutline>
                          </w:rPr>
                          <w:t>Step 1</w:t>
                        </w:r>
                      </w:p>
                    </w:txbxContent>
                  </v:textbox>
                </v:shape>
                <v:roundrect id="Rectangle: Rounded Corners 4" o:spid="_x0000_s1028" style="position:absolute;left:6804;top:42;width:53248;height:66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" fillcolor="white [3201]" strokecolor="#4f81bd [3204]" strokeweight="2pt">
                  <v:textbox>
                    <w:txbxContent>
                      <w:p w14:paraId="6ABA239B" w14:textId="695DB75F" w:rsidR="002B4DCE" w:rsidRPr="00B101B3" w:rsidRDefault="002B4DCE" w:rsidP="002B4DCE">
                        <w:pPr>
                          <w:jc w:val="center"/>
                          <w:rPr>
                            <w:sz w:val="32"/>
                            <w:szCs w:val="24"/>
                          </w:rPr>
                        </w:pPr>
                        <w:r w:rsidRPr="00B101B3">
                          <w:rPr>
                            <w:b/>
                            <w:bCs/>
                            <w:szCs w:val="24"/>
                          </w:rPr>
                          <w:t>Consider what performance measures are important to your organisation and can help you manage your estate more effectively</w:t>
                        </w:r>
                      </w:p>
                    </w:txbxContent>
                  </v:textbox>
                </v:roundrect>
                <w10:wrap anchorx="margin"/>
              </v:group>
            </w:pict>
          </mc:Fallback>
        </mc:AlternateContent>
      </w:r>
    </w:p>
    <w:p w14:paraId="10BAB719" w14:textId="1096A2BD" w:rsidR="002B4DCE" w:rsidRPr="001848DD" w:rsidRDefault="002B4DCE" w:rsidP="006E687D">
      <w:pPr>
        <w:pStyle w:val="DeptBullets"/>
        <w:numPr>
          <w:ilvl w:val="0"/>
          <w:numId w:val="0"/>
        </w:numPr>
        <w:ind w:left="1134" w:hanging="1134"/>
        <w:rPr>
          <w:rFonts w:cs="Arial"/>
          <w:b/>
          <w:bCs/>
          <w:szCs w:val="24"/>
        </w:rPr>
      </w:pPr>
    </w:p>
    <w:p w14:paraId="66AAEDE3" w14:textId="10D5E518" w:rsidR="002B4DCE" w:rsidRPr="001848DD" w:rsidRDefault="002B4DCE" w:rsidP="006E687D">
      <w:pPr>
        <w:pStyle w:val="DeptBullets"/>
        <w:numPr>
          <w:ilvl w:val="0"/>
          <w:numId w:val="0"/>
        </w:numPr>
        <w:ind w:left="1134" w:hanging="1134"/>
        <w:rPr>
          <w:rFonts w:cs="Arial"/>
          <w:b/>
          <w:bCs/>
          <w:szCs w:val="24"/>
        </w:rPr>
      </w:pPr>
    </w:p>
    <w:p w14:paraId="243A8A66" w14:textId="5434E6EB" w:rsidR="00E531B0" w:rsidRPr="001848DD" w:rsidRDefault="00E531B0" w:rsidP="00096C54">
      <w:pPr>
        <w:pStyle w:val="DeptBullets"/>
        <w:numPr>
          <w:ilvl w:val="0"/>
          <w:numId w:val="0"/>
        </w:numPr>
        <w:spacing w:before="240"/>
        <w:rPr>
          <w:rFonts w:cs="Arial"/>
          <w:szCs w:val="24"/>
        </w:rPr>
      </w:pPr>
      <w:r w:rsidRPr="001848DD">
        <w:rPr>
          <w:rFonts w:cs="Arial"/>
          <w:szCs w:val="24"/>
        </w:rPr>
        <w:t>You should discuss</w:t>
      </w:r>
      <w:r w:rsidR="00094489">
        <w:rPr>
          <w:rFonts w:cs="Arial"/>
          <w:szCs w:val="24"/>
        </w:rPr>
        <w:t xml:space="preserve">, </w:t>
      </w:r>
      <w:r w:rsidRPr="001848DD">
        <w:rPr>
          <w:rFonts w:cs="Arial"/>
          <w:szCs w:val="24"/>
        </w:rPr>
        <w:t xml:space="preserve">agree </w:t>
      </w:r>
      <w:r w:rsidR="00094489">
        <w:rPr>
          <w:rFonts w:cs="Arial"/>
          <w:szCs w:val="24"/>
        </w:rPr>
        <w:t xml:space="preserve">and prioritise the measures that are important to your organisation </w:t>
      </w:r>
      <w:r w:rsidRPr="001848DD">
        <w:rPr>
          <w:rFonts w:cs="Arial"/>
          <w:szCs w:val="24"/>
        </w:rPr>
        <w:t>with your board</w:t>
      </w:r>
      <w:r w:rsidR="00094489">
        <w:rPr>
          <w:rFonts w:cs="Arial"/>
          <w:szCs w:val="24"/>
        </w:rPr>
        <w:t xml:space="preserve">. </w:t>
      </w:r>
      <w:r w:rsidRPr="001848DD">
        <w:rPr>
          <w:rFonts w:cs="Arial"/>
          <w:szCs w:val="24"/>
        </w:rPr>
        <w:t xml:space="preserve">Aim to </w:t>
      </w:r>
      <w:r w:rsidR="00094489">
        <w:rPr>
          <w:rFonts w:cs="Arial"/>
          <w:szCs w:val="24"/>
        </w:rPr>
        <w:t>choose</w:t>
      </w:r>
      <w:r w:rsidRPr="001848DD">
        <w:rPr>
          <w:rFonts w:cs="Arial"/>
          <w:szCs w:val="24"/>
        </w:rPr>
        <w:t xml:space="preserve"> </w:t>
      </w:r>
      <w:r w:rsidR="00094489">
        <w:rPr>
          <w:rFonts w:cs="Arial"/>
          <w:szCs w:val="24"/>
        </w:rPr>
        <w:t>5</w:t>
      </w:r>
      <w:r w:rsidRPr="001848DD">
        <w:rPr>
          <w:rFonts w:cs="Arial"/>
          <w:szCs w:val="24"/>
        </w:rPr>
        <w:t xml:space="preserve"> or </w:t>
      </w:r>
      <w:r w:rsidR="00094489">
        <w:rPr>
          <w:rFonts w:cs="Arial"/>
          <w:szCs w:val="24"/>
        </w:rPr>
        <w:t>6</w:t>
      </w:r>
      <w:r w:rsidRPr="001848DD">
        <w:rPr>
          <w:rFonts w:cs="Arial"/>
          <w:szCs w:val="24"/>
        </w:rPr>
        <w:t xml:space="preserve"> </w:t>
      </w:r>
      <w:r w:rsidR="00AB3305">
        <w:rPr>
          <w:rFonts w:cs="Arial"/>
          <w:szCs w:val="24"/>
        </w:rPr>
        <w:t xml:space="preserve">useful </w:t>
      </w:r>
      <w:r w:rsidRPr="001848DD">
        <w:rPr>
          <w:rFonts w:cs="Arial"/>
          <w:szCs w:val="24"/>
        </w:rPr>
        <w:t>measures</w:t>
      </w:r>
      <w:r w:rsidR="00AB3305">
        <w:rPr>
          <w:rFonts w:cs="Arial"/>
          <w:szCs w:val="24"/>
        </w:rPr>
        <w:t>.</w:t>
      </w:r>
      <w:r w:rsidRPr="001848DD">
        <w:rPr>
          <w:rFonts w:cs="Arial"/>
          <w:szCs w:val="24"/>
        </w:rPr>
        <w:t xml:space="preserve"> </w:t>
      </w:r>
    </w:p>
    <w:p w14:paraId="74CFD851" w14:textId="3C6C189E" w:rsidR="007674DA" w:rsidRPr="001848DD" w:rsidRDefault="007674DA" w:rsidP="007674DA">
      <w:pPr>
        <w:pStyle w:val="DeptBullets"/>
        <w:numPr>
          <w:ilvl w:val="0"/>
          <w:numId w:val="0"/>
        </w:numPr>
        <w:rPr>
          <w:rFonts w:cs="Arial"/>
          <w:szCs w:val="24"/>
        </w:rPr>
      </w:pPr>
      <w:r w:rsidRPr="001848DD">
        <w:rPr>
          <w:rFonts w:cs="Arial"/>
          <w:szCs w:val="24"/>
        </w:rPr>
        <w:t xml:space="preserve">You should identify measures that cover a range of </w:t>
      </w:r>
      <w:r w:rsidR="00AB3305">
        <w:rPr>
          <w:rFonts w:cs="Arial"/>
          <w:szCs w:val="24"/>
        </w:rPr>
        <w:t>areas</w:t>
      </w:r>
      <w:r w:rsidRPr="001848DD">
        <w:rPr>
          <w:rFonts w:cs="Arial"/>
          <w:szCs w:val="24"/>
        </w:rPr>
        <w:t xml:space="preserve">. </w:t>
      </w:r>
      <w:r w:rsidR="00BA3C7E">
        <w:rPr>
          <w:rFonts w:cs="Arial"/>
          <w:szCs w:val="24"/>
        </w:rPr>
        <w:t xml:space="preserve">The </w:t>
      </w:r>
      <w:r w:rsidR="00A11A89">
        <w:rPr>
          <w:rFonts w:cs="Arial"/>
          <w:szCs w:val="24"/>
        </w:rPr>
        <w:t>measures</w:t>
      </w:r>
      <w:r w:rsidRPr="001848DD">
        <w:rPr>
          <w:rFonts w:cs="Arial"/>
          <w:szCs w:val="24"/>
        </w:rPr>
        <w:t xml:space="preserve"> may </w:t>
      </w:r>
      <w:r w:rsidR="00A11A89">
        <w:rPr>
          <w:rFonts w:cs="Arial"/>
          <w:szCs w:val="24"/>
        </w:rPr>
        <w:t>be</w:t>
      </w:r>
      <w:r w:rsidRPr="001848DD">
        <w:rPr>
          <w:rFonts w:cs="Arial"/>
          <w:szCs w:val="24"/>
        </w:rPr>
        <w:t xml:space="preserve"> </w:t>
      </w:r>
      <w:r w:rsidR="00A11A89">
        <w:rPr>
          <w:rFonts w:cs="Arial"/>
          <w:szCs w:val="24"/>
        </w:rPr>
        <w:t>financial</w:t>
      </w:r>
      <w:r w:rsidR="00BA3C7E">
        <w:rPr>
          <w:rFonts w:cs="Arial"/>
          <w:szCs w:val="24"/>
        </w:rPr>
        <w:t xml:space="preserve">, </w:t>
      </w:r>
      <w:r w:rsidR="00A11A89">
        <w:rPr>
          <w:rFonts w:cs="Arial"/>
          <w:szCs w:val="24"/>
        </w:rPr>
        <w:t xml:space="preserve">environmental, to </w:t>
      </w:r>
      <w:r w:rsidR="00BA3C7E">
        <w:rPr>
          <w:rFonts w:cs="Arial"/>
          <w:szCs w:val="24"/>
        </w:rPr>
        <w:t>improv</w:t>
      </w:r>
      <w:r w:rsidR="00A11A89">
        <w:rPr>
          <w:rFonts w:cs="Arial"/>
          <w:szCs w:val="24"/>
        </w:rPr>
        <w:t xml:space="preserve">e </w:t>
      </w:r>
      <w:r w:rsidR="00BA3C7E">
        <w:rPr>
          <w:rFonts w:cs="Arial"/>
          <w:szCs w:val="24"/>
        </w:rPr>
        <w:t>the condition and safety of the estate</w:t>
      </w:r>
      <w:r w:rsidR="00A11A89">
        <w:rPr>
          <w:rFonts w:cs="Arial"/>
          <w:szCs w:val="24"/>
        </w:rPr>
        <w:t xml:space="preserve"> or to </w:t>
      </w:r>
      <w:r w:rsidR="002A2A29">
        <w:rPr>
          <w:rFonts w:cs="Arial"/>
          <w:szCs w:val="24"/>
        </w:rPr>
        <w:t xml:space="preserve">inform strategic planning. </w:t>
      </w:r>
    </w:p>
    <w:p w14:paraId="15060C27" w14:textId="12357FEA" w:rsidR="00E531B0" w:rsidRPr="001848DD" w:rsidRDefault="008A005D" w:rsidP="008A005D">
      <w:pPr>
        <w:pStyle w:val="DeptBullets"/>
        <w:numPr>
          <w:ilvl w:val="0"/>
          <w:numId w:val="0"/>
        </w:numPr>
        <w:rPr>
          <w:rFonts w:cs="Arial"/>
          <w:szCs w:val="24"/>
        </w:rPr>
      </w:pPr>
      <w:r w:rsidRPr="001848DD">
        <w:rPr>
          <w:rFonts w:cs="Arial"/>
          <w:szCs w:val="24"/>
        </w:rPr>
        <w:t>When you select performance measures, you need to consider what is important to your organisation</w:t>
      </w:r>
      <w:r w:rsidR="00E77585" w:rsidRPr="001848DD">
        <w:rPr>
          <w:rFonts w:cs="Arial"/>
          <w:szCs w:val="24"/>
        </w:rPr>
        <w:t xml:space="preserve"> and what will help you </w:t>
      </w:r>
      <w:r w:rsidR="00F564E6" w:rsidRPr="001848DD">
        <w:rPr>
          <w:rFonts w:cs="Arial"/>
          <w:szCs w:val="24"/>
        </w:rPr>
        <w:t xml:space="preserve">take actions to </w:t>
      </w:r>
      <w:r w:rsidR="00E77585" w:rsidRPr="001848DD">
        <w:rPr>
          <w:rFonts w:cs="Arial"/>
          <w:szCs w:val="24"/>
        </w:rPr>
        <w:t>make meaningful improvements</w:t>
      </w:r>
      <w:r w:rsidRPr="001848DD">
        <w:rPr>
          <w:rFonts w:cs="Arial"/>
          <w:szCs w:val="24"/>
        </w:rPr>
        <w:t xml:space="preserve">. For </w:t>
      </w:r>
      <w:proofErr w:type="gramStart"/>
      <w:r w:rsidRPr="001848DD">
        <w:rPr>
          <w:rFonts w:cs="Arial"/>
          <w:szCs w:val="24"/>
        </w:rPr>
        <w:t>example</w:t>
      </w:r>
      <w:proofErr w:type="gramEnd"/>
      <w:r w:rsidRPr="001848DD">
        <w:rPr>
          <w:rFonts w:cs="Arial"/>
          <w:szCs w:val="24"/>
        </w:rPr>
        <w:t xml:space="preserve"> if</w:t>
      </w:r>
      <w:r w:rsidR="00E531B0" w:rsidRPr="001848DD">
        <w:rPr>
          <w:rFonts w:cs="Arial"/>
          <w:szCs w:val="24"/>
        </w:rPr>
        <w:t xml:space="preserve"> you have: </w:t>
      </w:r>
    </w:p>
    <w:p w14:paraId="49DD3E12" w14:textId="3F156960" w:rsidR="00E531B0" w:rsidRPr="001848DD" w:rsidRDefault="008A005D" w:rsidP="00071048">
      <w:pPr>
        <w:pStyle w:val="DeptBullets"/>
        <w:numPr>
          <w:ilvl w:val="0"/>
          <w:numId w:val="8"/>
        </w:numPr>
        <w:spacing w:after="0"/>
        <w:ind w:left="714" w:hanging="357"/>
        <w:rPr>
          <w:rFonts w:cs="Arial"/>
          <w:szCs w:val="24"/>
        </w:rPr>
      </w:pPr>
      <w:r w:rsidRPr="001848DD">
        <w:rPr>
          <w:rFonts w:cs="Arial"/>
          <w:szCs w:val="24"/>
        </w:rPr>
        <w:t>targets to</w:t>
      </w:r>
      <w:r w:rsidR="00E531B0" w:rsidRPr="001848DD">
        <w:rPr>
          <w:rFonts w:cs="Arial"/>
          <w:szCs w:val="24"/>
        </w:rPr>
        <w:t xml:space="preserve"> </w:t>
      </w:r>
      <w:r w:rsidRPr="001848DD">
        <w:rPr>
          <w:rFonts w:cs="Arial"/>
          <w:szCs w:val="24"/>
        </w:rPr>
        <w:t xml:space="preserve">reduce </w:t>
      </w:r>
      <w:r w:rsidR="003579F0" w:rsidRPr="001848DD">
        <w:rPr>
          <w:rFonts w:cs="Arial"/>
          <w:szCs w:val="24"/>
        </w:rPr>
        <w:t>premises costs, you may select measures that focus on occupation costs</w:t>
      </w:r>
    </w:p>
    <w:p w14:paraId="26A44785" w14:textId="16FD3571" w:rsidR="008A005D" w:rsidRPr="001848DD" w:rsidRDefault="00E531B0" w:rsidP="00071048">
      <w:pPr>
        <w:pStyle w:val="DeptBullets"/>
        <w:numPr>
          <w:ilvl w:val="0"/>
          <w:numId w:val="8"/>
        </w:numPr>
        <w:spacing w:after="0"/>
        <w:ind w:left="714" w:hanging="357"/>
        <w:rPr>
          <w:rFonts w:cs="Arial"/>
          <w:szCs w:val="24"/>
        </w:rPr>
      </w:pPr>
      <w:r w:rsidRPr="001848DD">
        <w:rPr>
          <w:rFonts w:cs="Arial"/>
          <w:szCs w:val="24"/>
        </w:rPr>
        <w:t xml:space="preserve">a </w:t>
      </w:r>
      <w:proofErr w:type="gramStart"/>
      <w:r w:rsidRPr="001848DD">
        <w:rPr>
          <w:rFonts w:cs="Arial"/>
          <w:szCs w:val="24"/>
        </w:rPr>
        <w:t>particular interest</w:t>
      </w:r>
      <w:proofErr w:type="gramEnd"/>
      <w:r w:rsidRPr="001848DD">
        <w:rPr>
          <w:rFonts w:cs="Arial"/>
          <w:szCs w:val="24"/>
        </w:rPr>
        <w:t xml:space="preserve"> in sustainability, you may select measures that focus on energy consumption or emissions </w:t>
      </w:r>
    </w:p>
    <w:p w14:paraId="72759210" w14:textId="16E824A3" w:rsidR="00E531B0" w:rsidRPr="001848DD" w:rsidRDefault="00E531B0" w:rsidP="00071048">
      <w:pPr>
        <w:pStyle w:val="DeptBullets"/>
        <w:numPr>
          <w:ilvl w:val="0"/>
          <w:numId w:val="8"/>
        </w:numPr>
        <w:spacing w:after="0"/>
        <w:ind w:left="714" w:hanging="357"/>
        <w:rPr>
          <w:rFonts w:cs="Arial"/>
          <w:szCs w:val="24"/>
        </w:rPr>
      </w:pPr>
      <w:r w:rsidRPr="001848DD">
        <w:rPr>
          <w:rFonts w:cs="Arial"/>
          <w:szCs w:val="24"/>
        </w:rPr>
        <w:t xml:space="preserve">a strategy to improve the condition of the estate, you may select measures that focus on condition categorisation </w:t>
      </w:r>
    </w:p>
    <w:p w14:paraId="62D24686" w14:textId="77777777" w:rsidR="00071048" w:rsidRPr="001848DD" w:rsidRDefault="00071048" w:rsidP="00071048">
      <w:pPr>
        <w:pStyle w:val="DeptBullets"/>
        <w:numPr>
          <w:ilvl w:val="0"/>
          <w:numId w:val="0"/>
        </w:numPr>
        <w:spacing w:after="0"/>
        <w:ind w:left="720" w:hanging="360"/>
        <w:rPr>
          <w:rFonts w:cs="Arial"/>
          <w:szCs w:val="24"/>
        </w:rPr>
      </w:pPr>
    </w:p>
    <w:p w14:paraId="46B77CBD" w14:textId="49B35170" w:rsidR="006E687D" w:rsidRPr="001848DD" w:rsidRDefault="006E687D" w:rsidP="006E687D">
      <w:pPr>
        <w:pStyle w:val="DeptBullets"/>
        <w:numPr>
          <w:ilvl w:val="0"/>
          <w:numId w:val="0"/>
        </w:numPr>
        <w:rPr>
          <w:rFonts w:cs="Arial"/>
          <w:szCs w:val="24"/>
        </w:rPr>
      </w:pPr>
      <w:r w:rsidRPr="001848DD">
        <w:rPr>
          <w:rFonts w:cs="Arial"/>
          <w:szCs w:val="24"/>
        </w:rPr>
        <w:t>If you want to benchmark with other organisations, y</w:t>
      </w:r>
      <w:r w:rsidR="006F2E63" w:rsidRPr="001848DD">
        <w:rPr>
          <w:rFonts w:cs="Arial"/>
          <w:szCs w:val="24"/>
        </w:rPr>
        <w:t xml:space="preserve">ou should also consider </w:t>
      </w:r>
      <w:r w:rsidRPr="001848DD">
        <w:rPr>
          <w:rFonts w:cs="Arial"/>
          <w:szCs w:val="24"/>
        </w:rPr>
        <w:t>what</w:t>
      </w:r>
      <w:r w:rsidR="006F2E63" w:rsidRPr="001848DD">
        <w:rPr>
          <w:rFonts w:cs="Arial"/>
          <w:szCs w:val="24"/>
        </w:rPr>
        <w:t xml:space="preserve"> performance measures </w:t>
      </w:r>
      <w:r w:rsidRPr="001848DD">
        <w:rPr>
          <w:rFonts w:cs="Arial"/>
          <w:szCs w:val="24"/>
        </w:rPr>
        <w:t xml:space="preserve">they </w:t>
      </w:r>
      <w:r w:rsidR="006F2E63" w:rsidRPr="001848DD">
        <w:rPr>
          <w:rFonts w:cs="Arial"/>
          <w:szCs w:val="24"/>
        </w:rPr>
        <w:t>use</w:t>
      </w:r>
      <w:r w:rsidRPr="001848DD">
        <w:rPr>
          <w:rFonts w:cs="Arial"/>
          <w:szCs w:val="24"/>
        </w:rPr>
        <w:t xml:space="preserve"> but ensure they are important to you too.</w:t>
      </w:r>
    </w:p>
    <w:p w14:paraId="16537D93" w14:textId="2BED40E4" w:rsidR="008A005D" w:rsidRPr="001848DD" w:rsidRDefault="00096C54" w:rsidP="006E687D">
      <w:pPr>
        <w:pStyle w:val="DeptBullets"/>
        <w:numPr>
          <w:ilvl w:val="0"/>
          <w:numId w:val="0"/>
        </w:numPr>
        <w:ind w:left="1276" w:hanging="1276"/>
        <w:rPr>
          <w:rFonts w:cs="Arial"/>
          <w:b/>
          <w:bCs/>
          <w:szCs w:val="24"/>
        </w:rPr>
      </w:pPr>
      <w:r w:rsidRPr="001848DD">
        <w:rPr>
          <w:rFonts w:cs="Arial"/>
          <w:b/>
          <w:bCs/>
          <w:noProof/>
          <w:szCs w:val="24"/>
        </w:rPr>
        <mc:AlternateContent>
          <mc:Choice Requires="wpg">
            <w:drawing>
              <wp:anchor distT="0" distB="0" distL="114300" distR="114300" simplePos="0" relativeHeight="251658243" behindDoc="0" locked="0" layoutInCell="1" allowOverlap="1" wp14:anchorId="7E02C80D" wp14:editId="27FFBCDA">
                <wp:simplePos x="0" y="0"/>
                <wp:positionH relativeFrom="margin">
                  <wp:posOffset>23495</wp:posOffset>
                </wp:positionH>
                <wp:positionV relativeFrom="paragraph">
                  <wp:posOffset>25400</wp:posOffset>
                </wp:positionV>
                <wp:extent cx="6038533" cy="626301"/>
                <wp:effectExtent l="0" t="0" r="19685" b="21590"/>
                <wp:wrapNone/>
                <wp:docPr id="6" name="Group 6"/>
                <wp:cNvGraphicFramePr/>
                <a:graphic xmlns:a="http://schemas.openxmlformats.org/drawingml/2006/main">
                  <a:graphicData uri="http://schemas.microsoft.com/office/word/2010/wordprocessingGroup">
                    <wpg:wgp>
                      <wpg:cNvGrpSpPr/>
                      <wpg:grpSpPr>
                        <a:xfrm>
                          <a:off x="0" y="0"/>
                          <a:ext cx="6038533" cy="626301"/>
                          <a:chOff x="78033" y="-1166511"/>
                          <a:chExt cx="6038607" cy="786809"/>
                        </a:xfrm>
                      </wpg:grpSpPr>
                      <wps:wsp>
                        <wps:cNvPr id="2" name="Flowchart: Off-page Connector 7"/>
                        <wps:cNvSpPr/>
                        <wps:spPr>
                          <a:xfrm>
                            <a:off x="78033" y="-1166511"/>
                            <a:ext cx="662786" cy="786809"/>
                          </a:xfrm>
                          <a:prstGeom prst="flowChartOffpageConnector">
                            <a:avLst/>
                          </a:prstGeom>
                          <a:solidFill>
                            <a:srgbClr val="4F81BD">
                              <a:lumMod val="20000"/>
                              <a:lumOff val="80000"/>
                            </a:srgbClr>
                          </a:solidFill>
                          <a:ln w="25400" cap="flat" cmpd="sng" algn="ctr">
                            <a:solidFill>
                              <a:srgbClr val="4F81BD"/>
                            </a:solidFill>
                            <a:prstDash val="solid"/>
                          </a:ln>
                          <a:effectLst/>
                        </wps:spPr>
                        <wps:txbx>
                          <w:txbxContent>
                            <w:p w14:paraId="15FE8866" w14:textId="7583EE8A" w:rsidR="008A005D" w:rsidRPr="00B101B3" w:rsidRDefault="008A005D" w:rsidP="008A005D">
                              <w:pPr>
                                <w:jc w:val="center"/>
                                <w:rPr>
                                  <w:szCs w:val="24"/>
                                  <w14:textOutline w14:w="9525" w14:cap="rnd" w14:cmpd="sng" w14:algn="ctr">
                                    <w14:solidFill>
                                      <w14:srgbClr w14:val="000000"/>
                                    </w14:solidFill>
                                    <w14:prstDash w14:val="solid"/>
                                    <w14:bevel/>
                                  </w14:textOutline>
                                </w:rPr>
                              </w:pPr>
                              <w:r w:rsidRPr="00B101B3">
                                <w:rPr>
                                  <w:szCs w:val="24"/>
                                  <w14:textOutline w14:w="9525" w14:cap="rnd" w14:cmpd="sng" w14:algn="ctr">
                                    <w14:solidFill>
                                      <w14:srgbClr w14:val="000000"/>
                                    </w14:solidFill>
                                    <w14:prstDash w14:val="solid"/>
                                    <w14:bevel/>
                                  </w14:textOutline>
                                </w:rPr>
                                <w:t>Step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Rounded Corners 8"/>
                        <wps:cNvSpPr/>
                        <wps:spPr>
                          <a:xfrm>
                            <a:off x="791855" y="-1162259"/>
                            <a:ext cx="5324785" cy="667725"/>
                          </a:xfrm>
                          <a:prstGeom prst="roundRect">
                            <a:avLst/>
                          </a:prstGeom>
                          <a:solidFill>
                            <a:sysClr val="window" lastClr="FFFFFF"/>
                          </a:solidFill>
                          <a:ln w="25400" cap="flat" cmpd="sng" algn="ctr">
                            <a:solidFill>
                              <a:srgbClr val="4F81BD"/>
                            </a:solidFill>
                            <a:prstDash val="solid"/>
                          </a:ln>
                          <a:effectLst/>
                        </wps:spPr>
                        <wps:txbx>
                          <w:txbxContent>
                            <w:p w14:paraId="4745C55A" w14:textId="70199790" w:rsidR="008A005D" w:rsidRPr="00B101B3" w:rsidRDefault="008A005D" w:rsidP="008A005D">
                              <w:pPr>
                                <w:jc w:val="center"/>
                                <w:rPr>
                                  <w:sz w:val="32"/>
                                  <w:szCs w:val="24"/>
                                </w:rPr>
                              </w:pPr>
                              <w:r w:rsidRPr="00B101B3">
                                <w:rPr>
                                  <w:b/>
                                  <w:bCs/>
                                  <w:szCs w:val="24"/>
                                </w:rPr>
                                <w:t>Consider what data you will need to measure performance.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
            <w:pict>
              <v:group w14:anchorId="7E02C80D" id="Group 6" o:spid="_x0000_s1029" style="position:absolute;left:0;text-align:left;margin-left:1.85pt;margin-top:2pt;width:475.5pt;height:49.3pt;z-index:251658243;mso-position-horizontal-relative:margin;mso-width-relative:margin;mso-height-relative:margin" coordorigin="780,-11665" coordsize="60386,7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">
                <v:shape id="Flowchart: Off-page Connector 7" o:spid="_x0000_s1030" type="#_x0000_t177" style="position:absolute;left:780;top:-11665;width:6628;height:7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" fillcolor="#dce6f2" strokecolor="#4f81bd" strokeweight="2pt">
                  <v:textbox>
                    <w:txbxContent>
                      <w:p w14:paraId="15FE8866" w14:textId="7583EE8A" w:rsidR="008A005D" w:rsidRPr="00B101B3" w:rsidRDefault="008A005D" w:rsidP="008A005D">
                        <w:pPr>
                          <w:jc w:val="center"/>
                          <w:rPr>
                            <w:szCs w:val="24"/>
                            <w14:textOutline w14:w="9525" w14:cap="rnd" w14:cmpd="sng" w14:algn="ctr">
                              <w14:solidFill>
                                <w14:srgbClr w14:val="000000"/>
                              </w14:solidFill>
                              <w14:prstDash w14:val="solid"/>
                              <w14:bevel/>
                            </w14:textOutline>
                          </w:rPr>
                        </w:pPr>
                        <w:r w:rsidRPr="00B101B3">
                          <w:rPr>
                            <w:szCs w:val="24"/>
                            <w14:textOutline w14:w="9525" w14:cap="rnd" w14:cmpd="sng" w14:algn="ctr">
                              <w14:solidFill>
                                <w14:srgbClr w14:val="000000"/>
                              </w14:solidFill>
                              <w14:prstDash w14:val="solid"/>
                              <w14:bevel/>
                            </w14:textOutline>
                          </w:rPr>
                          <w:t>Step 2</w:t>
                        </w:r>
                      </w:p>
                    </w:txbxContent>
                  </v:textbox>
                </v:shape>
                <v:roundrect id="Rectangle: Rounded Corners 8" o:spid="_x0000_s1031" style="position:absolute;left:7918;top:-11622;width:53248;height:66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" fillcolor="window" strokecolor="#4f81bd" strokeweight="2pt">
                  <v:textbox>
                    <w:txbxContent>
                      <w:p w14:paraId="4745C55A" w14:textId="70199790" w:rsidR="008A005D" w:rsidRPr="00B101B3" w:rsidRDefault="008A005D" w:rsidP="008A005D">
                        <w:pPr>
                          <w:jc w:val="center"/>
                          <w:rPr>
                            <w:sz w:val="32"/>
                            <w:szCs w:val="24"/>
                          </w:rPr>
                        </w:pPr>
                        <w:r w:rsidRPr="00B101B3">
                          <w:rPr>
                            <w:b/>
                            <w:bCs/>
                            <w:szCs w:val="24"/>
                          </w:rPr>
                          <w:t>Consider what data you will need to measure performance.</w:t>
                        </w:r>
                      </w:p>
                    </w:txbxContent>
                  </v:textbox>
                </v:roundrect>
                <w10:wrap anchorx="margin"/>
              </v:group>
            </w:pict>
          </mc:Fallback>
        </mc:AlternateContent>
      </w:r>
    </w:p>
    <w:p w14:paraId="0B249897" w14:textId="683DC338" w:rsidR="008A005D" w:rsidRPr="001848DD" w:rsidRDefault="008A005D" w:rsidP="006E687D">
      <w:pPr>
        <w:pStyle w:val="DeptBullets"/>
        <w:numPr>
          <w:ilvl w:val="0"/>
          <w:numId w:val="0"/>
        </w:numPr>
        <w:ind w:left="1276" w:hanging="1276"/>
        <w:rPr>
          <w:rFonts w:cs="Arial"/>
          <w:b/>
          <w:bCs/>
          <w:szCs w:val="24"/>
        </w:rPr>
      </w:pPr>
    </w:p>
    <w:p w14:paraId="464C926B" w14:textId="147B3675" w:rsidR="008A005D" w:rsidRPr="001848DD" w:rsidRDefault="008A005D" w:rsidP="006E687D">
      <w:pPr>
        <w:pStyle w:val="DeptBullets"/>
        <w:numPr>
          <w:ilvl w:val="0"/>
          <w:numId w:val="0"/>
        </w:numPr>
        <w:ind w:left="1276" w:hanging="1276"/>
        <w:rPr>
          <w:rFonts w:cs="Arial"/>
          <w:b/>
          <w:bCs/>
          <w:szCs w:val="24"/>
        </w:rPr>
      </w:pPr>
    </w:p>
    <w:p w14:paraId="1630DA68" w14:textId="0C2569C4" w:rsidR="008A005D" w:rsidRPr="001848DD" w:rsidRDefault="008A005D" w:rsidP="008A005D">
      <w:pPr>
        <w:pStyle w:val="DeptBullets"/>
        <w:numPr>
          <w:ilvl w:val="0"/>
          <w:numId w:val="0"/>
        </w:numPr>
        <w:rPr>
          <w:rFonts w:cs="Arial"/>
          <w:szCs w:val="24"/>
        </w:rPr>
      </w:pPr>
      <w:r w:rsidRPr="001848DD">
        <w:rPr>
          <w:rFonts w:cs="Arial"/>
          <w:szCs w:val="24"/>
        </w:rPr>
        <w:t xml:space="preserve">Bear in mind that to produce meaningful performance measures you will need access to a lot of information about the estate and you will need to analyse it further. </w:t>
      </w:r>
      <w:r w:rsidR="00096C54" w:rsidRPr="001848DD">
        <w:rPr>
          <w:rFonts w:cs="Arial"/>
          <w:szCs w:val="24"/>
        </w:rPr>
        <w:t>You should be realistic about how readily you can access this information and what tools you have for analysis</w:t>
      </w:r>
      <w:r w:rsidR="00E77585" w:rsidRPr="001848DD">
        <w:rPr>
          <w:rFonts w:cs="Arial"/>
          <w:szCs w:val="24"/>
        </w:rPr>
        <w:t xml:space="preserve"> as this will affect what measures you select</w:t>
      </w:r>
      <w:r w:rsidR="00096C54" w:rsidRPr="001848DD">
        <w:rPr>
          <w:rFonts w:cs="Arial"/>
          <w:szCs w:val="24"/>
        </w:rPr>
        <w:t xml:space="preserve">. </w:t>
      </w:r>
      <w:r w:rsidRPr="001848DD">
        <w:rPr>
          <w:rFonts w:cs="Arial"/>
          <w:szCs w:val="24"/>
        </w:rPr>
        <w:t>You will probably already have much of this information, but</w:t>
      </w:r>
      <w:r w:rsidR="00096C54" w:rsidRPr="001848DD">
        <w:rPr>
          <w:rFonts w:cs="Arial"/>
          <w:szCs w:val="24"/>
        </w:rPr>
        <w:t xml:space="preserve"> it may take time and resource to collate</w:t>
      </w:r>
      <w:r w:rsidRPr="001848DD">
        <w:rPr>
          <w:rFonts w:cs="Arial"/>
          <w:szCs w:val="24"/>
        </w:rPr>
        <w:t xml:space="preserve">. </w:t>
      </w:r>
    </w:p>
    <w:p w14:paraId="0B596BBE" w14:textId="2C4E13F4" w:rsidR="006F2E63" w:rsidRPr="001848DD" w:rsidRDefault="00DF4C06" w:rsidP="00845FC5">
      <w:pPr>
        <w:pStyle w:val="DeptBullets"/>
        <w:numPr>
          <w:ilvl w:val="0"/>
          <w:numId w:val="0"/>
        </w:numPr>
        <w:rPr>
          <w:rFonts w:cs="Arial"/>
          <w:szCs w:val="24"/>
        </w:rPr>
      </w:pPr>
      <w:r w:rsidRPr="001848DD">
        <w:rPr>
          <w:rFonts w:cs="Arial"/>
          <w:szCs w:val="24"/>
        </w:rPr>
        <w:t xml:space="preserve">Further </w:t>
      </w:r>
      <w:r w:rsidR="006F2E63" w:rsidRPr="001848DD">
        <w:rPr>
          <w:rFonts w:cs="Arial"/>
          <w:szCs w:val="24"/>
        </w:rPr>
        <w:t>guidance</w:t>
      </w:r>
      <w:r w:rsidRPr="001848DD">
        <w:rPr>
          <w:rFonts w:cs="Arial"/>
          <w:szCs w:val="24"/>
        </w:rPr>
        <w:t xml:space="preserve"> has been produced to help you </w:t>
      </w:r>
      <w:r w:rsidR="006F2E63" w:rsidRPr="001848DD">
        <w:rPr>
          <w:rFonts w:cs="Arial"/>
          <w:szCs w:val="24"/>
        </w:rPr>
        <w:t>understand</w:t>
      </w:r>
      <w:r w:rsidRPr="001848DD">
        <w:rPr>
          <w:rFonts w:cs="Arial"/>
          <w:szCs w:val="24"/>
        </w:rPr>
        <w:t xml:space="preserve"> the </w:t>
      </w:r>
      <w:r w:rsidR="006F2E63" w:rsidRPr="001848DD">
        <w:rPr>
          <w:rFonts w:cs="Arial"/>
          <w:szCs w:val="24"/>
        </w:rPr>
        <w:t>sort of information you need to help you manage your estate effectively</w:t>
      </w:r>
      <w:r w:rsidR="00682F92" w:rsidRPr="001848DD">
        <w:rPr>
          <w:rFonts w:cs="Arial"/>
          <w:szCs w:val="24"/>
        </w:rPr>
        <w:t xml:space="preserve">. You should look </w:t>
      </w:r>
      <w:proofErr w:type="gramStart"/>
      <w:r w:rsidR="00682F92" w:rsidRPr="001848DD">
        <w:rPr>
          <w:rFonts w:cs="Arial"/>
          <w:szCs w:val="24"/>
        </w:rPr>
        <w:t xml:space="preserve">at </w:t>
      </w:r>
      <w:r w:rsidR="006F2E63" w:rsidRPr="001848DD">
        <w:rPr>
          <w:rFonts w:cs="Arial"/>
          <w:b/>
          <w:bCs/>
          <w:szCs w:val="24"/>
        </w:rPr>
        <w:t xml:space="preserve"> </w:t>
      </w:r>
      <w:r w:rsidR="006F2E63" w:rsidRPr="001848DD">
        <w:rPr>
          <w:rFonts w:cs="Arial"/>
          <w:i/>
          <w:iCs/>
          <w:color w:val="FF0000"/>
          <w:szCs w:val="24"/>
        </w:rPr>
        <w:t>link</w:t>
      </w:r>
      <w:proofErr w:type="gramEnd"/>
      <w:r w:rsidR="006F2E63" w:rsidRPr="001848DD">
        <w:rPr>
          <w:rFonts w:cs="Arial"/>
          <w:i/>
          <w:iCs/>
          <w:color w:val="FF0000"/>
          <w:szCs w:val="24"/>
        </w:rPr>
        <w:t xml:space="preserve"> to “</w:t>
      </w:r>
      <w:r w:rsidR="00897EFF" w:rsidRPr="001848DD">
        <w:rPr>
          <w:rFonts w:cs="Arial"/>
          <w:i/>
          <w:iCs/>
          <w:color w:val="FF0000"/>
          <w:szCs w:val="24"/>
        </w:rPr>
        <w:t>W</w:t>
      </w:r>
      <w:r w:rsidR="006F2E63" w:rsidRPr="001848DD">
        <w:rPr>
          <w:rFonts w:cs="Arial"/>
          <w:i/>
          <w:iCs/>
          <w:color w:val="FF0000"/>
          <w:szCs w:val="24"/>
        </w:rPr>
        <w:t>hat information do I need about the estate”</w:t>
      </w:r>
      <w:r w:rsidR="00682F92" w:rsidRPr="001848DD">
        <w:rPr>
          <w:rFonts w:cs="Arial"/>
          <w:i/>
          <w:iCs/>
          <w:color w:val="FF0000"/>
          <w:szCs w:val="24"/>
        </w:rPr>
        <w:t>.</w:t>
      </w:r>
    </w:p>
    <w:p w14:paraId="26CC96AD" w14:textId="25589147" w:rsidR="002D4A7E" w:rsidRPr="001848DD" w:rsidRDefault="006F2E63" w:rsidP="00845FC5">
      <w:pPr>
        <w:pStyle w:val="DeptBullets"/>
        <w:numPr>
          <w:ilvl w:val="0"/>
          <w:numId w:val="0"/>
        </w:numPr>
        <w:rPr>
          <w:rFonts w:cs="Arial"/>
          <w:szCs w:val="24"/>
        </w:rPr>
      </w:pPr>
      <w:r w:rsidRPr="001848DD">
        <w:rPr>
          <w:rFonts w:cs="Arial"/>
          <w:szCs w:val="24"/>
        </w:rPr>
        <w:t xml:space="preserve">The table </w:t>
      </w:r>
      <w:r w:rsidR="00096C54" w:rsidRPr="001848DD">
        <w:rPr>
          <w:rFonts w:cs="Arial"/>
          <w:szCs w:val="24"/>
        </w:rPr>
        <w:t xml:space="preserve">below </w:t>
      </w:r>
      <w:r w:rsidRPr="001848DD">
        <w:rPr>
          <w:rFonts w:cs="Arial"/>
          <w:szCs w:val="24"/>
        </w:rPr>
        <w:t xml:space="preserve">has been produced to identify </w:t>
      </w:r>
      <w:proofErr w:type="gramStart"/>
      <w:r w:rsidR="00096C54" w:rsidRPr="001848DD">
        <w:rPr>
          <w:rFonts w:cs="Arial"/>
          <w:szCs w:val="24"/>
        </w:rPr>
        <w:t>a number of</w:t>
      </w:r>
      <w:proofErr w:type="gramEnd"/>
      <w:r w:rsidR="00096C54" w:rsidRPr="001848DD">
        <w:rPr>
          <w:rFonts w:cs="Arial"/>
          <w:szCs w:val="24"/>
        </w:rPr>
        <w:t xml:space="preserve"> </w:t>
      </w:r>
      <w:r w:rsidRPr="001848DD">
        <w:rPr>
          <w:rFonts w:cs="Arial"/>
          <w:szCs w:val="24"/>
        </w:rPr>
        <w:t>performance measures in common use</w:t>
      </w:r>
      <w:r w:rsidR="009204F1" w:rsidRPr="001848DD">
        <w:rPr>
          <w:rFonts w:cs="Arial"/>
          <w:szCs w:val="24"/>
        </w:rPr>
        <w:t>. You can use the table to compare how useful different measures wil</w:t>
      </w:r>
      <w:r w:rsidR="00584B08" w:rsidRPr="001848DD">
        <w:rPr>
          <w:rFonts w:cs="Arial"/>
          <w:szCs w:val="24"/>
        </w:rPr>
        <w:t>l</w:t>
      </w:r>
      <w:r w:rsidR="009204F1" w:rsidRPr="001848DD">
        <w:rPr>
          <w:rFonts w:cs="Arial"/>
          <w:szCs w:val="24"/>
        </w:rPr>
        <w:t xml:space="preserve"> be to </w:t>
      </w:r>
      <w:proofErr w:type="gramStart"/>
      <w:r w:rsidR="009204F1" w:rsidRPr="001848DD">
        <w:rPr>
          <w:rFonts w:cs="Arial"/>
          <w:szCs w:val="24"/>
        </w:rPr>
        <w:t>you,</w:t>
      </w:r>
      <w:r w:rsidR="00584B08" w:rsidRPr="001848DD">
        <w:rPr>
          <w:rFonts w:cs="Arial"/>
          <w:szCs w:val="24"/>
        </w:rPr>
        <w:t xml:space="preserve"> if</w:t>
      </w:r>
      <w:proofErr w:type="gramEnd"/>
      <w:r w:rsidR="00584B08" w:rsidRPr="001848DD">
        <w:rPr>
          <w:rFonts w:cs="Arial"/>
          <w:szCs w:val="24"/>
        </w:rPr>
        <w:t xml:space="preserve"> you have the data to measure them </w:t>
      </w:r>
      <w:r w:rsidR="009204F1" w:rsidRPr="001848DD">
        <w:rPr>
          <w:rFonts w:cs="Arial"/>
          <w:szCs w:val="24"/>
        </w:rPr>
        <w:t>and how realistic it is to c</w:t>
      </w:r>
      <w:r w:rsidR="00584B08" w:rsidRPr="001848DD">
        <w:rPr>
          <w:rFonts w:cs="Arial"/>
          <w:szCs w:val="24"/>
        </w:rPr>
        <w:t>o</w:t>
      </w:r>
      <w:r w:rsidR="009204F1" w:rsidRPr="001848DD">
        <w:rPr>
          <w:rFonts w:cs="Arial"/>
          <w:szCs w:val="24"/>
        </w:rPr>
        <w:t xml:space="preserve">llect </w:t>
      </w:r>
      <w:r w:rsidR="00584B08" w:rsidRPr="001848DD">
        <w:rPr>
          <w:rFonts w:cs="Arial"/>
          <w:szCs w:val="24"/>
        </w:rPr>
        <w:t>it.</w:t>
      </w:r>
      <w:r w:rsidRPr="001848DD">
        <w:rPr>
          <w:rFonts w:cs="Arial"/>
          <w:szCs w:val="24"/>
        </w:rPr>
        <w:t xml:space="preserve"> </w:t>
      </w:r>
      <w:r w:rsidR="002D4A7E" w:rsidRPr="001848DD">
        <w:rPr>
          <w:rFonts w:cs="Arial"/>
          <w:szCs w:val="24"/>
        </w:rPr>
        <w:t xml:space="preserve">This list is not </w:t>
      </w:r>
      <w:proofErr w:type="gramStart"/>
      <w:r w:rsidR="002D4A7E" w:rsidRPr="001848DD">
        <w:rPr>
          <w:rFonts w:cs="Arial"/>
          <w:szCs w:val="24"/>
        </w:rPr>
        <w:t>exhaustive</w:t>
      </w:r>
      <w:proofErr w:type="gramEnd"/>
      <w:r w:rsidR="00096C54" w:rsidRPr="001848DD">
        <w:rPr>
          <w:rFonts w:cs="Arial"/>
          <w:szCs w:val="24"/>
        </w:rPr>
        <w:t xml:space="preserve"> and y</w:t>
      </w:r>
      <w:r w:rsidR="002D4A7E" w:rsidRPr="001848DD">
        <w:rPr>
          <w:rFonts w:cs="Arial"/>
          <w:szCs w:val="24"/>
        </w:rPr>
        <w:t xml:space="preserve">ou may identify other measures that are useful to you. </w:t>
      </w:r>
      <w:r w:rsidR="00096C54" w:rsidRPr="001848DD">
        <w:rPr>
          <w:rFonts w:cs="Arial"/>
          <w:szCs w:val="24"/>
        </w:rPr>
        <w:t xml:space="preserve">Remember you should only select measures that are important to you and will help you improve over time. </w:t>
      </w:r>
    </w:p>
    <w:p w14:paraId="2B04FA42" w14:textId="454E3B24" w:rsidR="008A005D" w:rsidRPr="001848DD" w:rsidRDefault="00096C54" w:rsidP="00845FC5">
      <w:pPr>
        <w:pStyle w:val="DeptBullets"/>
        <w:numPr>
          <w:ilvl w:val="0"/>
          <w:numId w:val="0"/>
        </w:numPr>
        <w:rPr>
          <w:rFonts w:cs="Arial"/>
          <w:szCs w:val="24"/>
        </w:rPr>
      </w:pPr>
      <w:r w:rsidRPr="001848DD">
        <w:rPr>
          <w:rFonts w:cs="Arial"/>
          <w:b/>
          <w:bCs/>
          <w:noProof/>
          <w:szCs w:val="24"/>
        </w:rPr>
        <mc:AlternateContent>
          <mc:Choice Requires="wpg">
            <w:drawing>
              <wp:anchor distT="0" distB="0" distL="114300" distR="114300" simplePos="0" relativeHeight="251658241" behindDoc="0" locked="0" layoutInCell="1" allowOverlap="1" wp14:anchorId="165E1322" wp14:editId="21021DA3">
                <wp:simplePos x="0" y="0"/>
                <wp:positionH relativeFrom="margin">
                  <wp:align>right</wp:align>
                </wp:positionH>
                <wp:positionV relativeFrom="paragraph">
                  <wp:posOffset>11925</wp:posOffset>
                </wp:positionV>
                <wp:extent cx="6005269" cy="620038"/>
                <wp:effectExtent l="0" t="0" r="14605" b="27940"/>
                <wp:wrapNone/>
                <wp:docPr id="9" name="Group 9"/>
                <wp:cNvGraphicFramePr/>
                <a:graphic xmlns:a="http://schemas.openxmlformats.org/drawingml/2006/main">
                  <a:graphicData uri="http://schemas.microsoft.com/office/word/2010/wordprocessingGroup">
                    <wpg:wgp>
                      <wpg:cNvGrpSpPr/>
                      <wpg:grpSpPr>
                        <a:xfrm>
                          <a:off x="0" y="0"/>
                          <a:ext cx="6005269" cy="620038"/>
                          <a:chOff x="0" y="0"/>
                          <a:chExt cx="6005269" cy="786809"/>
                        </a:xfrm>
                      </wpg:grpSpPr>
                      <wps:wsp>
                        <wps:cNvPr id="10" name="Flowchart: Off-page Connector 10"/>
                        <wps:cNvSpPr/>
                        <wps:spPr>
                          <a:xfrm>
                            <a:off x="0" y="0"/>
                            <a:ext cx="629448" cy="786809"/>
                          </a:xfrm>
                          <a:prstGeom prst="flowChartOffpageConnector">
                            <a:avLst/>
                          </a:prstGeom>
                          <a:solidFill>
                            <a:srgbClr val="4F81BD">
                              <a:lumMod val="20000"/>
                              <a:lumOff val="80000"/>
                            </a:srgbClr>
                          </a:solidFill>
                          <a:ln w="25400" cap="flat" cmpd="sng" algn="ctr">
                            <a:solidFill>
                              <a:srgbClr val="4F81BD"/>
                            </a:solidFill>
                            <a:prstDash val="solid"/>
                          </a:ln>
                          <a:effectLst/>
                        </wps:spPr>
                        <wps:txbx>
                          <w:txbxContent>
                            <w:p w14:paraId="58470864" w14:textId="3E0E6BCA" w:rsidR="008A005D" w:rsidRPr="00B80B7F" w:rsidRDefault="008A005D" w:rsidP="008A005D">
                              <w:pPr>
                                <w:jc w:val="center"/>
                                <w:rPr>
                                  <w:szCs w:val="24"/>
                                  <w14:textOutline w14:w="9525" w14:cap="rnd" w14:cmpd="sng" w14:algn="ctr">
                                    <w14:solidFill>
                                      <w14:srgbClr w14:val="000000"/>
                                    </w14:solidFill>
                                    <w14:prstDash w14:val="solid"/>
                                    <w14:bevel/>
                                  </w14:textOutline>
                                </w:rPr>
                              </w:pPr>
                              <w:r w:rsidRPr="00B80B7F">
                                <w:rPr>
                                  <w:szCs w:val="24"/>
                                  <w14:textOutline w14:w="9525" w14:cap="rnd" w14:cmpd="sng" w14:algn="ctr">
                                    <w14:solidFill>
                                      <w14:srgbClr w14:val="000000"/>
                                    </w14:solidFill>
                                    <w14:prstDash w14:val="solid"/>
                                    <w14:bevel/>
                                  </w14:textOutline>
                                </w:rPr>
                                <w:t>Step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Rounded Corners 11"/>
                        <wps:cNvSpPr/>
                        <wps:spPr>
                          <a:xfrm>
                            <a:off x="680484" y="4253"/>
                            <a:ext cx="5324785" cy="667725"/>
                          </a:xfrm>
                          <a:prstGeom prst="roundRect">
                            <a:avLst/>
                          </a:prstGeom>
                          <a:solidFill>
                            <a:sysClr val="window" lastClr="FFFFFF"/>
                          </a:solidFill>
                          <a:ln w="25400" cap="flat" cmpd="sng" algn="ctr">
                            <a:solidFill>
                              <a:srgbClr val="4F81BD"/>
                            </a:solidFill>
                            <a:prstDash val="solid"/>
                          </a:ln>
                          <a:effectLst/>
                        </wps:spPr>
                        <wps:txbx>
                          <w:txbxContent>
                            <w:p w14:paraId="52EE37C3" w14:textId="10E43254" w:rsidR="008A005D" w:rsidRPr="00B80B7F" w:rsidRDefault="008A005D" w:rsidP="00D63335">
                              <w:pPr>
                                <w:jc w:val="center"/>
                                <w:rPr>
                                  <w:sz w:val="32"/>
                                  <w:szCs w:val="24"/>
                                </w:rPr>
                              </w:pPr>
                              <w:r w:rsidRPr="00B80B7F">
                                <w:rPr>
                                  <w:b/>
                                  <w:bCs/>
                                  <w:szCs w:val="24"/>
                                </w:rPr>
                                <w:t>Develop a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
            <w:pict>
              <v:group w14:anchorId="165E1322" id="Group 9" o:spid="_x0000_s1032" style="position:absolute;margin-left:421.65pt;margin-top:.95pt;width:472.85pt;height:48.8pt;z-index:251658241;mso-position-horizontal:right;mso-position-horizontal-relative:margin;mso-height-relative:margin" coordsize="60052,7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">
                <v:shapetype id="_x0000_t177" coordsize="21600,21600" o:spt="177" path="m,l21600,r,17255l10800,21600,,17255xe">
                  <v:stroke joinstyle="miter"/>
                  <v:path gradientshapeok="t" o:connecttype="rect" textboxrect="0,0,21600,17255"/>
                </v:shapetype>
                <v:shape id="Flowchart: Off-page Connector 10" o:spid="_x0000_s1033" type="#_x0000_t177" style="position:absolute;width:6294;height:7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" fillcolor="#dce6f2" strokecolor="#4f81bd" strokeweight="2pt">
                  <v:textbox>
                    <w:txbxContent>
                      <w:p w14:paraId="58470864" w14:textId="3E0E6BCA" w:rsidR="008A005D" w:rsidRPr="00B80B7F" w:rsidRDefault="008A005D" w:rsidP="008A005D">
                        <w:pPr>
                          <w:jc w:val="center"/>
                          <w:rPr>
                            <w:szCs w:val="24"/>
                            <w14:textOutline w14:w="9525" w14:cap="rnd" w14:cmpd="sng" w14:algn="ctr">
                              <w14:solidFill>
                                <w14:srgbClr w14:val="000000"/>
                              </w14:solidFill>
                              <w14:prstDash w14:val="solid"/>
                              <w14:bevel/>
                            </w14:textOutline>
                          </w:rPr>
                        </w:pPr>
                        <w:r w:rsidRPr="00B80B7F">
                          <w:rPr>
                            <w:szCs w:val="24"/>
                            <w14:textOutline w14:w="9525" w14:cap="rnd" w14:cmpd="sng" w14:algn="ctr">
                              <w14:solidFill>
                                <w14:srgbClr w14:val="000000"/>
                              </w14:solidFill>
                              <w14:prstDash w14:val="solid"/>
                              <w14:bevel/>
                            </w14:textOutline>
                          </w:rPr>
                          <w:t>Step 3</w:t>
                        </w:r>
                      </w:p>
                    </w:txbxContent>
                  </v:textbox>
                </v:shape>
                <v:roundrect id="Rectangle: Rounded Corners 11" o:spid="_x0000_s1034" style="position:absolute;left:6804;top:42;width:53248;height:66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" fillcolor="window" strokecolor="#4f81bd" strokeweight="2pt">
                  <v:textbox>
                    <w:txbxContent>
                      <w:p w14:paraId="52EE37C3" w14:textId="10E43254" w:rsidR="008A005D" w:rsidRPr="00B80B7F" w:rsidRDefault="008A005D" w:rsidP="00D63335">
                        <w:pPr>
                          <w:jc w:val="center"/>
                          <w:rPr>
                            <w:sz w:val="32"/>
                            <w:szCs w:val="24"/>
                          </w:rPr>
                        </w:pPr>
                        <w:r w:rsidRPr="00B80B7F">
                          <w:rPr>
                            <w:b/>
                            <w:bCs/>
                            <w:szCs w:val="24"/>
                          </w:rPr>
                          <w:t>Develop a process</w:t>
                        </w:r>
                      </w:p>
                    </w:txbxContent>
                  </v:textbox>
                </v:roundrect>
                <w10:wrap anchorx="margin"/>
              </v:group>
            </w:pict>
          </mc:Fallback>
        </mc:AlternateContent>
      </w:r>
    </w:p>
    <w:p w14:paraId="46BB92DD" w14:textId="333E77A4" w:rsidR="008A005D" w:rsidRPr="001848DD" w:rsidRDefault="008A005D" w:rsidP="00845FC5">
      <w:pPr>
        <w:pStyle w:val="DeptBullets"/>
        <w:numPr>
          <w:ilvl w:val="0"/>
          <w:numId w:val="0"/>
        </w:numPr>
        <w:rPr>
          <w:rFonts w:cs="Arial"/>
          <w:szCs w:val="24"/>
        </w:rPr>
      </w:pPr>
    </w:p>
    <w:p w14:paraId="723C1C2A" w14:textId="4CB98EE3" w:rsidR="008A005D" w:rsidRPr="001848DD" w:rsidRDefault="008A005D" w:rsidP="00E77585">
      <w:pPr>
        <w:pStyle w:val="DeptBullets"/>
        <w:numPr>
          <w:ilvl w:val="0"/>
          <w:numId w:val="0"/>
        </w:numPr>
        <w:spacing w:after="0"/>
        <w:rPr>
          <w:rFonts w:cs="Arial"/>
          <w:b/>
          <w:bCs/>
          <w:szCs w:val="24"/>
        </w:rPr>
      </w:pPr>
    </w:p>
    <w:p w14:paraId="3FE95431" w14:textId="6282BDD5" w:rsidR="008A005D" w:rsidRPr="001848DD" w:rsidRDefault="008A005D" w:rsidP="008A005D">
      <w:pPr>
        <w:pStyle w:val="DeptBullets"/>
        <w:numPr>
          <w:ilvl w:val="0"/>
          <w:numId w:val="18"/>
        </w:numPr>
        <w:rPr>
          <w:rFonts w:cs="Arial"/>
          <w:szCs w:val="24"/>
        </w:rPr>
      </w:pPr>
      <w:r w:rsidRPr="001848DD">
        <w:rPr>
          <w:rFonts w:cs="Arial"/>
          <w:szCs w:val="24"/>
        </w:rPr>
        <w:t>Establish the baseline performance</w:t>
      </w:r>
      <w:r w:rsidR="002C4714" w:rsidRPr="001848DD">
        <w:rPr>
          <w:rFonts w:cs="Arial"/>
          <w:szCs w:val="24"/>
        </w:rPr>
        <w:t xml:space="preserve"> against the selected measures</w:t>
      </w:r>
      <w:r w:rsidRPr="001848DD">
        <w:rPr>
          <w:rFonts w:cs="Arial"/>
          <w:szCs w:val="24"/>
        </w:rPr>
        <w:t xml:space="preserve">. You will use this to understand how you are performing against each measure at the start, so you can determine changes over time. You can set targets to improve performance which should help you identify priorities in your estate strategy. </w:t>
      </w:r>
    </w:p>
    <w:p w14:paraId="346C67BB" w14:textId="77777777" w:rsidR="00054FD8" w:rsidRPr="001848DD" w:rsidRDefault="008A005D" w:rsidP="008A005D">
      <w:pPr>
        <w:pStyle w:val="DeptBullets"/>
        <w:numPr>
          <w:ilvl w:val="0"/>
          <w:numId w:val="18"/>
        </w:numPr>
        <w:rPr>
          <w:rFonts w:cs="Arial"/>
          <w:szCs w:val="24"/>
        </w:rPr>
      </w:pPr>
      <w:r w:rsidRPr="001848DD">
        <w:rPr>
          <w:rFonts w:cs="Arial"/>
          <w:szCs w:val="24"/>
        </w:rPr>
        <w:t>Develop a standardised reporting framework</w:t>
      </w:r>
      <w:r w:rsidR="00054FD8" w:rsidRPr="001848DD">
        <w:rPr>
          <w:rFonts w:cs="Arial"/>
          <w:szCs w:val="24"/>
        </w:rPr>
        <w:t xml:space="preserve"> including periodic reporting to the board</w:t>
      </w:r>
      <w:r w:rsidRPr="001848DD">
        <w:rPr>
          <w:rFonts w:cs="Arial"/>
          <w:szCs w:val="24"/>
        </w:rPr>
        <w:t xml:space="preserve">. If you use standardised reporting formats, you can analyse your data in a consistent way and present the </w:t>
      </w:r>
      <w:proofErr w:type="gramStart"/>
      <w:r w:rsidRPr="001848DD">
        <w:rPr>
          <w:rFonts w:cs="Arial"/>
          <w:szCs w:val="24"/>
        </w:rPr>
        <w:t>information</w:t>
      </w:r>
      <w:proofErr w:type="gramEnd"/>
      <w:r w:rsidRPr="001848DD">
        <w:rPr>
          <w:rFonts w:cs="Arial"/>
          <w:szCs w:val="24"/>
        </w:rPr>
        <w:t xml:space="preserve"> so it is easy to understand changes over time. Ensure your reporting format meets the needs of your Senior Leadership Team </w:t>
      </w:r>
      <w:r w:rsidR="00096C54" w:rsidRPr="001848DD">
        <w:rPr>
          <w:rFonts w:cs="Arial"/>
          <w:szCs w:val="24"/>
        </w:rPr>
        <w:t>and b</w:t>
      </w:r>
      <w:r w:rsidRPr="001848DD">
        <w:rPr>
          <w:rFonts w:cs="Arial"/>
          <w:szCs w:val="24"/>
        </w:rPr>
        <w:t xml:space="preserve">oard.  </w:t>
      </w:r>
    </w:p>
    <w:p w14:paraId="754FC55F" w14:textId="72DA67F5" w:rsidR="008A005D" w:rsidRPr="001848DD" w:rsidRDefault="008A005D" w:rsidP="008A005D">
      <w:pPr>
        <w:pStyle w:val="DeptBullets"/>
        <w:numPr>
          <w:ilvl w:val="0"/>
          <w:numId w:val="18"/>
        </w:numPr>
        <w:rPr>
          <w:rFonts w:cs="Arial"/>
          <w:szCs w:val="24"/>
        </w:rPr>
      </w:pPr>
      <w:r w:rsidRPr="001848DD">
        <w:rPr>
          <w:rFonts w:cs="Arial"/>
          <w:szCs w:val="24"/>
        </w:rPr>
        <w:t xml:space="preserve">If you have </w:t>
      </w:r>
      <w:proofErr w:type="gramStart"/>
      <w:r w:rsidRPr="001848DD">
        <w:rPr>
          <w:rFonts w:cs="Arial"/>
          <w:szCs w:val="24"/>
        </w:rPr>
        <w:t>a number of</w:t>
      </w:r>
      <w:proofErr w:type="gramEnd"/>
      <w:r w:rsidRPr="001848DD">
        <w:rPr>
          <w:rFonts w:cs="Arial"/>
          <w:szCs w:val="24"/>
        </w:rPr>
        <w:t xml:space="preserve"> buildings in your estate, you should compare performance of different buildings – this will help you identify poor performance, opportunities for improvement and inform your strategic planning.  </w:t>
      </w:r>
      <w:r w:rsidR="00054FD8" w:rsidRPr="001848DD">
        <w:rPr>
          <w:rFonts w:cs="Arial"/>
          <w:szCs w:val="24"/>
        </w:rPr>
        <w:t>Ensure you understand the reasons for any differences as th</w:t>
      </w:r>
      <w:r w:rsidR="006E0940" w:rsidRPr="001848DD">
        <w:rPr>
          <w:rFonts w:cs="Arial"/>
          <w:szCs w:val="24"/>
        </w:rPr>
        <w:t>is will influence how you respond</w:t>
      </w:r>
      <w:r w:rsidR="00054FD8" w:rsidRPr="001848DD">
        <w:rPr>
          <w:rFonts w:cs="Arial"/>
          <w:szCs w:val="24"/>
        </w:rPr>
        <w:t xml:space="preserve"> – for example different buildings may be used for different purposes, be of different ages or construction types.</w:t>
      </w:r>
    </w:p>
    <w:p w14:paraId="1053CB18" w14:textId="43151FBB" w:rsidR="008A005D" w:rsidRPr="001848DD" w:rsidRDefault="008A005D" w:rsidP="008A005D">
      <w:pPr>
        <w:pStyle w:val="DeptBullets"/>
        <w:numPr>
          <w:ilvl w:val="0"/>
          <w:numId w:val="18"/>
        </w:numPr>
        <w:rPr>
          <w:rFonts w:cs="Arial"/>
          <w:szCs w:val="24"/>
        </w:rPr>
      </w:pPr>
      <w:r w:rsidRPr="001848DD">
        <w:rPr>
          <w:rFonts w:cs="Arial"/>
          <w:szCs w:val="24"/>
        </w:rPr>
        <w:t xml:space="preserve">Use how you perform against your targets to set new estate priorities. You should review targets periodically to ensure you continuously improve and help you identify priorities in your estate strategy. </w:t>
      </w:r>
    </w:p>
    <w:p w14:paraId="79A31BAD" w14:textId="7D983520" w:rsidR="008A005D" w:rsidRPr="001848DD" w:rsidRDefault="008A005D" w:rsidP="008A005D">
      <w:pPr>
        <w:pStyle w:val="DeptBullets"/>
        <w:numPr>
          <w:ilvl w:val="0"/>
          <w:numId w:val="18"/>
        </w:numPr>
        <w:rPr>
          <w:rFonts w:cs="Arial"/>
          <w:szCs w:val="24"/>
        </w:rPr>
      </w:pPr>
      <w:r w:rsidRPr="001848DD">
        <w:rPr>
          <w:rFonts w:cs="Arial"/>
          <w:szCs w:val="24"/>
        </w:rPr>
        <w:t xml:space="preserve">Refine your measures over time where </w:t>
      </w:r>
      <w:r w:rsidR="002C4714" w:rsidRPr="001848DD">
        <w:rPr>
          <w:rFonts w:cs="Arial"/>
          <w:szCs w:val="24"/>
        </w:rPr>
        <w:t xml:space="preserve">your priorities </w:t>
      </w:r>
      <w:proofErr w:type="gramStart"/>
      <w:r w:rsidR="002C4714" w:rsidRPr="001848DD">
        <w:rPr>
          <w:rFonts w:cs="Arial"/>
          <w:szCs w:val="24"/>
        </w:rPr>
        <w:t>change</w:t>
      </w:r>
      <w:proofErr w:type="gramEnd"/>
      <w:r w:rsidRPr="001848DD">
        <w:rPr>
          <w:rFonts w:cs="Arial"/>
          <w:szCs w:val="24"/>
        </w:rPr>
        <w:t xml:space="preserve"> or your approach matures. If the measures you use are not providing any meaningful benefit to your organisation</w:t>
      </w:r>
      <w:r w:rsidR="00054FD8" w:rsidRPr="001848DD">
        <w:rPr>
          <w:rFonts w:cs="Arial"/>
          <w:szCs w:val="24"/>
        </w:rPr>
        <w:t xml:space="preserve"> and are not helping you improve</w:t>
      </w:r>
      <w:r w:rsidRPr="001848DD">
        <w:rPr>
          <w:rFonts w:cs="Arial"/>
          <w:szCs w:val="24"/>
        </w:rPr>
        <w:t xml:space="preserve">, you should consider alternative measures. Over time, you may also have access to more data which will enable you to measure performance in other areas.  </w:t>
      </w:r>
    </w:p>
    <w:p w14:paraId="6089A1C1" w14:textId="653FB209" w:rsidR="008A005D" w:rsidRPr="001848DD" w:rsidRDefault="00096C54" w:rsidP="008A005D">
      <w:pPr>
        <w:pStyle w:val="DeptBullets"/>
        <w:numPr>
          <w:ilvl w:val="0"/>
          <w:numId w:val="0"/>
        </w:numPr>
        <w:rPr>
          <w:rFonts w:cs="Arial"/>
          <w:b/>
          <w:bCs/>
          <w:szCs w:val="24"/>
        </w:rPr>
      </w:pPr>
      <w:r w:rsidRPr="001848DD">
        <w:rPr>
          <w:rFonts w:cs="Arial"/>
          <w:b/>
          <w:bCs/>
          <w:noProof/>
          <w:szCs w:val="24"/>
        </w:rPr>
        <w:lastRenderedPageBreak/>
        <mc:AlternateContent>
          <mc:Choice Requires="wpg">
            <w:drawing>
              <wp:anchor distT="0" distB="0" distL="114300" distR="114300" simplePos="0" relativeHeight="251658242" behindDoc="0" locked="0" layoutInCell="1" allowOverlap="1" wp14:anchorId="069EED6A" wp14:editId="1E66409C">
                <wp:simplePos x="0" y="0"/>
                <wp:positionH relativeFrom="margin">
                  <wp:align>right</wp:align>
                </wp:positionH>
                <wp:positionV relativeFrom="paragraph">
                  <wp:posOffset>77152</wp:posOffset>
                </wp:positionV>
                <wp:extent cx="6005195" cy="619760"/>
                <wp:effectExtent l="0" t="0" r="14605" b="27940"/>
                <wp:wrapNone/>
                <wp:docPr id="12" name="Group 12"/>
                <wp:cNvGraphicFramePr/>
                <a:graphic xmlns:a="http://schemas.openxmlformats.org/drawingml/2006/main">
                  <a:graphicData uri="http://schemas.microsoft.com/office/word/2010/wordprocessingGroup">
                    <wpg:wgp>
                      <wpg:cNvGrpSpPr/>
                      <wpg:grpSpPr>
                        <a:xfrm>
                          <a:off x="0" y="0"/>
                          <a:ext cx="6005195" cy="619760"/>
                          <a:chOff x="0" y="0"/>
                          <a:chExt cx="6005269" cy="786809"/>
                        </a:xfrm>
                      </wpg:grpSpPr>
                      <wps:wsp>
                        <wps:cNvPr id="13" name="Flowchart: Off-page Connector 13"/>
                        <wps:cNvSpPr/>
                        <wps:spPr>
                          <a:xfrm>
                            <a:off x="0" y="0"/>
                            <a:ext cx="629448" cy="786809"/>
                          </a:xfrm>
                          <a:prstGeom prst="flowChartOffpageConnector">
                            <a:avLst/>
                          </a:prstGeom>
                          <a:solidFill>
                            <a:srgbClr val="4F81BD">
                              <a:lumMod val="20000"/>
                              <a:lumOff val="80000"/>
                            </a:srgbClr>
                          </a:solidFill>
                          <a:ln w="25400" cap="flat" cmpd="sng" algn="ctr">
                            <a:solidFill>
                              <a:srgbClr val="4F81BD"/>
                            </a:solidFill>
                            <a:prstDash val="solid"/>
                          </a:ln>
                          <a:effectLst/>
                        </wps:spPr>
                        <wps:txbx>
                          <w:txbxContent>
                            <w:p w14:paraId="070830E7" w14:textId="602C41A7" w:rsidR="008A005D" w:rsidRPr="002B4DCE" w:rsidRDefault="008A005D" w:rsidP="008A005D">
                              <w:pPr>
                                <w:jc w:val="center"/>
                                <w:rPr>
                                  <w:sz w:val="20"/>
                                  <w14:textOutline w14:w="9525" w14:cap="rnd" w14:cmpd="sng" w14:algn="ctr">
                                    <w14:solidFill>
                                      <w14:srgbClr w14:val="000000"/>
                                    </w14:solidFill>
                                    <w14:prstDash w14:val="solid"/>
                                    <w14:bevel/>
                                  </w14:textOutline>
                                </w:rPr>
                              </w:pPr>
                              <w:r w:rsidRPr="002B4DCE">
                                <w:rPr>
                                  <w:sz w:val="20"/>
                                  <w14:textOutline w14:w="9525" w14:cap="rnd" w14:cmpd="sng" w14:algn="ctr">
                                    <w14:solidFill>
                                      <w14:srgbClr w14:val="000000"/>
                                    </w14:solidFill>
                                    <w14:prstDash w14:val="solid"/>
                                    <w14:bevel/>
                                  </w14:textOutline>
                                </w:rPr>
                                <w:t>St</w:t>
                              </w:r>
                              <w:r>
                                <w:rPr>
                                  <w:sz w:val="20"/>
                                  <w14:textOutline w14:w="9525" w14:cap="rnd" w14:cmpd="sng" w14:algn="ctr">
                                    <w14:solidFill>
                                      <w14:srgbClr w14:val="000000"/>
                                    </w14:solidFill>
                                    <w14:prstDash w14:val="solid"/>
                                    <w14:bevel/>
                                  </w14:textOutline>
                                </w:rPr>
                                <w:t>ep</w:t>
                              </w:r>
                              <w:r w:rsidRPr="002B4DCE">
                                <w:rPr>
                                  <w:sz w:val="20"/>
                                  <w14:textOutline w14:w="9525" w14:cap="rnd" w14:cmpd="sng" w14:algn="ctr">
                                    <w14:solidFill>
                                      <w14:srgbClr w14:val="000000"/>
                                    </w14:solidFill>
                                    <w14:prstDash w14:val="solid"/>
                                    <w14:bevel/>
                                  </w14:textOutline>
                                </w:rPr>
                                <w:t xml:space="preserve"> </w:t>
                              </w:r>
                              <w:r>
                                <w:rPr>
                                  <w:sz w:val="20"/>
                                  <w14:textOutline w14:w="9525" w14:cap="rnd" w14:cmpd="sng" w14:algn="ctr">
                                    <w14:solidFill>
                                      <w14:srgbClr w14:val="000000"/>
                                    </w14:solidFill>
                                    <w14:prstDash w14:val="solid"/>
                                    <w14:bevel/>
                                  </w14:textOutline>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Rounded Corners 14"/>
                        <wps:cNvSpPr/>
                        <wps:spPr>
                          <a:xfrm>
                            <a:off x="680484" y="4253"/>
                            <a:ext cx="5324785" cy="667725"/>
                          </a:xfrm>
                          <a:prstGeom prst="roundRect">
                            <a:avLst/>
                          </a:prstGeom>
                          <a:solidFill>
                            <a:sysClr val="window" lastClr="FFFFFF"/>
                          </a:solidFill>
                          <a:ln w="25400" cap="flat" cmpd="sng" algn="ctr">
                            <a:solidFill>
                              <a:srgbClr val="4F81BD"/>
                            </a:solidFill>
                            <a:prstDash val="solid"/>
                          </a:ln>
                          <a:effectLst/>
                        </wps:spPr>
                        <wps:txbx>
                          <w:txbxContent>
                            <w:p w14:paraId="619D77F5" w14:textId="5D4F0E70" w:rsidR="008A005D" w:rsidRPr="002B4DCE" w:rsidRDefault="008A005D" w:rsidP="008A005D">
                              <w:pPr>
                                <w:jc w:val="center"/>
                              </w:pPr>
                              <w:r>
                                <w:rPr>
                                  <w:b/>
                                  <w:bCs/>
                                  <w:sz w:val="20"/>
                                </w:rPr>
                                <w:t xml:space="preserve">Compare with other </w:t>
                              </w:r>
                              <w:r w:rsidR="00096C54">
                                <w:rPr>
                                  <w:b/>
                                  <w:bCs/>
                                  <w:sz w:val="20"/>
                                </w:rPr>
                                <w:t>organisations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
            <w:pict>
              <v:group w14:anchorId="069EED6A" id="Group 12" o:spid="_x0000_s1035" style="position:absolute;margin-left:421.65pt;margin-top:6.05pt;width:472.85pt;height:48.8pt;z-index:251658242;mso-position-horizontal:right;mso-position-horizontal-relative:margin;mso-height-relative:margin" coordsize="60052,7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">
                <v:shape id="Flowchart: Off-page Connector 13" o:spid="_x0000_s1036" type="#_x0000_t177" style="position:absolute;width:6294;height:7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" fillcolor="#dce6f2" strokecolor="#4f81bd" strokeweight="2pt">
                  <v:textbox>
                    <w:txbxContent>
                      <w:p w14:paraId="070830E7" w14:textId="602C41A7" w:rsidR="008A005D" w:rsidRPr="002B4DCE" w:rsidRDefault="008A005D" w:rsidP="008A005D">
                        <w:pPr>
                          <w:jc w:val="center"/>
                          <w:rPr>
                            <w:sz w:val="20"/>
                            <w14:textOutline w14:w="9525" w14:cap="rnd" w14:cmpd="sng" w14:algn="ctr">
                              <w14:solidFill>
                                <w14:srgbClr w14:val="000000"/>
                              </w14:solidFill>
                              <w14:prstDash w14:val="solid"/>
                              <w14:bevel/>
                            </w14:textOutline>
                          </w:rPr>
                        </w:pPr>
                        <w:r w:rsidRPr="002B4DCE">
                          <w:rPr>
                            <w:sz w:val="20"/>
                            <w14:textOutline w14:w="9525" w14:cap="rnd" w14:cmpd="sng" w14:algn="ctr">
                              <w14:solidFill>
                                <w14:srgbClr w14:val="000000"/>
                              </w14:solidFill>
                              <w14:prstDash w14:val="solid"/>
                              <w14:bevel/>
                            </w14:textOutline>
                          </w:rPr>
                          <w:t>St</w:t>
                        </w:r>
                        <w:r>
                          <w:rPr>
                            <w:sz w:val="20"/>
                            <w14:textOutline w14:w="9525" w14:cap="rnd" w14:cmpd="sng" w14:algn="ctr">
                              <w14:solidFill>
                                <w14:srgbClr w14:val="000000"/>
                              </w14:solidFill>
                              <w14:prstDash w14:val="solid"/>
                              <w14:bevel/>
                            </w14:textOutline>
                          </w:rPr>
                          <w:t>ep</w:t>
                        </w:r>
                        <w:r w:rsidRPr="002B4DCE">
                          <w:rPr>
                            <w:sz w:val="20"/>
                            <w14:textOutline w14:w="9525" w14:cap="rnd" w14:cmpd="sng" w14:algn="ctr">
                              <w14:solidFill>
                                <w14:srgbClr w14:val="000000"/>
                              </w14:solidFill>
                              <w14:prstDash w14:val="solid"/>
                              <w14:bevel/>
                            </w14:textOutline>
                          </w:rPr>
                          <w:t xml:space="preserve"> </w:t>
                        </w:r>
                        <w:r>
                          <w:rPr>
                            <w:sz w:val="20"/>
                            <w14:textOutline w14:w="9525" w14:cap="rnd" w14:cmpd="sng" w14:algn="ctr">
                              <w14:solidFill>
                                <w14:srgbClr w14:val="000000"/>
                              </w14:solidFill>
                              <w14:prstDash w14:val="solid"/>
                              <w14:bevel/>
                            </w14:textOutline>
                          </w:rPr>
                          <w:t>4</w:t>
                        </w:r>
                      </w:p>
                    </w:txbxContent>
                  </v:textbox>
                </v:shape>
                <v:roundrect id="Rectangle: Rounded Corners 14" o:spid="_x0000_s1037" style="position:absolute;left:6804;top:42;width:53248;height:66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" fillcolor="window" strokecolor="#4f81bd" strokeweight="2pt">
                  <v:textbox>
                    <w:txbxContent>
                      <w:p w14:paraId="619D77F5" w14:textId="5D4F0E70" w:rsidR="008A005D" w:rsidRPr="002B4DCE" w:rsidRDefault="008A005D" w:rsidP="008A005D">
                        <w:pPr>
                          <w:jc w:val="center"/>
                        </w:pPr>
                        <w:r>
                          <w:rPr>
                            <w:b/>
                            <w:bCs/>
                            <w:sz w:val="20"/>
                          </w:rPr>
                          <w:t xml:space="preserve">Compare with other </w:t>
                        </w:r>
                        <w:r w:rsidR="00096C54">
                          <w:rPr>
                            <w:b/>
                            <w:bCs/>
                            <w:sz w:val="20"/>
                          </w:rPr>
                          <w:t>organisations</w:t>
                        </w:r>
                      </w:p>
                    </w:txbxContent>
                  </v:textbox>
                </v:roundrect>
                <w10:wrap anchorx="margin"/>
              </v:group>
            </w:pict>
          </mc:Fallback>
        </mc:AlternateContent>
      </w:r>
    </w:p>
    <w:p w14:paraId="33D03915" w14:textId="6EC53BFB" w:rsidR="008A005D" w:rsidRPr="001848DD" w:rsidRDefault="008A005D" w:rsidP="008A005D">
      <w:pPr>
        <w:pStyle w:val="DeptBullets"/>
        <w:numPr>
          <w:ilvl w:val="0"/>
          <w:numId w:val="0"/>
        </w:numPr>
        <w:rPr>
          <w:rFonts w:cs="Arial"/>
          <w:b/>
          <w:bCs/>
          <w:szCs w:val="24"/>
        </w:rPr>
      </w:pPr>
    </w:p>
    <w:p w14:paraId="36272812" w14:textId="77777777" w:rsidR="003175B2" w:rsidRPr="001848DD" w:rsidRDefault="003175B2" w:rsidP="008A005D">
      <w:pPr>
        <w:pStyle w:val="DeptBullets"/>
        <w:numPr>
          <w:ilvl w:val="0"/>
          <w:numId w:val="0"/>
        </w:numPr>
        <w:rPr>
          <w:rFonts w:cs="Arial"/>
          <w:szCs w:val="24"/>
        </w:rPr>
      </w:pPr>
    </w:p>
    <w:p w14:paraId="4EED413A" w14:textId="27C11AA0" w:rsidR="008A005D" w:rsidRPr="001848DD" w:rsidRDefault="008A005D" w:rsidP="008A005D">
      <w:pPr>
        <w:pStyle w:val="DeptBullets"/>
        <w:numPr>
          <w:ilvl w:val="0"/>
          <w:numId w:val="0"/>
        </w:numPr>
        <w:rPr>
          <w:rFonts w:cs="Arial"/>
          <w:szCs w:val="24"/>
        </w:rPr>
      </w:pPr>
      <w:r w:rsidRPr="001848DD">
        <w:rPr>
          <w:rFonts w:cs="Arial"/>
          <w:szCs w:val="24"/>
        </w:rPr>
        <w:t xml:space="preserve">Once you have established measures and have ready access to the required data, you should consider benchmarking with other organisations. External comparison can help you identify opportunities to improve your own performance.  </w:t>
      </w:r>
    </w:p>
    <w:p w14:paraId="7EEC2FED" w14:textId="0A91B564" w:rsidR="008A005D" w:rsidRPr="001848DD" w:rsidRDefault="008A005D" w:rsidP="008A005D">
      <w:pPr>
        <w:pStyle w:val="DeptBullets"/>
        <w:numPr>
          <w:ilvl w:val="0"/>
          <w:numId w:val="0"/>
        </w:numPr>
        <w:rPr>
          <w:rFonts w:cs="Arial"/>
          <w:szCs w:val="24"/>
        </w:rPr>
      </w:pPr>
      <w:r w:rsidRPr="001848DD">
        <w:rPr>
          <w:rFonts w:cs="Arial"/>
          <w:szCs w:val="24"/>
          <w:lang w:val="en"/>
        </w:rPr>
        <w:t>There may be existing localised, regional or national benchmarking groups you could join, and you could consider contacting peer organisations.  You should check if you need the consent of trustees before sharing information. You can find more information on potential benchmarking organisations here (</w:t>
      </w:r>
      <w:r w:rsidRPr="001848DD">
        <w:rPr>
          <w:rFonts w:cs="Arial"/>
          <w:i/>
          <w:iCs/>
          <w:color w:val="FF0000"/>
          <w:szCs w:val="24"/>
          <w:lang w:val="en"/>
        </w:rPr>
        <w:t xml:space="preserve">link to </w:t>
      </w:r>
      <w:hyperlink r:id="rId11" w:history="1">
        <w:r w:rsidRPr="001848DD">
          <w:rPr>
            <w:rStyle w:val="Hyperlink"/>
            <w:rFonts w:cs="Arial"/>
            <w:i/>
            <w:iCs/>
            <w:szCs w:val="24"/>
            <w:lang w:val="en"/>
          </w:rPr>
          <w:t>GEMS Performance management</w:t>
        </w:r>
      </w:hyperlink>
      <w:r w:rsidRPr="001848DD">
        <w:rPr>
          <w:rFonts w:cs="Arial"/>
          <w:szCs w:val="24"/>
          <w:lang w:val="en"/>
        </w:rPr>
        <w:t xml:space="preserve">). </w:t>
      </w:r>
    </w:p>
    <w:p w14:paraId="71576BD5" w14:textId="6B6CEC8B" w:rsidR="008A005D" w:rsidRPr="001848DD" w:rsidRDefault="008A005D" w:rsidP="00845FC5">
      <w:pPr>
        <w:pStyle w:val="DeptBullets"/>
        <w:numPr>
          <w:ilvl w:val="0"/>
          <w:numId w:val="0"/>
        </w:numPr>
        <w:rPr>
          <w:rFonts w:cs="Arial"/>
          <w:szCs w:val="24"/>
        </w:rPr>
      </w:pPr>
      <w:r w:rsidRPr="001848DD">
        <w:rPr>
          <w:rFonts w:cs="Arial"/>
          <w:szCs w:val="24"/>
        </w:rPr>
        <w:t>You will need to find out what other organisations are measuring and if those measures are useful to you. You also need to ensure you understand the basis of measurement so you are comparing like with like</w:t>
      </w:r>
      <w:r w:rsidR="006E0940" w:rsidRPr="001848DD">
        <w:rPr>
          <w:rFonts w:cs="Arial"/>
          <w:szCs w:val="24"/>
        </w:rPr>
        <w:t xml:space="preserve"> and can analyse the comparisons</w:t>
      </w:r>
      <w:r w:rsidRPr="001848DD">
        <w:rPr>
          <w:rFonts w:cs="Arial"/>
          <w:szCs w:val="24"/>
        </w:rPr>
        <w:t>.</w:t>
      </w:r>
    </w:p>
    <w:p w14:paraId="0CFDC261" w14:textId="6CBEDDFF" w:rsidR="006E0940" w:rsidRPr="001848DD" w:rsidRDefault="006E0940" w:rsidP="00845FC5">
      <w:pPr>
        <w:pStyle w:val="DeptBullets"/>
        <w:numPr>
          <w:ilvl w:val="0"/>
          <w:numId w:val="0"/>
        </w:numPr>
        <w:rPr>
          <w:rFonts w:cs="Arial"/>
          <w:szCs w:val="24"/>
        </w:rPr>
        <w:sectPr w:rsidR="006E0940" w:rsidRPr="001848DD" w:rsidSect="00167184">
          <w:headerReference w:type="even" r:id="rId12"/>
          <w:headerReference w:type="default" r:id="rId13"/>
          <w:footerReference w:type="even" r:id="rId14"/>
          <w:footerReference w:type="default" r:id="rId15"/>
          <w:headerReference w:type="first" r:id="rId16"/>
          <w:footerReference w:type="first" r:id="rId17"/>
          <w:pgSz w:w="11906" w:h="16838"/>
          <w:pgMar w:top="1792" w:right="991" w:bottom="426" w:left="1418" w:header="426" w:footer="128" w:gutter="0"/>
          <w:cols w:space="708"/>
          <w:docGrid w:linePitch="360"/>
        </w:sectPr>
      </w:pPr>
    </w:p>
    <w:p w14:paraId="7CA04F32" w14:textId="25F66AE9" w:rsidR="006E687D" w:rsidRPr="001848DD" w:rsidRDefault="00070566" w:rsidP="00070566">
      <w:pPr>
        <w:pStyle w:val="DeptBullets"/>
        <w:numPr>
          <w:ilvl w:val="0"/>
          <w:numId w:val="0"/>
        </w:numPr>
        <w:jc w:val="center"/>
        <w:rPr>
          <w:rFonts w:cs="Arial"/>
          <w:b/>
          <w:bCs/>
          <w:szCs w:val="24"/>
        </w:rPr>
      </w:pPr>
      <w:r w:rsidRPr="001848DD">
        <w:rPr>
          <w:rFonts w:cs="Arial"/>
          <w:b/>
          <w:bCs/>
          <w:szCs w:val="24"/>
        </w:rPr>
        <w:lastRenderedPageBreak/>
        <w:t>Estate Benchmarking – indicative performance measures and data requirements</w:t>
      </w:r>
    </w:p>
    <w:tbl>
      <w:tblPr>
        <w:tblStyle w:val="TableGrid"/>
        <w:tblW w:w="4865" w:type="pct"/>
        <w:tblLayout w:type="fixed"/>
        <w:tblCellMar>
          <w:left w:w="113" w:type="dxa"/>
          <w:right w:w="28" w:type="dxa"/>
        </w:tblCellMar>
        <w:tblLook w:val="04A0" w:firstRow="1" w:lastRow="0" w:firstColumn="1" w:lastColumn="0" w:noHBand="0" w:noVBand="1"/>
      </w:tblPr>
      <w:tblGrid>
        <w:gridCol w:w="364"/>
        <w:gridCol w:w="2733"/>
        <w:gridCol w:w="2840"/>
        <w:gridCol w:w="2138"/>
        <w:gridCol w:w="1229"/>
        <w:gridCol w:w="1229"/>
        <w:gridCol w:w="1229"/>
        <w:gridCol w:w="1078"/>
        <w:gridCol w:w="1190"/>
      </w:tblGrid>
      <w:tr w:rsidR="00E77585" w:rsidRPr="001848DD" w14:paraId="10EC72C1" w14:textId="050B874E" w:rsidTr="00FA0A05">
        <w:trPr>
          <w:trHeight w:val="712"/>
          <w:tblHeader/>
        </w:trPr>
        <w:tc>
          <w:tcPr>
            <w:tcW w:w="1104" w:type="pct"/>
            <w:gridSpan w:val="2"/>
            <w:vMerge w:val="restart"/>
            <w:shd w:val="clear" w:color="auto" w:fill="D9D9D9" w:themeFill="background1" w:themeFillShade="D9"/>
            <w:vAlign w:val="center"/>
          </w:tcPr>
          <w:p w14:paraId="5A9B4F5F" w14:textId="69FB7206" w:rsidR="00E77585" w:rsidRPr="001848DD" w:rsidRDefault="00E77585" w:rsidP="0030303B">
            <w:pPr>
              <w:pStyle w:val="DeptBullets"/>
              <w:numPr>
                <w:ilvl w:val="0"/>
                <w:numId w:val="0"/>
              </w:numPr>
              <w:spacing w:after="120"/>
              <w:jc w:val="center"/>
              <w:rPr>
                <w:rFonts w:cs="Arial"/>
                <w:b/>
                <w:bCs/>
                <w:szCs w:val="24"/>
              </w:rPr>
            </w:pPr>
            <w:r w:rsidRPr="001848DD">
              <w:rPr>
                <w:rFonts w:cs="Arial"/>
                <w:b/>
                <w:bCs/>
                <w:szCs w:val="24"/>
              </w:rPr>
              <w:t>Performance measure</w:t>
            </w:r>
          </w:p>
        </w:tc>
        <w:tc>
          <w:tcPr>
            <w:tcW w:w="1012" w:type="pct"/>
            <w:vMerge w:val="restart"/>
            <w:shd w:val="clear" w:color="auto" w:fill="D9D9D9" w:themeFill="background1" w:themeFillShade="D9"/>
            <w:vAlign w:val="center"/>
          </w:tcPr>
          <w:p w14:paraId="365DCD50" w14:textId="4CBB8E4D" w:rsidR="00E77585" w:rsidRPr="001848DD" w:rsidRDefault="00E77585" w:rsidP="00BA2AA2">
            <w:pPr>
              <w:pStyle w:val="DeptBullets"/>
              <w:numPr>
                <w:ilvl w:val="0"/>
                <w:numId w:val="0"/>
              </w:numPr>
              <w:spacing w:after="120"/>
              <w:jc w:val="center"/>
              <w:rPr>
                <w:rFonts w:cs="Arial"/>
                <w:b/>
                <w:bCs/>
                <w:szCs w:val="24"/>
              </w:rPr>
            </w:pPr>
            <w:r w:rsidRPr="001848DD">
              <w:rPr>
                <w:rFonts w:cs="Arial"/>
                <w:b/>
                <w:bCs/>
                <w:szCs w:val="24"/>
              </w:rPr>
              <w:t>What data do I need to produce this measure</w:t>
            </w:r>
          </w:p>
        </w:tc>
        <w:tc>
          <w:tcPr>
            <w:tcW w:w="762" w:type="pct"/>
            <w:vMerge w:val="restart"/>
            <w:shd w:val="clear" w:color="auto" w:fill="D9D9D9" w:themeFill="background1" w:themeFillShade="D9"/>
            <w:vAlign w:val="center"/>
          </w:tcPr>
          <w:p w14:paraId="5E64394B" w14:textId="524EF8E9" w:rsidR="00E77585" w:rsidRPr="001848DD" w:rsidRDefault="00E77585" w:rsidP="0030303B">
            <w:pPr>
              <w:pStyle w:val="DeptBullets"/>
              <w:numPr>
                <w:ilvl w:val="0"/>
                <w:numId w:val="0"/>
              </w:numPr>
              <w:spacing w:after="120"/>
              <w:jc w:val="center"/>
              <w:rPr>
                <w:rFonts w:cs="Arial"/>
                <w:b/>
                <w:bCs/>
                <w:szCs w:val="24"/>
              </w:rPr>
            </w:pPr>
            <w:r w:rsidRPr="001848DD">
              <w:rPr>
                <w:rFonts w:cs="Arial"/>
                <w:b/>
                <w:bCs/>
                <w:szCs w:val="24"/>
              </w:rPr>
              <w:t>Where can I find this data</w:t>
            </w:r>
          </w:p>
        </w:tc>
        <w:tc>
          <w:tcPr>
            <w:tcW w:w="438" w:type="pct"/>
            <w:vMerge w:val="restart"/>
            <w:shd w:val="clear" w:color="auto" w:fill="D9D9D9" w:themeFill="background1" w:themeFillShade="D9"/>
            <w:vAlign w:val="center"/>
          </w:tcPr>
          <w:p w14:paraId="058167B4" w14:textId="6AE96208" w:rsidR="00E77585" w:rsidRPr="001848DD" w:rsidRDefault="00E77585" w:rsidP="00E77585">
            <w:pPr>
              <w:pStyle w:val="DeptBullets"/>
              <w:numPr>
                <w:ilvl w:val="0"/>
                <w:numId w:val="0"/>
              </w:numPr>
              <w:spacing w:after="120"/>
              <w:jc w:val="center"/>
              <w:rPr>
                <w:rFonts w:cs="Arial"/>
                <w:b/>
                <w:bCs/>
                <w:szCs w:val="24"/>
              </w:rPr>
            </w:pPr>
            <w:r w:rsidRPr="001848DD">
              <w:rPr>
                <w:rFonts w:cs="Arial"/>
                <w:b/>
                <w:bCs/>
                <w:szCs w:val="24"/>
              </w:rPr>
              <w:t>Will this lead to meaningful action</w:t>
            </w:r>
          </w:p>
        </w:tc>
        <w:tc>
          <w:tcPr>
            <w:tcW w:w="438" w:type="pct"/>
            <w:vMerge w:val="restart"/>
            <w:shd w:val="clear" w:color="auto" w:fill="D9D9D9" w:themeFill="background1" w:themeFillShade="D9"/>
            <w:vAlign w:val="center"/>
          </w:tcPr>
          <w:p w14:paraId="1340E47A" w14:textId="6A241689" w:rsidR="00E77585" w:rsidRPr="001848DD" w:rsidRDefault="00E77585" w:rsidP="00BA2AA2">
            <w:pPr>
              <w:pStyle w:val="DeptBullets"/>
              <w:numPr>
                <w:ilvl w:val="0"/>
                <w:numId w:val="0"/>
              </w:numPr>
              <w:spacing w:after="120"/>
              <w:jc w:val="center"/>
              <w:rPr>
                <w:rFonts w:cs="Arial"/>
                <w:b/>
                <w:bCs/>
                <w:szCs w:val="24"/>
              </w:rPr>
            </w:pPr>
            <w:r w:rsidRPr="001848DD">
              <w:rPr>
                <w:rFonts w:cs="Arial"/>
                <w:b/>
                <w:bCs/>
                <w:szCs w:val="24"/>
              </w:rPr>
              <w:t>Is this data already available</w:t>
            </w:r>
          </w:p>
        </w:tc>
        <w:tc>
          <w:tcPr>
            <w:tcW w:w="438" w:type="pct"/>
            <w:vMerge w:val="restart"/>
            <w:shd w:val="clear" w:color="auto" w:fill="D9D9D9" w:themeFill="background1" w:themeFillShade="D9"/>
            <w:vAlign w:val="center"/>
          </w:tcPr>
          <w:p w14:paraId="3B89E48D" w14:textId="0B284A80" w:rsidR="00E77585" w:rsidRPr="001848DD" w:rsidRDefault="00E77585" w:rsidP="00BA2AA2">
            <w:pPr>
              <w:pStyle w:val="DeptBullets"/>
              <w:numPr>
                <w:ilvl w:val="0"/>
                <w:numId w:val="0"/>
              </w:numPr>
              <w:spacing w:after="120"/>
              <w:jc w:val="center"/>
              <w:rPr>
                <w:rFonts w:cs="Arial"/>
                <w:b/>
                <w:bCs/>
                <w:szCs w:val="24"/>
              </w:rPr>
            </w:pPr>
            <w:r w:rsidRPr="001848DD">
              <w:rPr>
                <w:rFonts w:cs="Arial"/>
                <w:b/>
                <w:bCs/>
                <w:szCs w:val="24"/>
              </w:rPr>
              <w:t>Is this realistic to collect</w:t>
            </w:r>
          </w:p>
        </w:tc>
        <w:tc>
          <w:tcPr>
            <w:tcW w:w="808" w:type="pct"/>
            <w:gridSpan w:val="2"/>
            <w:shd w:val="clear" w:color="auto" w:fill="D9D9D9" w:themeFill="background1" w:themeFillShade="D9"/>
            <w:vAlign w:val="center"/>
          </w:tcPr>
          <w:p w14:paraId="265261A0" w14:textId="2FFC52F2" w:rsidR="00E77585" w:rsidRPr="001848DD" w:rsidRDefault="00E77585" w:rsidP="00BA2AA2">
            <w:pPr>
              <w:pStyle w:val="DeptBullets"/>
              <w:numPr>
                <w:ilvl w:val="0"/>
                <w:numId w:val="0"/>
              </w:numPr>
              <w:spacing w:after="120"/>
              <w:jc w:val="center"/>
              <w:rPr>
                <w:rFonts w:cs="Arial"/>
                <w:b/>
                <w:bCs/>
                <w:szCs w:val="24"/>
              </w:rPr>
            </w:pPr>
            <w:r w:rsidRPr="001848DD">
              <w:rPr>
                <w:rFonts w:cs="Arial"/>
                <w:b/>
                <w:bCs/>
                <w:szCs w:val="24"/>
              </w:rPr>
              <w:t xml:space="preserve">Can we use this to compare </w:t>
            </w:r>
          </w:p>
        </w:tc>
      </w:tr>
      <w:tr w:rsidR="00E77585" w:rsidRPr="001848DD" w14:paraId="78D0EC87" w14:textId="77777777" w:rsidTr="00FA0A05">
        <w:trPr>
          <w:trHeight w:val="711"/>
          <w:tblHeader/>
        </w:trPr>
        <w:tc>
          <w:tcPr>
            <w:tcW w:w="1104" w:type="pct"/>
            <w:gridSpan w:val="2"/>
            <w:vMerge/>
            <w:shd w:val="clear" w:color="auto" w:fill="D9D9D9" w:themeFill="background1" w:themeFillShade="D9"/>
            <w:vAlign w:val="center"/>
          </w:tcPr>
          <w:p w14:paraId="2A18D50F" w14:textId="672A6E0A" w:rsidR="00E77585" w:rsidRPr="001848DD" w:rsidRDefault="00E77585" w:rsidP="0030303B">
            <w:pPr>
              <w:pStyle w:val="DeptBullets"/>
              <w:numPr>
                <w:ilvl w:val="0"/>
                <w:numId w:val="0"/>
              </w:numPr>
              <w:spacing w:after="120"/>
              <w:rPr>
                <w:rFonts w:cs="Arial"/>
                <w:b/>
                <w:bCs/>
                <w:szCs w:val="24"/>
              </w:rPr>
            </w:pPr>
          </w:p>
        </w:tc>
        <w:tc>
          <w:tcPr>
            <w:tcW w:w="1012" w:type="pct"/>
            <w:vMerge/>
            <w:shd w:val="clear" w:color="auto" w:fill="D9D9D9" w:themeFill="background1" w:themeFillShade="D9"/>
            <w:vAlign w:val="center"/>
          </w:tcPr>
          <w:p w14:paraId="15B27BA4" w14:textId="77777777" w:rsidR="00E77585" w:rsidRPr="001848DD" w:rsidRDefault="00E77585" w:rsidP="00BA2AA2">
            <w:pPr>
              <w:pStyle w:val="DeptBullets"/>
              <w:numPr>
                <w:ilvl w:val="0"/>
                <w:numId w:val="0"/>
              </w:numPr>
              <w:spacing w:after="120"/>
              <w:jc w:val="center"/>
              <w:rPr>
                <w:rFonts w:cs="Arial"/>
                <w:b/>
                <w:bCs/>
                <w:szCs w:val="24"/>
              </w:rPr>
            </w:pPr>
          </w:p>
        </w:tc>
        <w:tc>
          <w:tcPr>
            <w:tcW w:w="762" w:type="pct"/>
            <w:vMerge/>
            <w:shd w:val="clear" w:color="auto" w:fill="D9D9D9" w:themeFill="background1" w:themeFillShade="D9"/>
          </w:tcPr>
          <w:p w14:paraId="297308FC" w14:textId="77777777" w:rsidR="00E77585" w:rsidRPr="001848DD" w:rsidRDefault="00E77585" w:rsidP="00BA2AA2">
            <w:pPr>
              <w:pStyle w:val="DeptBullets"/>
              <w:numPr>
                <w:ilvl w:val="0"/>
                <w:numId w:val="0"/>
              </w:numPr>
              <w:spacing w:after="120"/>
              <w:jc w:val="center"/>
              <w:rPr>
                <w:rFonts w:cs="Arial"/>
                <w:b/>
                <w:bCs/>
                <w:szCs w:val="24"/>
              </w:rPr>
            </w:pPr>
          </w:p>
        </w:tc>
        <w:tc>
          <w:tcPr>
            <w:tcW w:w="438" w:type="pct"/>
            <w:vMerge/>
            <w:shd w:val="clear" w:color="auto" w:fill="D9D9D9" w:themeFill="background1" w:themeFillShade="D9"/>
          </w:tcPr>
          <w:p w14:paraId="1317768E" w14:textId="77777777" w:rsidR="00E77585" w:rsidRPr="001848DD" w:rsidRDefault="00E77585" w:rsidP="00BA2AA2">
            <w:pPr>
              <w:pStyle w:val="DeptBullets"/>
              <w:numPr>
                <w:ilvl w:val="0"/>
                <w:numId w:val="0"/>
              </w:numPr>
              <w:spacing w:after="120"/>
              <w:jc w:val="center"/>
              <w:rPr>
                <w:rFonts w:cs="Arial"/>
                <w:b/>
                <w:bCs/>
                <w:szCs w:val="24"/>
              </w:rPr>
            </w:pPr>
          </w:p>
        </w:tc>
        <w:tc>
          <w:tcPr>
            <w:tcW w:w="438" w:type="pct"/>
            <w:vMerge/>
            <w:shd w:val="clear" w:color="auto" w:fill="D9D9D9" w:themeFill="background1" w:themeFillShade="D9"/>
            <w:vAlign w:val="center"/>
          </w:tcPr>
          <w:p w14:paraId="7B3DF839" w14:textId="50742760" w:rsidR="00E77585" w:rsidRPr="001848DD" w:rsidRDefault="00E77585" w:rsidP="00BA2AA2">
            <w:pPr>
              <w:pStyle w:val="DeptBullets"/>
              <w:numPr>
                <w:ilvl w:val="0"/>
                <w:numId w:val="0"/>
              </w:numPr>
              <w:spacing w:after="120"/>
              <w:jc w:val="center"/>
              <w:rPr>
                <w:rFonts w:cs="Arial"/>
                <w:b/>
                <w:bCs/>
                <w:szCs w:val="24"/>
              </w:rPr>
            </w:pPr>
          </w:p>
        </w:tc>
        <w:tc>
          <w:tcPr>
            <w:tcW w:w="438" w:type="pct"/>
            <w:vMerge/>
            <w:shd w:val="clear" w:color="auto" w:fill="D9D9D9" w:themeFill="background1" w:themeFillShade="D9"/>
            <w:vAlign w:val="center"/>
          </w:tcPr>
          <w:p w14:paraId="1368A503" w14:textId="77777777" w:rsidR="00E77585" w:rsidRPr="001848DD" w:rsidRDefault="00E77585" w:rsidP="00BA2AA2">
            <w:pPr>
              <w:pStyle w:val="DeptBullets"/>
              <w:numPr>
                <w:ilvl w:val="0"/>
                <w:numId w:val="0"/>
              </w:numPr>
              <w:spacing w:after="120"/>
              <w:jc w:val="center"/>
              <w:rPr>
                <w:rFonts w:cs="Arial"/>
                <w:b/>
                <w:bCs/>
                <w:szCs w:val="24"/>
              </w:rPr>
            </w:pPr>
          </w:p>
        </w:tc>
        <w:tc>
          <w:tcPr>
            <w:tcW w:w="384" w:type="pct"/>
            <w:shd w:val="clear" w:color="auto" w:fill="D9D9D9" w:themeFill="background1" w:themeFillShade="D9"/>
            <w:vAlign w:val="center"/>
          </w:tcPr>
          <w:p w14:paraId="7BCFEF9F" w14:textId="2E14DC61" w:rsidR="00E77585" w:rsidRPr="001848DD" w:rsidRDefault="00E77585" w:rsidP="00BA2AA2">
            <w:pPr>
              <w:pStyle w:val="DeptBullets"/>
              <w:numPr>
                <w:ilvl w:val="0"/>
                <w:numId w:val="0"/>
              </w:numPr>
              <w:spacing w:after="120"/>
              <w:jc w:val="center"/>
              <w:rPr>
                <w:rFonts w:cs="Arial"/>
                <w:b/>
                <w:bCs/>
                <w:szCs w:val="24"/>
              </w:rPr>
            </w:pPr>
            <w:r w:rsidRPr="001848DD">
              <w:rPr>
                <w:rFonts w:cs="Arial"/>
                <w:b/>
                <w:bCs/>
                <w:szCs w:val="24"/>
              </w:rPr>
              <w:t xml:space="preserve">different buildings in our estate </w:t>
            </w:r>
          </w:p>
        </w:tc>
        <w:tc>
          <w:tcPr>
            <w:tcW w:w="424" w:type="pct"/>
            <w:shd w:val="clear" w:color="auto" w:fill="D9D9D9" w:themeFill="background1" w:themeFillShade="D9"/>
          </w:tcPr>
          <w:p w14:paraId="7328A1B7" w14:textId="71573CCB" w:rsidR="00E77585" w:rsidRPr="001848DD" w:rsidRDefault="00E77585" w:rsidP="00BA2AA2">
            <w:pPr>
              <w:pStyle w:val="DeptBullets"/>
              <w:numPr>
                <w:ilvl w:val="0"/>
                <w:numId w:val="0"/>
              </w:numPr>
              <w:spacing w:after="120"/>
              <w:jc w:val="center"/>
              <w:rPr>
                <w:rFonts w:cs="Arial"/>
                <w:b/>
                <w:bCs/>
                <w:szCs w:val="24"/>
              </w:rPr>
            </w:pPr>
            <w:r w:rsidRPr="001848DD">
              <w:rPr>
                <w:rFonts w:cs="Arial"/>
                <w:b/>
                <w:bCs/>
                <w:szCs w:val="24"/>
              </w:rPr>
              <w:t>with other organisations</w:t>
            </w:r>
          </w:p>
        </w:tc>
      </w:tr>
      <w:tr w:rsidR="00FA0A05" w:rsidRPr="001848DD" w14:paraId="13622AFA" w14:textId="417809FF" w:rsidTr="00447376">
        <w:tc>
          <w:tcPr>
            <w:tcW w:w="130" w:type="pct"/>
            <w:vAlign w:val="center"/>
          </w:tcPr>
          <w:p w14:paraId="511ACED2" w14:textId="36F32AD9" w:rsidR="00FA0A05" w:rsidRPr="001848DD" w:rsidRDefault="00FA0A05" w:rsidP="00401313">
            <w:pPr>
              <w:pStyle w:val="DeptBullets"/>
              <w:numPr>
                <w:ilvl w:val="0"/>
                <w:numId w:val="0"/>
              </w:numPr>
              <w:rPr>
                <w:rFonts w:cs="Arial"/>
                <w:szCs w:val="24"/>
              </w:rPr>
            </w:pPr>
            <w:r w:rsidRPr="001848DD">
              <w:rPr>
                <w:rFonts w:cs="Arial"/>
                <w:szCs w:val="24"/>
              </w:rPr>
              <w:t>1</w:t>
            </w:r>
          </w:p>
        </w:tc>
        <w:tc>
          <w:tcPr>
            <w:tcW w:w="974" w:type="pct"/>
            <w:vAlign w:val="center"/>
          </w:tcPr>
          <w:p w14:paraId="59FB1175" w14:textId="77D21273" w:rsidR="00FA0A05" w:rsidRPr="001848DD" w:rsidRDefault="00FA0A05" w:rsidP="00401313">
            <w:pPr>
              <w:pStyle w:val="DeptBullets"/>
              <w:numPr>
                <w:ilvl w:val="0"/>
                <w:numId w:val="0"/>
              </w:numPr>
              <w:rPr>
                <w:rFonts w:cs="Arial"/>
                <w:szCs w:val="24"/>
              </w:rPr>
            </w:pPr>
            <w:r w:rsidRPr="001848DD">
              <w:rPr>
                <w:rFonts w:cs="Arial"/>
                <w:szCs w:val="24"/>
              </w:rPr>
              <w:t>Property occupation costs per sqm</w:t>
            </w:r>
          </w:p>
        </w:tc>
        <w:tc>
          <w:tcPr>
            <w:tcW w:w="1012" w:type="pct"/>
            <w:vAlign w:val="center"/>
          </w:tcPr>
          <w:p w14:paraId="71E7E60D" w14:textId="77777777" w:rsidR="00FA0A05" w:rsidRPr="001848DD" w:rsidRDefault="00FA0A05" w:rsidP="00F17949">
            <w:pPr>
              <w:pStyle w:val="DeptBullets"/>
              <w:numPr>
                <w:ilvl w:val="0"/>
                <w:numId w:val="0"/>
              </w:numPr>
              <w:spacing w:after="120"/>
              <w:rPr>
                <w:rFonts w:cs="Arial"/>
                <w:szCs w:val="24"/>
              </w:rPr>
            </w:pPr>
            <w:r w:rsidRPr="001848DD">
              <w:rPr>
                <w:rFonts w:cs="Arial"/>
                <w:szCs w:val="24"/>
              </w:rPr>
              <w:t>Floor areas of all buildings</w:t>
            </w:r>
          </w:p>
          <w:p w14:paraId="03743F90" w14:textId="275CB2DB" w:rsidR="00FA0A05" w:rsidRPr="001848DD" w:rsidRDefault="00FA0A05" w:rsidP="00F17949">
            <w:pPr>
              <w:pStyle w:val="DeptBullets"/>
              <w:numPr>
                <w:ilvl w:val="0"/>
                <w:numId w:val="0"/>
              </w:numPr>
              <w:spacing w:after="120"/>
              <w:rPr>
                <w:rFonts w:cs="Arial"/>
                <w:szCs w:val="24"/>
              </w:rPr>
            </w:pPr>
            <w:r w:rsidRPr="001848DD">
              <w:rPr>
                <w:rFonts w:cs="Arial"/>
                <w:szCs w:val="24"/>
              </w:rPr>
              <w:t>Occupation costs for all buildings</w:t>
            </w:r>
          </w:p>
        </w:tc>
        <w:tc>
          <w:tcPr>
            <w:tcW w:w="762" w:type="pct"/>
            <w:vMerge w:val="restart"/>
            <w:vAlign w:val="center"/>
          </w:tcPr>
          <w:p w14:paraId="6B06D22F" w14:textId="6C368C8F" w:rsidR="00FA0A05" w:rsidRPr="001848DD" w:rsidRDefault="00FA0A05" w:rsidP="00447376">
            <w:pPr>
              <w:pStyle w:val="DeptBullets"/>
              <w:numPr>
                <w:ilvl w:val="0"/>
                <w:numId w:val="0"/>
              </w:numPr>
              <w:spacing w:after="120"/>
              <w:rPr>
                <w:rFonts w:cs="Arial"/>
                <w:szCs w:val="24"/>
              </w:rPr>
            </w:pPr>
            <w:r w:rsidRPr="001848DD">
              <w:rPr>
                <w:rFonts w:cs="Arial"/>
                <w:szCs w:val="24"/>
              </w:rPr>
              <w:t>Condition survey</w:t>
            </w:r>
            <w:r w:rsidR="00810C01" w:rsidRPr="001848DD">
              <w:rPr>
                <w:rFonts w:cs="Arial"/>
                <w:szCs w:val="24"/>
              </w:rPr>
              <w:t>s</w:t>
            </w:r>
            <w:r w:rsidRPr="001848DD">
              <w:rPr>
                <w:rFonts w:cs="Arial"/>
                <w:szCs w:val="24"/>
              </w:rPr>
              <w:t>, scaled plans, budget headings, Schools Financial Benchmarking</w:t>
            </w:r>
          </w:p>
        </w:tc>
        <w:tc>
          <w:tcPr>
            <w:tcW w:w="438" w:type="pct"/>
          </w:tcPr>
          <w:p w14:paraId="59C5FCE8" w14:textId="77777777" w:rsidR="00FA0A05" w:rsidRPr="001848DD" w:rsidRDefault="00FA0A05" w:rsidP="008607C4">
            <w:pPr>
              <w:pStyle w:val="DeptBullets"/>
              <w:numPr>
                <w:ilvl w:val="0"/>
                <w:numId w:val="0"/>
              </w:numPr>
              <w:rPr>
                <w:rFonts w:cs="Arial"/>
                <w:szCs w:val="24"/>
              </w:rPr>
            </w:pPr>
          </w:p>
        </w:tc>
        <w:tc>
          <w:tcPr>
            <w:tcW w:w="438" w:type="pct"/>
          </w:tcPr>
          <w:p w14:paraId="0FD989F4" w14:textId="062BCF8D" w:rsidR="00FA0A05" w:rsidRPr="001848DD" w:rsidRDefault="00FA0A05" w:rsidP="008607C4">
            <w:pPr>
              <w:pStyle w:val="DeptBullets"/>
              <w:numPr>
                <w:ilvl w:val="0"/>
                <w:numId w:val="0"/>
              </w:numPr>
              <w:rPr>
                <w:rFonts w:cs="Arial"/>
                <w:szCs w:val="24"/>
              </w:rPr>
            </w:pPr>
          </w:p>
        </w:tc>
        <w:tc>
          <w:tcPr>
            <w:tcW w:w="438" w:type="pct"/>
          </w:tcPr>
          <w:p w14:paraId="278DFDF4" w14:textId="77777777" w:rsidR="00FA0A05" w:rsidRPr="001848DD" w:rsidRDefault="00FA0A05" w:rsidP="008607C4">
            <w:pPr>
              <w:pStyle w:val="DeptBullets"/>
              <w:numPr>
                <w:ilvl w:val="0"/>
                <w:numId w:val="0"/>
              </w:numPr>
              <w:rPr>
                <w:rFonts w:cs="Arial"/>
                <w:szCs w:val="24"/>
              </w:rPr>
            </w:pPr>
          </w:p>
        </w:tc>
        <w:tc>
          <w:tcPr>
            <w:tcW w:w="384" w:type="pct"/>
          </w:tcPr>
          <w:p w14:paraId="757B39B7" w14:textId="77777777" w:rsidR="00FA0A05" w:rsidRPr="001848DD" w:rsidRDefault="00FA0A05" w:rsidP="008607C4">
            <w:pPr>
              <w:pStyle w:val="DeptBullets"/>
              <w:numPr>
                <w:ilvl w:val="0"/>
                <w:numId w:val="0"/>
              </w:numPr>
              <w:rPr>
                <w:rFonts w:cs="Arial"/>
                <w:szCs w:val="24"/>
              </w:rPr>
            </w:pPr>
          </w:p>
        </w:tc>
        <w:tc>
          <w:tcPr>
            <w:tcW w:w="424" w:type="pct"/>
          </w:tcPr>
          <w:p w14:paraId="3524516E" w14:textId="77777777" w:rsidR="00FA0A05" w:rsidRPr="001848DD" w:rsidRDefault="00FA0A05" w:rsidP="008607C4">
            <w:pPr>
              <w:pStyle w:val="DeptBullets"/>
              <w:numPr>
                <w:ilvl w:val="0"/>
                <w:numId w:val="0"/>
              </w:numPr>
              <w:rPr>
                <w:rFonts w:cs="Arial"/>
                <w:szCs w:val="24"/>
              </w:rPr>
            </w:pPr>
          </w:p>
        </w:tc>
      </w:tr>
      <w:tr w:rsidR="00FA0A05" w:rsidRPr="001848DD" w14:paraId="146B424A" w14:textId="4D54C1FA" w:rsidTr="00447376">
        <w:tc>
          <w:tcPr>
            <w:tcW w:w="130" w:type="pct"/>
            <w:vAlign w:val="center"/>
          </w:tcPr>
          <w:p w14:paraId="39C0FCEB" w14:textId="29BF852D" w:rsidR="00FA0A05" w:rsidRPr="001848DD" w:rsidRDefault="00FA0A05" w:rsidP="00401313">
            <w:pPr>
              <w:pStyle w:val="DeptBullets"/>
              <w:numPr>
                <w:ilvl w:val="0"/>
                <w:numId w:val="0"/>
              </w:numPr>
              <w:rPr>
                <w:rFonts w:cs="Arial"/>
                <w:szCs w:val="24"/>
              </w:rPr>
            </w:pPr>
            <w:r w:rsidRPr="001848DD">
              <w:rPr>
                <w:rFonts w:cs="Arial"/>
                <w:szCs w:val="24"/>
              </w:rPr>
              <w:t>2</w:t>
            </w:r>
          </w:p>
        </w:tc>
        <w:tc>
          <w:tcPr>
            <w:tcW w:w="974" w:type="pct"/>
            <w:vAlign w:val="center"/>
          </w:tcPr>
          <w:p w14:paraId="38177849" w14:textId="0C7D30AC" w:rsidR="00FA0A05" w:rsidRPr="001848DD" w:rsidRDefault="00FA0A05" w:rsidP="00401313">
            <w:pPr>
              <w:pStyle w:val="DeptBullets"/>
              <w:numPr>
                <w:ilvl w:val="0"/>
                <w:numId w:val="0"/>
              </w:numPr>
              <w:rPr>
                <w:rFonts w:cs="Arial"/>
                <w:szCs w:val="24"/>
              </w:rPr>
            </w:pPr>
            <w:r w:rsidRPr="001848DD">
              <w:rPr>
                <w:rFonts w:cs="Arial"/>
                <w:szCs w:val="24"/>
              </w:rPr>
              <w:t>Property occupation costs as a proportion of budget</w:t>
            </w:r>
          </w:p>
        </w:tc>
        <w:tc>
          <w:tcPr>
            <w:tcW w:w="1012" w:type="pct"/>
            <w:vAlign w:val="center"/>
          </w:tcPr>
          <w:p w14:paraId="415A902B" w14:textId="77777777" w:rsidR="00FA0A05" w:rsidRPr="001848DD" w:rsidRDefault="00FA0A05" w:rsidP="00F17949">
            <w:pPr>
              <w:pStyle w:val="DeptBullets"/>
              <w:numPr>
                <w:ilvl w:val="0"/>
                <w:numId w:val="0"/>
              </w:numPr>
              <w:spacing w:after="120"/>
              <w:rPr>
                <w:rFonts w:cs="Arial"/>
                <w:szCs w:val="24"/>
              </w:rPr>
            </w:pPr>
            <w:r w:rsidRPr="001848DD">
              <w:rPr>
                <w:rFonts w:cs="Arial"/>
                <w:szCs w:val="24"/>
              </w:rPr>
              <w:t>Running costs for the estate</w:t>
            </w:r>
          </w:p>
          <w:p w14:paraId="173C15B2" w14:textId="71B6CA0F" w:rsidR="00FA0A05" w:rsidRPr="001848DD" w:rsidRDefault="00FA0A05" w:rsidP="00F17949">
            <w:pPr>
              <w:pStyle w:val="DeptBullets"/>
              <w:numPr>
                <w:ilvl w:val="0"/>
                <w:numId w:val="0"/>
              </w:numPr>
              <w:spacing w:after="120"/>
              <w:rPr>
                <w:rFonts w:cs="Arial"/>
                <w:szCs w:val="24"/>
              </w:rPr>
            </w:pPr>
            <w:r w:rsidRPr="001848DD">
              <w:rPr>
                <w:rFonts w:cs="Arial"/>
                <w:szCs w:val="24"/>
              </w:rPr>
              <w:t>The total budget for the [</w:t>
            </w:r>
            <w:r w:rsidRPr="001848DD">
              <w:rPr>
                <w:rFonts w:cs="Arial"/>
                <w:i/>
                <w:iCs/>
                <w:szCs w:val="24"/>
              </w:rPr>
              <w:t>school</w:t>
            </w:r>
            <w:r w:rsidRPr="001848DD">
              <w:rPr>
                <w:rFonts w:cs="Arial"/>
                <w:szCs w:val="24"/>
              </w:rPr>
              <w:t>]</w:t>
            </w:r>
          </w:p>
        </w:tc>
        <w:tc>
          <w:tcPr>
            <w:tcW w:w="762" w:type="pct"/>
            <w:vMerge/>
            <w:vAlign w:val="center"/>
          </w:tcPr>
          <w:p w14:paraId="2932C44E" w14:textId="181FE303" w:rsidR="00FA0A05" w:rsidRPr="001848DD" w:rsidRDefault="00FA0A05" w:rsidP="00447376">
            <w:pPr>
              <w:pStyle w:val="DeptBullets"/>
              <w:numPr>
                <w:ilvl w:val="0"/>
                <w:numId w:val="0"/>
              </w:numPr>
              <w:spacing w:after="120"/>
              <w:rPr>
                <w:rFonts w:cs="Arial"/>
                <w:szCs w:val="24"/>
              </w:rPr>
            </w:pPr>
          </w:p>
        </w:tc>
        <w:tc>
          <w:tcPr>
            <w:tcW w:w="438" w:type="pct"/>
          </w:tcPr>
          <w:p w14:paraId="3BF12F29" w14:textId="77777777" w:rsidR="00FA0A05" w:rsidRPr="001848DD" w:rsidRDefault="00FA0A05" w:rsidP="008607C4">
            <w:pPr>
              <w:pStyle w:val="DeptBullets"/>
              <w:numPr>
                <w:ilvl w:val="0"/>
                <w:numId w:val="0"/>
              </w:numPr>
              <w:rPr>
                <w:rFonts w:cs="Arial"/>
                <w:szCs w:val="24"/>
              </w:rPr>
            </w:pPr>
          </w:p>
        </w:tc>
        <w:tc>
          <w:tcPr>
            <w:tcW w:w="438" w:type="pct"/>
          </w:tcPr>
          <w:p w14:paraId="776E5C96" w14:textId="1B844253" w:rsidR="00FA0A05" w:rsidRPr="001848DD" w:rsidRDefault="00FA0A05" w:rsidP="008607C4">
            <w:pPr>
              <w:pStyle w:val="DeptBullets"/>
              <w:numPr>
                <w:ilvl w:val="0"/>
                <w:numId w:val="0"/>
              </w:numPr>
              <w:rPr>
                <w:rFonts w:cs="Arial"/>
                <w:szCs w:val="24"/>
              </w:rPr>
            </w:pPr>
          </w:p>
        </w:tc>
        <w:tc>
          <w:tcPr>
            <w:tcW w:w="438" w:type="pct"/>
          </w:tcPr>
          <w:p w14:paraId="5FE2DF0D" w14:textId="77777777" w:rsidR="00FA0A05" w:rsidRPr="001848DD" w:rsidRDefault="00FA0A05" w:rsidP="008607C4">
            <w:pPr>
              <w:pStyle w:val="DeptBullets"/>
              <w:numPr>
                <w:ilvl w:val="0"/>
                <w:numId w:val="0"/>
              </w:numPr>
              <w:rPr>
                <w:rFonts w:cs="Arial"/>
                <w:szCs w:val="24"/>
              </w:rPr>
            </w:pPr>
          </w:p>
        </w:tc>
        <w:tc>
          <w:tcPr>
            <w:tcW w:w="384" w:type="pct"/>
          </w:tcPr>
          <w:p w14:paraId="4C0FC7A7" w14:textId="77777777" w:rsidR="00FA0A05" w:rsidRPr="001848DD" w:rsidRDefault="00FA0A05" w:rsidP="008607C4">
            <w:pPr>
              <w:pStyle w:val="DeptBullets"/>
              <w:numPr>
                <w:ilvl w:val="0"/>
                <w:numId w:val="0"/>
              </w:numPr>
              <w:rPr>
                <w:rFonts w:cs="Arial"/>
                <w:szCs w:val="24"/>
              </w:rPr>
            </w:pPr>
          </w:p>
        </w:tc>
        <w:tc>
          <w:tcPr>
            <w:tcW w:w="424" w:type="pct"/>
          </w:tcPr>
          <w:p w14:paraId="47A26591" w14:textId="77777777" w:rsidR="00FA0A05" w:rsidRPr="001848DD" w:rsidRDefault="00FA0A05" w:rsidP="008607C4">
            <w:pPr>
              <w:pStyle w:val="DeptBullets"/>
              <w:numPr>
                <w:ilvl w:val="0"/>
                <w:numId w:val="0"/>
              </w:numPr>
              <w:rPr>
                <w:rFonts w:cs="Arial"/>
                <w:szCs w:val="24"/>
              </w:rPr>
            </w:pPr>
          </w:p>
        </w:tc>
      </w:tr>
      <w:tr w:rsidR="00E77585" w:rsidRPr="001848DD" w14:paraId="0A64D0FE" w14:textId="3C1F4C09" w:rsidTr="00447376">
        <w:tc>
          <w:tcPr>
            <w:tcW w:w="130" w:type="pct"/>
            <w:vAlign w:val="center"/>
          </w:tcPr>
          <w:p w14:paraId="7327835B" w14:textId="3364C79F" w:rsidR="00E77585" w:rsidRPr="001848DD" w:rsidRDefault="00E77585" w:rsidP="00401313">
            <w:pPr>
              <w:pStyle w:val="DeptBullets"/>
              <w:numPr>
                <w:ilvl w:val="0"/>
                <w:numId w:val="0"/>
              </w:numPr>
              <w:rPr>
                <w:rFonts w:cs="Arial"/>
                <w:szCs w:val="24"/>
              </w:rPr>
            </w:pPr>
            <w:r w:rsidRPr="001848DD">
              <w:rPr>
                <w:rFonts w:cs="Arial"/>
                <w:szCs w:val="24"/>
              </w:rPr>
              <w:t>3</w:t>
            </w:r>
          </w:p>
        </w:tc>
        <w:tc>
          <w:tcPr>
            <w:tcW w:w="974" w:type="pct"/>
            <w:vAlign w:val="center"/>
          </w:tcPr>
          <w:p w14:paraId="71DAC495" w14:textId="3BB39352" w:rsidR="00E77585" w:rsidRPr="001848DD" w:rsidRDefault="00E77585" w:rsidP="00401313">
            <w:pPr>
              <w:pStyle w:val="DeptBullets"/>
              <w:numPr>
                <w:ilvl w:val="0"/>
                <w:numId w:val="0"/>
              </w:numPr>
              <w:spacing w:after="0"/>
              <w:rPr>
                <w:rFonts w:cs="Arial"/>
                <w:szCs w:val="24"/>
              </w:rPr>
            </w:pPr>
            <w:r w:rsidRPr="001848DD">
              <w:rPr>
                <w:rFonts w:cs="Arial"/>
                <w:szCs w:val="24"/>
              </w:rPr>
              <w:t>Condition - % of estate in condition categories (A-D)</w:t>
            </w:r>
          </w:p>
        </w:tc>
        <w:tc>
          <w:tcPr>
            <w:tcW w:w="1012" w:type="pct"/>
            <w:vMerge w:val="restart"/>
            <w:vAlign w:val="center"/>
          </w:tcPr>
          <w:p w14:paraId="40DFFA9B" w14:textId="62F044C3" w:rsidR="00E77585" w:rsidRPr="001848DD" w:rsidRDefault="00E77585" w:rsidP="00F17949">
            <w:pPr>
              <w:pStyle w:val="DeptBullets"/>
              <w:numPr>
                <w:ilvl w:val="0"/>
                <w:numId w:val="0"/>
              </w:numPr>
              <w:spacing w:after="120"/>
              <w:rPr>
                <w:rFonts w:cs="Arial"/>
                <w:szCs w:val="24"/>
              </w:rPr>
            </w:pPr>
            <w:r w:rsidRPr="001848DD">
              <w:rPr>
                <w:rFonts w:cs="Arial"/>
                <w:szCs w:val="24"/>
              </w:rPr>
              <w:t>Condition surveys for the whole estate (providing the appropriate categorisation)</w:t>
            </w:r>
          </w:p>
          <w:p w14:paraId="166D06D2" w14:textId="10D049EB" w:rsidR="00E77585" w:rsidRPr="001848DD" w:rsidRDefault="00E77585" w:rsidP="00F17949">
            <w:pPr>
              <w:pStyle w:val="DeptBullets"/>
              <w:numPr>
                <w:ilvl w:val="0"/>
                <w:numId w:val="0"/>
              </w:numPr>
              <w:spacing w:after="120"/>
              <w:rPr>
                <w:rFonts w:cs="Arial"/>
                <w:szCs w:val="24"/>
              </w:rPr>
            </w:pPr>
            <w:r w:rsidRPr="001848DD">
              <w:rPr>
                <w:rFonts w:cs="Arial"/>
                <w:szCs w:val="24"/>
              </w:rPr>
              <w:t xml:space="preserve">Floor areas of all buildings </w:t>
            </w:r>
          </w:p>
        </w:tc>
        <w:tc>
          <w:tcPr>
            <w:tcW w:w="762" w:type="pct"/>
            <w:vMerge w:val="restart"/>
            <w:vAlign w:val="center"/>
          </w:tcPr>
          <w:p w14:paraId="2412B82A" w14:textId="321F0CB0" w:rsidR="00E77585" w:rsidRPr="001848DD" w:rsidRDefault="00E77585" w:rsidP="00447376">
            <w:pPr>
              <w:pStyle w:val="DeptBullets"/>
              <w:numPr>
                <w:ilvl w:val="0"/>
                <w:numId w:val="0"/>
              </w:numPr>
              <w:rPr>
                <w:rFonts w:cs="Arial"/>
                <w:szCs w:val="24"/>
              </w:rPr>
            </w:pPr>
            <w:r w:rsidRPr="001848DD">
              <w:rPr>
                <w:rFonts w:cs="Arial"/>
                <w:szCs w:val="24"/>
              </w:rPr>
              <w:t>Condition survey</w:t>
            </w:r>
            <w:r w:rsidR="00810C01" w:rsidRPr="001848DD">
              <w:rPr>
                <w:rFonts w:cs="Arial"/>
                <w:szCs w:val="24"/>
              </w:rPr>
              <w:t>s</w:t>
            </w:r>
            <w:r w:rsidRPr="001848DD">
              <w:rPr>
                <w:rFonts w:cs="Arial"/>
                <w:szCs w:val="24"/>
              </w:rPr>
              <w:t>, scaled plans</w:t>
            </w:r>
          </w:p>
        </w:tc>
        <w:tc>
          <w:tcPr>
            <w:tcW w:w="438" w:type="pct"/>
          </w:tcPr>
          <w:p w14:paraId="758077B2" w14:textId="77777777" w:rsidR="00E77585" w:rsidRPr="001848DD" w:rsidRDefault="00E77585" w:rsidP="008607C4">
            <w:pPr>
              <w:pStyle w:val="DeptBullets"/>
              <w:numPr>
                <w:ilvl w:val="0"/>
                <w:numId w:val="0"/>
              </w:numPr>
              <w:rPr>
                <w:rFonts w:cs="Arial"/>
                <w:szCs w:val="24"/>
              </w:rPr>
            </w:pPr>
          </w:p>
        </w:tc>
        <w:tc>
          <w:tcPr>
            <w:tcW w:w="438" w:type="pct"/>
          </w:tcPr>
          <w:p w14:paraId="70B46EB4" w14:textId="2EAB1CE6" w:rsidR="00E77585" w:rsidRPr="001848DD" w:rsidRDefault="00E77585" w:rsidP="008607C4">
            <w:pPr>
              <w:pStyle w:val="DeptBullets"/>
              <w:numPr>
                <w:ilvl w:val="0"/>
                <w:numId w:val="0"/>
              </w:numPr>
              <w:rPr>
                <w:rFonts w:cs="Arial"/>
                <w:szCs w:val="24"/>
              </w:rPr>
            </w:pPr>
          </w:p>
        </w:tc>
        <w:tc>
          <w:tcPr>
            <w:tcW w:w="438" w:type="pct"/>
          </w:tcPr>
          <w:p w14:paraId="5507E2DB" w14:textId="77777777" w:rsidR="00E77585" w:rsidRPr="001848DD" w:rsidRDefault="00E77585" w:rsidP="008607C4">
            <w:pPr>
              <w:pStyle w:val="DeptBullets"/>
              <w:numPr>
                <w:ilvl w:val="0"/>
                <w:numId w:val="0"/>
              </w:numPr>
              <w:rPr>
                <w:rFonts w:cs="Arial"/>
                <w:szCs w:val="24"/>
              </w:rPr>
            </w:pPr>
          </w:p>
        </w:tc>
        <w:tc>
          <w:tcPr>
            <w:tcW w:w="384" w:type="pct"/>
          </w:tcPr>
          <w:p w14:paraId="749B71AC" w14:textId="77777777" w:rsidR="00E77585" w:rsidRPr="001848DD" w:rsidRDefault="00E77585" w:rsidP="008607C4">
            <w:pPr>
              <w:pStyle w:val="DeptBullets"/>
              <w:numPr>
                <w:ilvl w:val="0"/>
                <w:numId w:val="0"/>
              </w:numPr>
              <w:rPr>
                <w:rFonts w:cs="Arial"/>
                <w:szCs w:val="24"/>
              </w:rPr>
            </w:pPr>
          </w:p>
        </w:tc>
        <w:tc>
          <w:tcPr>
            <w:tcW w:w="424" w:type="pct"/>
          </w:tcPr>
          <w:p w14:paraId="17B4BF60" w14:textId="77777777" w:rsidR="00E77585" w:rsidRPr="001848DD" w:rsidRDefault="00E77585" w:rsidP="008607C4">
            <w:pPr>
              <w:pStyle w:val="DeptBullets"/>
              <w:numPr>
                <w:ilvl w:val="0"/>
                <w:numId w:val="0"/>
              </w:numPr>
              <w:rPr>
                <w:rFonts w:cs="Arial"/>
                <w:szCs w:val="24"/>
              </w:rPr>
            </w:pPr>
          </w:p>
        </w:tc>
      </w:tr>
      <w:tr w:rsidR="00E77585" w:rsidRPr="001848DD" w14:paraId="4F95FD48" w14:textId="0C1E9201" w:rsidTr="00447376">
        <w:tc>
          <w:tcPr>
            <w:tcW w:w="130" w:type="pct"/>
            <w:vAlign w:val="center"/>
          </w:tcPr>
          <w:p w14:paraId="3BAA22F7" w14:textId="3C4AE20C" w:rsidR="00E77585" w:rsidRPr="001848DD" w:rsidRDefault="00E77585" w:rsidP="00401313">
            <w:pPr>
              <w:pStyle w:val="DeptBullets"/>
              <w:numPr>
                <w:ilvl w:val="0"/>
                <w:numId w:val="0"/>
              </w:numPr>
              <w:rPr>
                <w:rFonts w:cs="Arial"/>
                <w:szCs w:val="24"/>
              </w:rPr>
            </w:pPr>
            <w:r w:rsidRPr="001848DD">
              <w:rPr>
                <w:rFonts w:cs="Arial"/>
                <w:szCs w:val="24"/>
              </w:rPr>
              <w:t>4</w:t>
            </w:r>
          </w:p>
        </w:tc>
        <w:tc>
          <w:tcPr>
            <w:tcW w:w="974" w:type="pct"/>
            <w:vAlign w:val="center"/>
          </w:tcPr>
          <w:p w14:paraId="58B25D57" w14:textId="4DE740B4" w:rsidR="00E77585" w:rsidRPr="001848DD" w:rsidRDefault="00E77585" w:rsidP="00401313">
            <w:pPr>
              <w:pStyle w:val="DeptBullets"/>
              <w:numPr>
                <w:ilvl w:val="0"/>
                <w:numId w:val="0"/>
              </w:numPr>
              <w:spacing w:after="0"/>
              <w:rPr>
                <w:rFonts w:cs="Arial"/>
                <w:szCs w:val="24"/>
              </w:rPr>
            </w:pPr>
            <w:r w:rsidRPr="001848DD">
              <w:rPr>
                <w:rFonts w:cs="Arial"/>
                <w:szCs w:val="24"/>
              </w:rPr>
              <w:t>Prioritisation - % of estate in each prioritisation category (1-4)</w:t>
            </w:r>
          </w:p>
        </w:tc>
        <w:tc>
          <w:tcPr>
            <w:tcW w:w="1012" w:type="pct"/>
            <w:vMerge/>
            <w:vAlign w:val="center"/>
          </w:tcPr>
          <w:p w14:paraId="1D0F7553" w14:textId="21B06D00" w:rsidR="00E77585" w:rsidRPr="001848DD" w:rsidRDefault="00E77585" w:rsidP="00F17949">
            <w:pPr>
              <w:pStyle w:val="DeptBullets"/>
              <w:numPr>
                <w:ilvl w:val="0"/>
                <w:numId w:val="0"/>
              </w:numPr>
              <w:spacing w:after="120"/>
              <w:rPr>
                <w:rFonts w:cs="Arial"/>
                <w:szCs w:val="24"/>
              </w:rPr>
            </w:pPr>
          </w:p>
        </w:tc>
        <w:tc>
          <w:tcPr>
            <w:tcW w:w="762" w:type="pct"/>
            <w:vMerge/>
            <w:vAlign w:val="center"/>
          </w:tcPr>
          <w:p w14:paraId="314D64F3" w14:textId="77777777" w:rsidR="00E77585" w:rsidRPr="001848DD" w:rsidRDefault="00E77585" w:rsidP="00447376">
            <w:pPr>
              <w:pStyle w:val="DeptBullets"/>
              <w:numPr>
                <w:ilvl w:val="0"/>
                <w:numId w:val="0"/>
              </w:numPr>
              <w:rPr>
                <w:rFonts w:cs="Arial"/>
                <w:szCs w:val="24"/>
              </w:rPr>
            </w:pPr>
          </w:p>
        </w:tc>
        <w:tc>
          <w:tcPr>
            <w:tcW w:w="438" w:type="pct"/>
          </w:tcPr>
          <w:p w14:paraId="3EBE22A2" w14:textId="77777777" w:rsidR="00E77585" w:rsidRPr="001848DD" w:rsidRDefault="00E77585" w:rsidP="008607C4">
            <w:pPr>
              <w:pStyle w:val="DeptBullets"/>
              <w:numPr>
                <w:ilvl w:val="0"/>
                <w:numId w:val="0"/>
              </w:numPr>
              <w:rPr>
                <w:rFonts w:cs="Arial"/>
                <w:szCs w:val="24"/>
              </w:rPr>
            </w:pPr>
          </w:p>
        </w:tc>
        <w:tc>
          <w:tcPr>
            <w:tcW w:w="438" w:type="pct"/>
          </w:tcPr>
          <w:p w14:paraId="4DB3ADDE" w14:textId="5C7CE731" w:rsidR="00E77585" w:rsidRPr="001848DD" w:rsidRDefault="00E77585" w:rsidP="008607C4">
            <w:pPr>
              <w:pStyle w:val="DeptBullets"/>
              <w:numPr>
                <w:ilvl w:val="0"/>
                <w:numId w:val="0"/>
              </w:numPr>
              <w:rPr>
                <w:rFonts w:cs="Arial"/>
                <w:szCs w:val="24"/>
              </w:rPr>
            </w:pPr>
          </w:p>
        </w:tc>
        <w:tc>
          <w:tcPr>
            <w:tcW w:w="438" w:type="pct"/>
          </w:tcPr>
          <w:p w14:paraId="012200A2" w14:textId="77777777" w:rsidR="00E77585" w:rsidRPr="001848DD" w:rsidRDefault="00E77585" w:rsidP="008607C4">
            <w:pPr>
              <w:pStyle w:val="DeptBullets"/>
              <w:numPr>
                <w:ilvl w:val="0"/>
                <w:numId w:val="0"/>
              </w:numPr>
              <w:rPr>
                <w:rFonts w:cs="Arial"/>
                <w:szCs w:val="24"/>
              </w:rPr>
            </w:pPr>
          </w:p>
        </w:tc>
        <w:tc>
          <w:tcPr>
            <w:tcW w:w="384" w:type="pct"/>
          </w:tcPr>
          <w:p w14:paraId="72089DAD" w14:textId="77777777" w:rsidR="00E77585" w:rsidRPr="001848DD" w:rsidRDefault="00E77585" w:rsidP="008607C4">
            <w:pPr>
              <w:pStyle w:val="DeptBullets"/>
              <w:numPr>
                <w:ilvl w:val="0"/>
                <w:numId w:val="0"/>
              </w:numPr>
              <w:rPr>
                <w:rFonts w:cs="Arial"/>
                <w:szCs w:val="24"/>
              </w:rPr>
            </w:pPr>
          </w:p>
        </w:tc>
        <w:tc>
          <w:tcPr>
            <w:tcW w:w="424" w:type="pct"/>
          </w:tcPr>
          <w:p w14:paraId="0BD3F8D3" w14:textId="77777777" w:rsidR="00E77585" w:rsidRPr="001848DD" w:rsidRDefault="00E77585" w:rsidP="008607C4">
            <w:pPr>
              <w:pStyle w:val="DeptBullets"/>
              <w:numPr>
                <w:ilvl w:val="0"/>
                <w:numId w:val="0"/>
              </w:numPr>
              <w:rPr>
                <w:rFonts w:cs="Arial"/>
                <w:szCs w:val="24"/>
              </w:rPr>
            </w:pPr>
          </w:p>
        </w:tc>
      </w:tr>
      <w:tr w:rsidR="00E77585" w:rsidRPr="001848DD" w14:paraId="1954DA29" w14:textId="5DFD5C91" w:rsidTr="00447376">
        <w:tc>
          <w:tcPr>
            <w:tcW w:w="130" w:type="pct"/>
            <w:vAlign w:val="center"/>
          </w:tcPr>
          <w:p w14:paraId="3458123D" w14:textId="1FCEC48C" w:rsidR="00E77585" w:rsidRPr="001848DD" w:rsidRDefault="00E77585" w:rsidP="00401313">
            <w:pPr>
              <w:pStyle w:val="DeptBullets"/>
              <w:numPr>
                <w:ilvl w:val="0"/>
                <w:numId w:val="0"/>
              </w:numPr>
              <w:rPr>
                <w:rFonts w:cs="Arial"/>
                <w:szCs w:val="24"/>
              </w:rPr>
            </w:pPr>
            <w:r w:rsidRPr="001848DD">
              <w:rPr>
                <w:rFonts w:cs="Arial"/>
                <w:szCs w:val="24"/>
              </w:rPr>
              <w:t>5</w:t>
            </w:r>
          </w:p>
        </w:tc>
        <w:tc>
          <w:tcPr>
            <w:tcW w:w="974" w:type="pct"/>
            <w:vAlign w:val="center"/>
          </w:tcPr>
          <w:p w14:paraId="0F14C19A" w14:textId="090C34F3" w:rsidR="00E77585" w:rsidRPr="001848DD" w:rsidRDefault="00E77585" w:rsidP="00401313">
            <w:pPr>
              <w:pStyle w:val="DeptBullets"/>
              <w:numPr>
                <w:ilvl w:val="0"/>
                <w:numId w:val="0"/>
              </w:numPr>
              <w:spacing w:after="0"/>
              <w:rPr>
                <w:rFonts w:cs="Arial"/>
                <w:szCs w:val="24"/>
              </w:rPr>
            </w:pPr>
            <w:r w:rsidRPr="001848DD">
              <w:rPr>
                <w:rFonts w:cs="Arial"/>
                <w:szCs w:val="24"/>
              </w:rPr>
              <w:t>Proportion of the estate which is statutorily compliant</w:t>
            </w:r>
          </w:p>
        </w:tc>
        <w:tc>
          <w:tcPr>
            <w:tcW w:w="1012" w:type="pct"/>
          </w:tcPr>
          <w:p w14:paraId="3560F620" w14:textId="41F9AAE5" w:rsidR="00E77585" w:rsidRPr="001848DD" w:rsidRDefault="00E77585" w:rsidP="00401313">
            <w:pPr>
              <w:pStyle w:val="DeptBullets"/>
              <w:numPr>
                <w:ilvl w:val="0"/>
                <w:numId w:val="0"/>
              </w:numPr>
              <w:spacing w:after="120"/>
              <w:rPr>
                <w:rFonts w:cs="Arial"/>
                <w:szCs w:val="24"/>
              </w:rPr>
            </w:pPr>
            <w:r w:rsidRPr="001848DD">
              <w:rPr>
                <w:rFonts w:cs="Arial"/>
                <w:szCs w:val="24"/>
              </w:rPr>
              <w:t xml:space="preserve">Compliance assessment of the whole estate </w:t>
            </w:r>
          </w:p>
        </w:tc>
        <w:tc>
          <w:tcPr>
            <w:tcW w:w="762" w:type="pct"/>
            <w:vAlign w:val="center"/>
          </w:tcPr>
          <w:p w14:paraId="3FE3115D" w14:textId="5F1516E4" w:rsidR="00E77585" w:rsidRPr="001848DD" w:rsidRDefault="00E77585" w:rsidP="00447376">
            <w:pPr>
              <w:pStyle w:val="DeptBullets"/>
              <w:numPr>
                <w:ilvl w:val="0"/>
                <w:numId w:val="0"/>
              </w:numPr>
              <w:spacing w:after="120"/>
              <w:rPr>
                <w:rFonts w:cs="Arial"/>
                <w:szCs w:val="24"/>
              </w:rPr>
            </w:pPr>
            <w:r w:rsidRPr="001848DD">
              <w:rPr>
                <w:rFonts w:cs="Arial"/>
                <w:szCs w:val="24"/>
              </w:rPr>
              <w:t>Compliance records for all areas of compliance</w:t>
            </w:r>
          </w:p>
        </w:tc>
        <w:tc>
          <w:tcPr>
            <w:tcW w:w="438" w:type="pct"/>
          </w:tcPr>
          <w:p w14:paraId="7C9B34E4" w14:textId="77777777" w:rsidR="00E77585" w:rsidRPr="001848DD" w:rsidRDefault="00E77585" w:rsidP="008607C4">
            <w:pPr>
              <w:pStyle w:val="DeptBullets"/>
              <w:numPr>
                <w:ilvl w:val="0"/>
                <w:numId w:val="0"/>
              </w:numPr>
              <w:rPr>
                <w:rFonts w:cs="Arial"/>
                <w:szCs w:val="24"/>
              </w:rPr>
            </w:pPr>
          </w:p>
        </w:tc>
        <w:tc>
          <w:tcPr>
            <w:tcW w:w="438" w:type="pct"/>
          </w:tcPr>
          <w:p w14:paraId="2A53F522" w14:textId="1F4386E8" w:rsidR="00E77585" w:rsidRPr="001848DD" w:rsidRDefault="00E77585" w:rsidP="008607C4">
            <w:pPr>
              <w:pStyle w:val="DeptBullets"/>
              <w:numPr>
                <w:ilvl w:val="0"/>
                <w:numId w:val="0"/>
              </w:numPr>
              <w:rPr>
                <w:rFonts w:cs="Arial"/>
                <w:szCs w:val="24"/>
              </w:rPr>
            </w:pPr>
          </w:p>
        </w:tc>
        <w:tc>
          <w:tcPr>
            <w:tcW w:w="438" w:type="pct"/>
          </w:tcPr>
          <w:p w14:paraId="71EFD810" w14:textId="77777777" w:rsidR="00E77585" w:rsidRPr="001848DD" w:rsidRDefault="00E77585" w:rsidP="008607C4">
            <w:pPr>
              <w:pStyle w:val="DeptBullets"/>
              <w:numPr>
                <w:ilvl w:val="0"/>
                <w:numId w:val="0"/>
              </w:numPr>
              <w:rPr>
                <w:rFonts w:cs="Arial"/>
                <w:szCs w:val="24"/>
              </w:rPr>
            </w:pPr>
          </w:p>
        </w:tc>
        <w:tc>
          <w:tcPr>
            <w:tcW w:w="384" w:type="pct"/>
          </w:tcPr>
          <w:p w14:paraId="68C2EEED" w14:textId="77777777" w:rsidR="00E77585" w:rsidRPr="001848DD" w:rsidRDefault="00E77585" w:rsidP="008607C4">
            <w:pPr>
              <w:pStyle w:val="DeptBullets"/>
              <w:numPr>
                <w:ilvl w:val="0"/>
                <w:numId w:val="0"/>
              </w:numPr>
              <w:rPr>
                <w:rFonts w:cs="Arial"/>
                <w:szCs w:val="24"/>
              </w:rPr>
            </w:pPr>
          </w:p>
        </w:tc>
        <w:tc>
          <w:tcPr>
            <w:tcW w:w="424" w:type="pct"/>
          </w:tcPr>
          <w:p w14:paraId="5BD4FD11" w14:textId="77777777" w:rsidR="00E77585" w:rsidRPr="001848DD" w:rsidRDefault="00E77585" w:rsidP="008607C4">
            <w:pPr>
              <w:pStyle w:val="DeptBullets"/>
              <w:numPr>
                <w:ilvl w:val="0"/>
                <w:numId w:val="0"/>
              </w:numPr>
              <w:rPr>
                <w:rFonts w:cs="Arial"/>
                <w:szCs w:val="24"/>
              </w:rPr>
            </w:pPr>
          </w:p>
        </w:tc>
      </w:tr>
      <w:tr w:rsidR="00E77585" w:rsidRPr="001848DD" w14:paraId="71EF99C3" w14:textId="14FD5F94" w:rsidTr="00447376">
        <w:tc>
          <w:tcPr>
            <w:tcW w:w="130" w:type="pct"/>
            <w:vAlign w:val="center"/>
          </w:tcPr>
          <w:p w14:paraId="40BB6A5B" w14:textId="5A56EEB2" w:rsidR="00E77585" w:rsidRPr="001848DD" w:rsidRDefault="00E77585" w:rsidP="00401313">
            <w:pPr>
              <w:pStyle w:val="DeptBullets"/>
              <w:numPr>
                <w:ilvl w:val="0"/>
                <w:numId w:val="0"/>
              </w:numPr>
              <w:rPr>
                <w:rFonts w:cs="Arial"/>
                <w:szCs w:val="24"/>
              </w:rPr>
            </w:pPr>
            <w:r w:rsidRPr="001848DD">
              <w:rPr>
                <w:rFonts w:cs="Arial"/>
                <w:szCs w:val="24"/>
              </w:rPr>
              <w:lastRenderedPageBreak/>
              <w:t>6</w:t>
            </w:r>
          </w:p>
        </w:tc>
        <w:tc>
          <w:tcPr>
            <w:tcW w:w="974" w:type="pct"/>
            <w:vAlign w:val="center"/>
          </w:tcPr>
          <w:p w14:paraId="482285F4" w14:textId="31C07E56" w:rsidR="00E77585" w:rsidRPr="001848DD" w:rsidRDefault="00E77585" w:rsidP="00401313">
            <w:pPr>
              <w:pStyle w:val="DeptBullets"/>
              <w:numPr>
                <w:ilvl w:val="0"/>
                <w:numId w:val="0"/>
              </w:numPr>
              <w:rPr>
                <w:rFonts w:cs="Arial"/>
                <w:szCs w:val="24"/>
              </w:rPr>
            </w:pPr>
            <w:r w:rsidRPr="001848DD">
              <w:rPr>
                <w:rFonts w:cs="Arial"/>
                <w:szCs w:val="24"/>
              </w:rPr>
              <w:t>Split of maintenance spend between planned/reactive (%)</w:t>
            </w:r>
          </w:p>
        </w:tc>
        <w:tc>
          <w:tcPr>
            <w:tcW w:w="1012" w:type="pct"/>
          </w:tcPr>
          <w:p w14:paraId="51C185F1" w14:textId="1A7265A0" w:rsidR="00E77585" w:rsidRPr="001848DD" w:rsidRDefault="00E77585" w:rsidP="00401313">
            <w:pPr>
              <w:pStyle w:val="DeptBullets"/>
              <w:numPr>
                <w:ilvl w:val="0"/>
                <w:numId w:val="0"/>
              </w:numPr>
              <w:spacing w:after="120"/>
              <w:rPr>
                <w:rFonts w:cs="Arial"/>
                <w:szCs w:val="24"/>
              </w:rPr>
            </w:pPr>
            <w:r w:rsidRPr="001848DD">
              <w:rPr>
                <w:rFonts w:cs="Arial"/>
                <w:szCs w:val="24"/>
              </w:rPr>
              <w:t>Planned maintenance schedule and expenditure details (per annum)</w:t>
            </w:r>
          </w:p>
          <w:p w14:paraId="15E1D3A2" w14:textId="2EB6F37A" w:rsidR="00E77585" w:rsidRPr="001848DD" w:rsidRDefault="00E77585" w:rsidP="00401313">
            <w:pPr>
              <w:pStyle w:val="DeptBullets"/>
              <w:numPr>
                <w:ilvl w:val="0"/>
                <w:numId w:val="0"/>
              </w:numPr>
              <w:spacing w:after="120"/>
              <w:rPr>
                <w:rFonts w:cs="Arial"/>
                <w:szCs w:val="24"/>
              </w:rPr>
            </w:pPr>
            <w:r w:rsidRPr="001848DD">
              <w:rPr>
                <w:rFonts w:cs="Arial"/>
                <w:szCs w:val="24"/>
              </w:rPr>
              <w:t>Maintenance expenditure not covered in planned schedule (per annum)</w:t>
            </w:r>
          </w:p>
        </w:tc>
        <w:tc>
          <w:tcPr>
            <w:tcW w:w="762" w:type="pct"/>
            <w:vAlign w:val="center"/>
          </w:tcPr>
          <w:p w14:paraId="6B3A61DC" w14:textId="3A59E856" w:rsidR="00E77585" w:rsidRPr="001848DD" w:rsidRDefault="00E77585" w:rsidP="00447376">
            <w:pPr>
              <w:pStyle w:val="DeptBullets"/>
              <w:numPr>
                <w:ilvl w:val="0"/>
                <w:numId w:val="0"/>
              </w:numPr>
              <w:rPr>
                <w:rFonts w:cs="Arial"/>
                <w:szCs w:val="24"/>
              </w:rPr>
            </w:pPr>
            <w:r w:rsidRPr="001848DD">
              <w:rPr>
                <w:rFonts w:cs="Arial"/>
                <w:szCs w:val="24"/>
              </w:rPr>
              <w:t>Budget headings</w:t>
            </w:r>
          </w:p>
        </w:tc>
        <w:tc>
          <w:tcPr>
            <w:tcW w:w="438" w:type="pct"/>
          </w:tcPr>
          <w:p w14:paraId="2FD2FA1C" w14:textId="77777777" w:rsidR="00E77585" w:rsidRPr="001848DD" w:rsidRDefault="00E77585" w:rsidP="008607C4">
            <w:pPr>
              <w:pStyle w:val="DeptBullets"/>
              <w:numPr>
                <w:ilvl w:val="0"/>
                <w:numId w:val="0"/>
              </w:numPr>
              <w:rPr>
                <w:rFonts w:cs="Arial"/>
                <w:szCs w:val="24"/>
              </w:rPr>
            </w:pPr>
          </w:p>
        </w:tc>
        <w:tc>
          <w:tcPr>
            <w:tcW w:w="438" w:type="pct"/>
          </w:tcPr>
          <w:p w14:paraId="6F79B076" w14:textId="6948FB06" w:rsidR="00E77585" w:rsidRPr="001848DD" w:rsidRDefault="00E77585" w:rsidP="008607C4">
            <w:pPr>
              <w:pStyle w:val="DeptBullets"/>
              <w:numPr>
                <w:ilvl w:val="0"/>
                <w:numId w:val="0"/>
              </w:numPr>
              <w:rPr>
                <w:rFonts w:cs="Arial"/>
                <w:szCs w:val="24"/>
              </w:rPr>
            </w:pPr>
          </w:p>
        </w:tc>
        <w:tc>
          <w:tcPr>
            <w:tcW w:w="438" w:type="pct"/>
          </w:tcPr>
          <w:p w14:paraId="2A73A25E" w14:textId="77777777" w:rsidR="00E77585" w:rsidRPr="001848DD" w:rsidRDefault="00E77585" w:rsidP="008607C4">
            <w:pPr>
              <w:pStyle w:val="DeptBullets"/>
              <w:numPr>
                <w:ilvl w:val="0"/>
                <w:numId w:val="0"/>
              </w:numPr>
              <w:rPr>
                <w:rFonts w:cs="Arial"/>
                <w:szCs w:val="24"/>
              </w:rPr>
            </w:pPr>
          </w:p>
        </w:tc>
        <w:tc>
          <w:tcPr>
            <w:tcW w:w="384" w:type="pct"/>
          </w:tcPr>
          <w:p w14:paraId="0397CF12" w14:textId="77777777" w:rsidR="00E77585" w:rsidRPr="001848DD" w:rsidRDefault="00E77585" w:rsidP="008607C4">
            <w:pPr>
              <w:pStyle w:val="DeptBullets"/>
              <w:numPr>
                <w:ilvl w:val="0"/>
                <w:numId w:val="0"/>
              </w:numPr>
              <w:rPr>
                <w:rFonts w:cs="Arial"/>
                <w:szCs w:val="24"/>
              </w:rPr>
            </w:pPr>
          </w:p>
        </w:tc>
        <w:tc>
          <w:tcPr>
            <w:tcW w:w="424" w:type="pct"/>
          </w:tcPr>
          <w:p w14:paraId="5748618B" w14:textId="77777777" w:rsidR="00E77585" w:rsidRPr="001848DD" w:rsidRDefault="00E77585" w:rsidP="008607C4">
            <w:pPr>
              <w:pStyle w:val="DeptBullets"/>
              <w:numPr>
                <w:ilvl w:val="0"/>
                <w:numId w:val="0"/>
              </w:numPr>
              <w:rPr>
                <w:rFonts w:cs="Arial"/>
                <w:szCs w:val="24"/>
              </w:rPr>
            </w:pPr>
          </w:p>
        </w:tc>
      </w:tr>
      <w:tr w:rsidR="00E77585" w:rsidRPr="001848DD" w14:paraId="2C6628DC" w14:textId="0ED2F4DB" w:rsidTr="00447376">
        <w:tc>
          <w:tcPr>
            <w:tcW w:w="130" w:type="pct"/>
            <w:vAlign w:val="center"/>
          </w:tcPr>
          <w:p w14:paraId="27BB7972" w14:textId="54101993" w:rsidR="00E77585" w:rsidRPr="001848DD" w:rsidRDefault="00E77585" w:rsidP="00401313">
            <w:pPr>
              <w:pStyle w:val="DeptBullets"/>
              <w:numPr>
                <w:ilvl w:val="0"/>
                <w:numId w:val="0"/>
              </w:numPr>
              <w:rPr>
                <w:rFonts w:cs="Arial"/>
                <w:szCs w:val="24"/>
              </w:rPr>
            </w:pPr>
            <w:r w:rsidRPr="001848DD">
              <w:rPr>
                <w:rFonts w:cs="Arial"/>
                <w:szCs w:val="24"/>
              </w:rPr>
              <w:t>7</w:t>
            </w:r>
          </w:p>
        </w:tc>
        <w:tc>
          <w:tcPr>
            <w:tcW w:w="974" w:type="pct"/>
            <w:vAlign w:val="center"/>
          </w:tcPr>
          <w:p w14:paraId="4FA9E2CC" w14:textId="70EBF8FA" w:rsidR="00E77585" w:rsidRPr="001848DD" w:rsidRDefault="00E77585" w:rsidP="00401313">
            <w:pPr>
              <w:pStyle w:val="DeptBullets"/>
              <w:numPr>
                <w:ilvl w:val="0"/>
                <w:numId w:val="0"/>
              </w:numPr>
              <w:rPr>
                <w:rFonts w:cs="Arial"/>
                <w:szCs w:val="24"/>
              </w:rPr>
            </w:pPr>
            <w:r w:rsidRPr="001848DD">
              <w:rPr>
                <w:rFonts w:cs="Arial"/>
                <w:szCs w:val="24"/>
              </w:rPr>
              <w:t>Average spend on maintenance per sqm</w:t>
            </w:r>
          </w:p>
        </w:tc>
        <w:tc>
          <w:tcPr>
            <w:tcW w:w="1012" w:type="pct"/>
            <w:vAlign w:val="center"/>
          </w:tcPr>
          <w:p w14:paraId="4948FF8C" w14:textId="77777777" w:rsidR="00E77585" w:rsidRPr="001848DD" w:rsidRDefault="00E77585" w:rsidP="00F17949">
            <w:pPr>
              <w:pStyle w:val="DeptBullets"/>
              <w:numPr>
                <w:ilvl w:val="0"/>
                <w:numId w:val="0"/>
              </w:numPr>
              <w:spacing w:after="120"/>
              <w:rPr>
                <w:rFonts w:cs="Arial"/>
                <w:szCs w:val="24"/>
              </w:rPr>
            </w:pPr>
            <w:r w:rsidRPr="001848DD">
              <w:rPr>
                <w:rFonts w:cs="Arial"/>
                <w:szCs w:val="24"/>
              </w:rPr>
              <w:t>Total expenditure on maintenance (per building or the whole estate)</w:t>
            </w:r>
          </w:p>
          <w:p w14:paraId="48EDA2DC" w14:textId="2F95345B" w:rsidR="00E77585" w:rsidRPr="001848DD" w:rsidRDefault="00E77585" w:rsidP="00401313">
            <w:pPr>
              <w:pStyle w:val="DeptBullets"/>
              <w:numPr>
                <w:ilvl w:val="0"/>
                <w:numId w:val="0"/>
              </w:numPr>
              <w:spacing w:after="120"/>
              <w:rPr>
                <w:rFonts w:cs="Arial"/>
                <w:szCs w:val="24"/>
              </w:rPr>
            </w:pPr>
            <w:r w:rsidRPr="001848DD">
              <w:rPr>
                <w:rFonts w:cs="Arial"/>
                <w:szCs w:val="24"/>
              </w:rPr>
              <w:t xml:space="preserve">Floor areas of all buildings </w:t>
            </w:r>
          </w:p>
        </w:tc>
        <w:tc>
          <w:tcPr>
            <w:tcW w:w="762" w:type="pct"/>
            <w:vAlign w:val="center"/>
          </w:tcPr>
          <w:p w14:paraId="751C5469" w14:textId="0DB95DD6" w:rsidR="00E77585" w:rsidRPr="001848DD" w:rsidRDefault="00E77585" w:rsidP="00447376">
            <w:pPr>
              <w:pStyle w:val="DeptBullets"/>
              <w:numPr>
                <w:ilvl w:val="0"/>
                <w:numId w:val="0"/>
              </w:numPr>
              <w:rPr>
                <w:rFonts w:cs="Arial"/>
                <w:szCs w:val="24"/>
              </w:rPr>
            </w:pPr>
            <w:r w:rsidRPr="001848DD">
              <w:rPr>
                <w:rFonts w:cs="Arial"/>
                <w:szCs w:val="24"/>
              </w:rPr>
              <w:t>Budget headings, condition surveys, scaled plans</w:t>
            </w:r>
          </w:p>
        </w:tc>
        <w:tc>
          <w:tcPr>
            <w:tcW w:w="438" w:type="pct"/>
          </w:tcPr>
          <w:p w14:paraId="4B59209E" w14:textId="77777777" w:rsidR="00E77585" w:rsidRPr="001848DD" w:rsidRDefault="00E77585" w:rsidP="008607C4">
            <w:pPr>
              <w:pStyle w:val="DeptBullets"/>
              <w:numPr>
                <w:ilvl w:val="0"/>
                <w:numId w:val="0"/>
              </w:numPr>
              <w:rPr>
                <w:rFonts w:cs="Arial"/>
                <w:szCs w:val="24"/>
              </w:rPr>
            </w:pPr>
          </w:p>
        </w:tc>
        <w:tc>
          <w:tcPr>
            <w:tcW w:w="438" w:type="pct"/>
          </w:tcPr>
          <w:p w14:paraId="436E8A5F" w14:textId="4BD1D159" w:rsidR="00E77585" w:rsidRPr="001848DD" w:rsidRDefault="00E77585" w:rsidP="008607C4">
            <w:pPr>
              <w:pStyle w:val="DeptBullets"/>
              <w:numPr>
                <w:ilvl w:val="0"/>
                <w:numId w:val="0"/>
              </w:numPr>
              <w:rPr>
                <w:rFonts w:cs="Arial"/>
                <w:szCs w:val="24"/>
              </w:rPr>
            </w:pPr>
          </w:p>
        </w:tc>
        <w:tc>
          <w:tcPr>
            <w:tcW w:w="438" w:type="pct"/>
          </w:tcPr>
          <w:p w14:paraId="02BF2553" w14:textId="77777777" w:rsidR="00E77585" w:rsidRPr="001848DD" w:rsidRDefault="00E77585" w:rsidP="008607C4">
            <w:pPr>
              <w:pStyle w:val="DeptBullets"/>
              <w:numPr>
                <w:ilvl w:val="0"/>
                <w:numId w:val="0"/>
              </w:numPr>
              <w:rPr>
                <w:rFonts w:cs="Arial"/>
                <w:szCs w:val="24"/>
              </w:rPr>
            </w:pPr>
          </w:p>
        </w:tc>
        <w:tc>
          <w:tcPr>
            <w:tcW w:w="384" w:type="pct"/>
          </w:tcPr>
          <w:p w14:paraId="0DDB2D51" w14:textId="77777777" w:rsidR="00E77585" w:rsidRPr="001848DD" w:rsidRDefault="00E77585" w:rsidP="008607C4">
            <w:pPr>
              <w:pStyle w:val="DeptBullets"/>
              <w:numPr>
                <w:ilvl w:val="0"/>
                <w:numId w:val="0"/>
              </w:numPr>
              <w:rPr>
                <w:rFonts w:cs="Arial"/>
                <w:szCs w:val="24"/>
              </w:rPr>
            </w:pPr>
          </w:p>
        </w:tc>
        <w:tc>
          <w:tcPr>
            <w:tcW w:w="424" w:type="pct"/>
          </w:tcPr>
          <w:p w14:paraId="4E08237D" w14:textId="77777777" w:rsidR="00E77585" w:rsidRPr="001848DD" w:rsidRDefault="00E77585" w:rsidP="008607C4">
            <w:pPr>
              <w:pStyle w:val="DeptBullets"/>
              <w:numPr>
                <w:ilvl w:val="0"/>
                <w:numId w:val="0"/>
              </w:numPr>
              <w:rPr>
                <w:rFonts w:cs="Arial"/>
                <w:szCs w:val="24"/>
              </w:rPr>
            </w:pPr>
          </w:p>
        </w:tc>
      </w:tr>
      <w:tr w:rsidR="00E77585" w:rsidRPr="001848DD" w14:paraId="766FBB2E" w14:textId="29465983" w:rsidTr="00447376">
        <w:tc>
          <w:tcPr>
            <w:tcW w:w="130" w:type="pct"/>
            <w:vAlign w:val="center"/>
          </w:tcPr>
          <w:p w14:paraId="44F505F2" w14:textId="08B2005C" w:rsidR="00E77585" w:rsidRPr="001848DD" w:rsidRDefault="00E77585" w:rsidP="00401313">
            <w:pPr>
              <w:pStyle w:val="DeptBullets"/>
              <w:numPr>
                <w:ilvl w:val="0"/>
                <w:numId w:val="0"/>
              </w:numPr>
              <w:rPr>
                <w:rFonts w:cs="Arial"/>
                <w:szCs w:val="24"/>
              </w:rPr>
            </w:pPr>
            <w:r w:rsidRPr="001848DD">
              <w:rPr>
                <w:rFonts w:cs="Arial"/>
                <w:szCs w:val="24"/>
              </w:rPr>
              <w:t>8</w:t>
            </w:r>
          </w:p>
        </w:tc>
        <w:tc>
          <w:tcPr>
            <w:tcW w:w="974" w:type="pct"/>
            <w:vAlign w:val="center"/>
          </w:tcPr>
          <w:p w14:paraId="0FEABED6" w14:textId="5E2ED02C" w:rsidR="00E77585" w:rsidRPr="001848DD" w:rsidRDefault="00E77585" w:rsidP="00401313">
            <w:pPr>
              <w:pStyle w:val="DeptBullets"/>
              <w:numPr>
                <w:ilvl w:val="0"/>
                <w:numId w:val="0"/>
              </w:numPr>
              <w:rPr>
                <w:rFonts w:cs="Arial"/>
                <w:szCs w:val="24"/>
              </w:rPr>
            </w:pPr>
            <w:r w:rsidRPr="001848DD">
              <w:rPr>
                <w:rFonts w:cs="Arial"/>
                <w:szCs w:val="24"/>
              </w:rPr>
              <w:t>Maintenance need per sqm</w:t>
            </w:r>
          </w:p>
        </w:tc>
        <w:tc>
          <w:tcPr>
            <w:tcW w:w="1012" w:type="pct"/>
          </w:tcPr>
          <w:p w14:paraId="37F082CB" w14:textId="3D74B9DE" w:rsidR="00E77585" w:rsidRPr="001848DD" w:rsidRDefault="00E77585" w:rsidP="00401313">
            <w:pPr>
              <w:pStyle w:val="DeptBullets"/>
              <w:numPr>
                <w:ilvl w:val="0"/>
                <w:numId w:val="0"/>
              </w:numPr>
              <w:spacing w:after="120"/>
              <w:rPr>
                <w:rFonts w:cs="Arial"/>
                <w:szCs w:val="24"/>
              </w:rPr>
            </w:pPr>
            <w:r w:rsidRPr="001848DD">
              <w:rPr>
                <w:rFonts w:cs="Arial"/>
                <w:szCs w:val="24"/>
              </w:rPr>
              <w:t>Condition surveys of the whole estate (providing estimated costs for works)</w:t>
            </w:r>
          </w:p>
          <w:p w14:paraId="5953A5E4" w14:textId="2C16617F" w:rsidR="00E77585" w:rsidRPr="001848DD" w:rsidRDefault="00E77585" w:rsidP="00401313">
            <w:pPr>
              <w:pStyle w:val="DeptBullets"/>
              <w:numPr>
                <w:ilvl w:val="0"/>
                <w:numId w:val="0"/>
              </w:numPr>
              <w:spacing w:after="120"/>
              <w:rPr>
                <w:rFonts w:cs="Arial"/>
                <w:szCs w:val="24"/>
              </w:rPr>
            </w:pPr>
            <w:r w:rsidRPr="001848DD">
              <w:rPr>
                <w:rFonts w:cs="Arial"/>
                <w:szCs w:val="24"/>
              </w:rPr>
              <w:t xml:space="preserve">Floor areas of all buildings </w:t>
            </w:r>
          </w:p>
        </w:tc>
        <w:tc>
          <w:tcPr>
            <w:tcW w:w="762" w:type="pct"/>
            <w:vAlign w:val="center"/>
          </w:tcPr>
          <w:p w14:paraId="3E02B2B4" w14:textId="4EDEA4E5" w:rsidR="00E77585" w:rsidRPr="001848DD" w:rsidRDefault="00E77585" w:rsidP="00447376">
            <w:pPr>
              <w:pStyle w:val="DeptBullets"/>
              <w:numPr>
                <w:ilvl w:val="0"/>
                <w:numId w:val="0"/>
              </w:numPr>
              <w:rPr>
                <w:rFonts w:cs="Arial"/>
                <w:szCs w:val="24"/>
              </w:rPr>
            </w:pPr>
            <w:r w:rsidRPr="001848DD">
              <w:rPr>
                <w:rFonts w:cs="Arial"/>
                <w:szCs w:val="24"/>
              </w:rPr>
              <w:t>Condition surveys, scaled plans</w:t>
            </w:r>
          </w:p>
        </w:tc>
        <w:tc>
          <w:tcPr>
            <w:tcW w:w="438" w:type="pct"/>
          </w:tcPr>
          <w:p w14:paraId="39D0F764" w14:textId="77777777" w:rsidR="00E77585" w:rsidRPr="001848DD" w:rsidRDefault="00E77585" w:rsidP="008607C4">
            <w:pPr>
              <w:pStyle w:val="DeptBullets"/>
              <w:numPr>
                <w:ilvl w:val="0"/>
                <w:numId w:val="0"/>
              </w:numPr>
              <w:rPr>
                <w:rFonts w:cs="Arial"/>
                <w:szCs w:val="24"/>
              </w:rPr>
            </w:pPr>
          </w:p>
        </w:tc>
        <w:tc>
          <w:tcPr>
            <w:tcW w:w="438" w:type="pct"/>
          </w:tcPr>
          <w:p w14:paraId="3BA7C7EC" w14:textId="35452CB5" w:rsidR="00E77585" w:rsidRPr="001848DD" w:rsidRDefault="00E77585" w:rsidP="008607C4">
            <w:pPr>
              <w:pStyle w:val="DeptBullets"/>
              <w:numPr>
                <w:ilvl w:val="0"/>
                <w:numId w:val="0"/>
              </w:numPr>
              <w:rPr>
                <w:rFonts w:cs="Arial"/>
                <w:szCs w:val="24"/>
              </w:rPr>
            </w:pPr>
          </w:p>
        </w:tc>
        <w:tc>
          <w:tcPr>
            <w:tcW w:w="438" w:type="pct"/>
          </w:tcPr>
          <w:p w14:paraId="2EAD7AB5" w14:textId="77777777" w:rsidR="00E77585" w:rsidRPr="001848DD" w:rsidRDefault="00E77585" w:rsidP="008607C4">
            <w:pPr>
              <w:pStyle w:val="DeptBullets"/>
              <w:numPr>
                <w:ilvl w:val="0"/>
                <w:numId w:val="0"/>
              </w:numPr>
              <w:rPr>
                <w:rFonts w:cs="Arial"/>
                <w:szCs w:val="24"/>
              </w:rPr>
            </w:pPr>
          </w:p>
        </w:tc>
        <w:tc>
          <w:tcPr>
            <w:tcW w:w="384" w:type="pct"/>
          </w:tcPr>
          <w:p w14:paraId="25422AC6" w14:textId="77777777" w:rsidR="00E77585" w:rsidRPr="001848DD" w:rsidRDefault="00E77585" w:rsidP="008607C4">
            <w:pPr>
              <w:pStyle w:val="DeptBullets"/>
              <w:numPr>
                <w:ilvl w:val="0"/>
                <w:numId w:val="0"/>
              </w:numPr>
              <w:rPr>
                <w:rFonts w:cs="Arial"/>
                <w:szCs w:val="24"/>
              </w:rPr>
            </w:pPr>
          </w:p>
        </w:tc>
        <w:tc>
          <w:tcPr>
            <w:tcW w:w="424" w:type="pct"/>
          </w:tcPr>
          <w:p w14:paraId="0AE4CE09" w14:textId="77777777" w:rsidR="00E77585" w:rsidRPr="001848DD" w:rsidRDefault="00E77585" w:rsidP="008607C4">
            <w:pPr>
              <w:pStyle w:val="DeptBullets"/>
              <w:numPr>
                <w:ilvl w:val="0"/>
                <w:numId w:val="0"/>
              </w:numPr>
              <w:rPr>
                <w:rFonts w:cs="Arial"/>
                <w:szCs w:val="24"/>
              </w:rPr>
            </w:pPr>
          </w:p>
        </w:tc>
      </w:tr>
      <w:tr w:rsidR="00E77585" w:rsidRPr="001848DD" w14:paraId="6069A136" w14:textId="06C0E1C6" w:rsidTr="00447376">
        <w:tc>
          <w:tcPr>
            <w:tcW w:w="130" w:type="pct"/>
            <w:vAlign w:val="center"/>
          </w:tcPr>
          <w:p w14:paraId="09198288" w14:textId="2FC488BD" w:rsidR="00E77585" w:rsidRPr="001848DD" w:rsidRDefault="00E77585" w:rsidP="00075084">
            <w:pPr>
              <w:pStyle w:val="DeptBullets"/>
              <w:numPr>
                <w:ilvl w:val="0"/>
                <w:numId w:val="0"/>
              </w:numPr>
              <w:jc w:val="center"/>
              <w:rPr>
                <w:rFonts w:cs="Arial"/>
                <w:szCs w:val="24"/>
              </w:rPr>
            </w:pPr>
            <w:r w:rsidRPr="001848DD">
              <w:rPr>
                <w:rFonts w:cs="Arial"/>
                <w:szCs w:val="24"/>
              </w:rPr>
              <w:t>9</w:t>
            </w:r>
          </w:p>
        </w:tc>
        <w:tc>
          <w:tcPr>
            <w:tcW w:w="974" w:type="pct"/>
            <w:vAlign w:val="center"/>
          </w:tcPr>
          <w:p w14:paraId="4DC4664C" w14:textId="06F1E637" w:rsidR="00E77585" w:rsidRPr="001848DD" w:rsidRDefault="00E77585" w:rsidP="0030303B">
            <w:pPr>
              <w:pStyle w:val="DeptBullets"/>
              <w:numPr>
                <w:ilvl w:val="0"/>
                <w:numId w:val="0"/>
              </w:numPr>
              <w:rPr>
                <w:rFonts w:cs="Arial"/>
                <w:szCs w:val="24"/>
              </w:rPr>
            </w:pPr>
            <w:r w:rsidRPr="001848DD">
              <w:rPr>
                <w:rFonts w:cs="Arial"/>
                <w:szCs w:val="24"/>
              </w:rPr>
              <w:t>Space (sqm) per pupil</w:t>
            </w:r>
          </w:p>
        </w:tc>
        <w:tc>
          <w:tcPr>
            <w:tcW w:w="1012" w:type="pct"/>
          </w:tcPr>
          <w:p w14:paraId="1142F7B0" w14:textId="3C1830F4" w:rsidR="00E77585" w:rsidRPr="001848DD" w:rsidRDefault="00E77585" w:rsidP="00401313">
            <w:pPr>
              <w:pStyle w:val="DeptBullets"/>
              <w:numPr>
                <w:ilvl w:val="0"/>
                <w:numId w:val="0"/>
              </w:numPr>
              <w:spacing w:after="120"/>
              <w:rPr>
                <w:rFonts w:cs="Arial"/>
                <w:szCs w:val="24"/>
              </w:rPr>
            </w:pPr>
            <w:r w:rsidRPr="001848DD">
              <w:rPr>
                <w:rFonts w:cs="Arial"/>
                <w:szCs w:val="24"/>
              </w:rPr>
              <w:t xml:space="preserve">Floor areas of each building </w:t>
            </w:r>
          </w:p>
          <w:p w14:paraId="7433B415" w14:textId="2EA33093" w:rsidR="00E77585" w:rsidRPr="001848DD" w:rsidRDefault="00E77585" w:rsidP="00401313">
            <w:pPr>
              <w:pStyle w:val="DeptBullets"/>
              <w:numPr>
                <w:ilvl w:val="0"/>
                <w:numId w:val="0"/>
              </w:numPr>
              <w:spacing w:after="120"/>
              <w:rPr>
                <w:rFonts w:cs="Arial"/>
                <w:szCs w:val="24"/>
              </w:rPr>
            </w:pPr>
            <w:r w:rsidRPr="001848DD">
              <w:rPr>
                <w:rFonts w:cs="Arial"/>
                <w:szCs w:val="24"/>
              </w:rPr>
              <w:lastRenderedPageBreak/>
              <w:t>Number of pupils per building</w:t>
            </w:r>
          </w:p>
        </w:tc>
        <w:tc>
          <w:tcPr>
            <w:tcW w:w="762" w:type="pct"/>
            <w:vAlign w:val="center"/>
          </w:tcPr>
          <w:p w14:paraId="5BA3C669" w14:textId="6E70049B" w:rsidR="00E77585" w:rsidRPr="001848DD" w:rsidRDefault="00E77585" w:rsidP="00447376">
            <w:pPr>
              <w:pStyle w:val="DeptBullets"/>
              <w:numPr>
                <w:ilvl w:val="0"/>
                <w:numId w:val="0"/>
              </w:numPr>
              <w:spacing w:after="120"/>
              <w:rPr>
                <w:rFonts w:cs="Arial"/>
                <w:szCs w:val="24"/>
              </w:rPr>
            </w:pPr>
            <w:r w:rsidRPr="001848DD">
              <w:rPr>
                <w:rFonts w:cs="Arial"/>
                <w:szCs w:val="24"/>
              </w:rPr>
              <w:lastRenderedPageBreak/>
              <w:t xml:space="preserve">Condition surveys, scaled plans, pupil </w:t>
            </w:r>
            <w:r w:rsidRPr="001848DD">
              <w:rPr>
                <w:rFonts w:cs="Arial"/>
                <w:szCs w:val="24"/>
              </w:rPr>
              <w:lastRenderedPageBreak/>
              <w:t>numbers on roll</w:t>
            </w:r>
          </w:p>
        </w:tc>
        <w:tc>
          <w:tcPr>
            <w:tcW w:w="438" w:type="pct"/>
          </w:tcPr>
          <w:p w14:paraId="0B388699" w14:textId="77777777" w:rsidR="00E77585" w:rsidRPr="001848DD" w:rsidRDefault="00E77585" w:rsidP="008607C4">
            <w:pPr>
              <w:pStyle w:val="DeptBullets"/>
              <w:numPr>
                <w:ilvl w:val="0"/>
                <w:numId w:val="0"/>
              </w:numPr>
              <w:rPr>
                <w:rFonts w:cs="Arial"/>
                <w:szCs w:val="24"/>
              </w:rPr>
            </w:pPr>
          </w:p>
        </w:tc>
        <w:tc>
          <w:tcPr>
            <w:tcW w:w="438" w:type="pct"/>
          </w:tcPr>
          <w:p w14:paraId="02955199" w14:textId="20AF96CA" w:rsidR="00E77585" w:rsidRPr="001848DD" w:rsidRDefault="00E77585" w:rsidP="008607C4">
            <w:pPr>
              <w:pStyle w:val="DeptBullets"/>
              <w:numPr>
                <w:ilvl w:val="0"/>
                <w:numId w:val="0"/>
              </w:numPr>
              <w:rPr>
                <w:rFonts w:cs="Arial"/>
                <w:szCs w:val="24"/>
              </w:rPr>
            </w:pPr>
          </w:p>
        </w:tc>
        <w:tc>
          <w:tcPr>
            <w:tcW w:w="438" w:type="pct"/>
          </w:tcPr>
          <w:p w14:paraId="356801D8" w14:textId="77777777" w:rsidR="00E77585" w:rsidRPr="001848DD" w:rsidRDefault="00E77585" w:rsidP="008607C4">
            <w:pPr>
              <w:pStyle w:val="DeptBullets"/>
              <w:numPr>
                <w:ilvl w:val="0"/>
                <w:numId w:val="0"/>
              </w:numPr>
              <w:rPr>
                <w:rFonts w:cs="Arial"/>
                <w:szCs w:val="24"/>
              </w:rPr>
            </w:pPr>
          </w:p>
        </w:tc>
        <w:tc>
          <w:tcPr>
            <w:tcW w:w="384" w:type="pct"/>
          </w:tcPr>
          <w:p w14:paraId="2844547A" w14:textId="77777777" w:rsidR="00E77585" w:rsidRPr="001848DD" w:rsidRDefault="00E77585" w:rsidP="008607C4">
            <w:pPr>
              <w:pStyle w:val="DeptBullets"/>
              <w:numPr>
                <w:ilvl w:val="0"/>
                <w:numId w:val="0"/>
              </w:numPr>
              <w:rPr>
                <w:rFonts w:cs="Arial"/>
                <w:szCs w:val="24"/>
              </w:rPr>
            </w:pPr>
          </w:p>
        </w:tc>
        <w:tc>
          <w:tcPr>
            <w:tcW w:w="424" w:type="pct"/>
          </w:tcPr>
          <w:p w14:paraId="30A22CBE" w14:textId="77777777" w:rsidR="00E77585" w:rsidRPr="001848DD" w:rsidRDefault="00E77585" w:rsidP="008607C4">
            <w:pPr>
              <w:pStyle w:val="DeptBullets"/>
              <w:numPr>
                <w:ilvl w:val="0"/>
                <w:numId w:val="0"/>
              </w:numPr>
              <w:rPr>
                <w:rFonts w:cs="Arial"/>
                <w:szCs w:val="24"/>
              </w:rPr>
            </w:pPr>
          </w:p>
        </w:tc>
      </w:tr>
      <w:tr w:rsidR="00E77585" w:rsidRPr="001848DD" w14:paraId="3119080E" w14:textId="589B3742" w:rsidTr="00447376">
        <w:tc>
          <w:tcPr>
            <w:tcW w:w="130" w:type="pct"/>
            <w:vAlign w:val="center"/>
          </w:tcPr>
          <w:p w14:paraId="5884F641" w14:textId="245FC630" w:rsidR="00E77585" w:rsidRPr="001848DD" w:rsidRDefault="00E77585" w:rsidP="00075084">
            <w:pPr>
              <w:pStyle w:val="DeptBullets"/>
              <w:numPr>
                <w:ilvl w:val="0"/>
                <w:numId w:val="0"/>
              </w:numPr>
              <w:jc w:val="center"/>
              <w:rPr>
                <w:rFonts w:cs="Arial"/>
                <w:szCs w:val="24"/>
              </w:rPr>
            </w:pPr>
            <w:r w:rsidRPr="001848DD">
              <w:rPr>
                <w:rFonts w:cs="Arial"/>
                <w:szCs w:val="24"/>
              </w:rPr>
              <w:t>10</w:t>
            </w:r>
          </w:p>
        </w:tc>
        <w:tc>
          <w:tcPr>
            <w:tcW w:w="974" w:type="pct"/>
            <w:vAlign w:val="center"/>
          </w:tcPr>
          <w:p w14:paraId="4F5A8D1A" w14:textId="32B157E0" w:rsidR="00E77585" w:rsidRPr="001848DD" w:rsidRDefault="00E77585" w:rsidP="0030303B">
            <w:pPr>
              <w:pStyle w:val="DeptBullets"/>
              <w:numPr>
                <w:ilvl w:val="0"/>
                <w:numId w:val="0"/>
              </w:numPr>
              <w:rPr>
                <w:rFonts w:cs="Arial"/>
                <w:szCs w:val="24"/>
              </w:rPr>
            </w:pPr>
            <w:r w:rsidRPr="001848DD">
              <w:rPr>
                <w:rFonts w:cs="Arial"/>
                <w:szCs w:val="24"/>
              </w:rPr>
              <w:t>Energy consumption</w:t>
            </w:r>
          </w:p>
        </w:tc>
        <w:tc>
          <w:tcPr>
            <w:tcW w:w="1012" w:type="pct"/>
          </w:tcPr>
          <w:p w14:paraId="3A2F0E28" w14:textId="2686A01A" w:rsidR="00E77585" w:rsidRPr="001848DD" w:rsidRDefault="00E77585" w:rsidP="00401313">
            <w:pPr>
              <w:pStyle w:val="DeptBullets"/>
              <w:numPr>
                <w:ilvl w:val="0"/>
                <w:numId w:val="0"/>
              </w:numPr>
              <w:spacing w:after="120"/>
              <w:rPr>
                <w:rFonts w:cs="Arial"/>
                <w:szCs w:val="24"/>
              </w:rPr>
            </w:pPr>
            <w:r w:rsidRPr="001848DD">
              <w:rPr>
                <w:rFonts w:cs="Arial"/>
                <w:szCs w:val="24"/>
              </w:rPr>
              <w:t>Energy consumption for each building</w:t>
            </w:r>
          </w:p>
          <w:p w14:paraId="0A607DFE" w14:textId="592BDE4C" w:rsidR="00E77585" w:rsidRPr="001848DD" w:rsidRDefault="00FF6843" w:rsidP="00401313">
            <w:pPr>
              <w:pStyle w:val="DeptBullets"/>
              <w:numPr>
                <w:ilvl w:val="0"/>
                <w:numId w:val="0"/>
              </w:numPr>
              <w:spacing w:after="120"/>
              <w:rPr>
                <w:rFonts w:cs="Arial"/>
                <w:szCs w:val="24"/>
              </w:rPr>
            </w:pPr>
            <w:r w:rsidRPr="001848DD">
              <w:rPr>
                <w:rFonts w:cs="Arial"/>
                <w:szCs w:val="24"/>
              </w:rPr>
              <w:t>Floor</w:t>
            </w:r>
            <w:r w:rsidR="00E77585" w:rsidRPr="001848DD">
              <w:rPr>
                <w:rFonts w:cs="Arial"/>
                <w:szCs w:val="24"/>
              </w:rPr>
              <w:t xml:space="preserve"> areas of all buildings </w:t>
            </w:r>
          </w:p>
        </w:tc>
        <w:tc>
          <w:tcPr>
            <w:tcW w:w="762" w:type="pct"/>
            <w:vAlign w:val="center"/>
          </w:tcPr>
          <w:p w14:paraId="489F95EB" w14:textId="03D60EF2" w:rsidR="00E77585" w:rsidRPr="001848DD" w:rsidRDefault="00E77585" w:rsidP="00447376">
            <w:pPr>
              <w:pStyle w:val="DeptBullets"/>
              <w:numPr>
                <w:ilvl w:val="0"/>
                <w:numId w:val="0"/>
              </w:numPr>
              <w:rPr>
                <w:rFonts w:cs="Arial"/>
                <w:szCs w:val="24"/>
              </w:rPr>
            </w:pPr>
            <w:r w:rsidRPr="001848DD">
              <w:rPr>
                <w:rFonts w:cs="Arial"/>
                <w:szCs w:val="24"/>
              </w:rPr>
              <w:t xml:space="preserve">Utility bills </w:t>
            </w:r>
          </w:p>
        </w:tc>
        <w:tc>
          <w:tcPr>
            <w:tcW w:w="438" w:type="pct"/>
          </w:tcPr>
          <w:p w14:paraId="44D128A6" w14:textId="77777777" w:rsidR="00E77585" w:rsidRPr="001848DD" w:rsidRDefault="00E77585" w:rsidP="008607C4">
            <w:pPr>
              <w:pStyle w:val="DeptBullets"/>
              <w:numPr>
                <w:ilvl w:val="0"/>
                <w:numId w:val="0"/>
              </w:numPr>
              <w:rPr>
                <w:rFonts w:cs="Arial"/>
                <w:szCs w:val="24"/>
              </w:rPr>
            </w:pPr>
          </w:p>
        </w:tc>
        <w:tc>
          <w:tcPr>
            <w:tcW w:w="438" w:type="pct"/>
          </w:tcPr>
          <w:p w14:paraId="5FE3FB48" w14:textId="12904C70" w:rsidR="00E77585" w:rsidRPr="001848DD" w:rsidRDefault="00E77585" w:rsidP="008607C4">
            <w:pPr>
              <w:pStyle w:val="DeptBullets"/>
              <w:numPr>
                <w:ilvl w:val="0"/>
                <w:numId w:val="0"/>
              </w:numPr>
              <w:rPr>
                <w:rFonts w:cs="Arial"/>
                <w:szCs w:val="24"/>
              </w:rPr>
            </w:pPr>
          </w:p>
        </w:tc>
        <w:tc>
          <w:tcPr>
            <w:tcW w:w="438" w:type="pct"/>
          </w:tcPr>
          <w:p w14:paraId="482BD505" w14:textId="77777777" w:rsidR="00E77585" w:rsidRPr="001848DD" w:rsidRDefault="00E77585" w:rsidP="008607C4">
            <w:pPr>
              <w:pStyle w:val="DeptBullets"/>
              <w:numPr>
                <w:ilvl w:val="0"/>
                <w:numId w:val="0"/>
              </w:numPr>
              <w:rPr>
                <w:rFonts w:cs="Arial"/>
                <w:szCs w:val="24"/>
              </w:rPr>
            </w:pPr>
          </w:p>
        </w:tc>
        <w:tc>
          <w:tcPr>
            <w:tcW w:w="384" w:type="pct"/>
          </w:tcPr>
          <w:p w14:paraId="63B1A522" w14:textId="77777777" w:rsidR="00E77585" w:rsidRPr="001848DD" w:rsidRDefault="00E77585" w:rsidP="008607C4">
            <w:pPr>
              <w:pStyle w:val="DeptBullets"/>
              <w:numPr>
                <w:ilvl w:val="0"/>
                <w:numId w:val="0"/>
              </w:numPr>
              <w:rPr>
                <w:rFonts w:cs="Arial"/>
                <w:szCs w:val="24"/>
              </w:rPr>
            </w:pPr>
          </w:p>
        </w:tc>
        <w:tc>
          <w:tcPr>
            <w:tcW w:w="424" w:type="pct"/>
          </w:tcPr>
          <w:p w14:paraId="55A3CEB2" w14:textId="77777777" w:rsidR="00E77585" w:rsidRPr="001848DD" w:rsidRDefault="00E77585" w:rsidP="008607C4">
            <w:pPr>
              <w:pStyle w:val="DeptBullets"/>
              <w:numPr>
                <w:ilvl w:val="0"/>
                <w:numId w:val="0"/>
              </w:numPr>
              <w:rPr>
                <w:rFonts w:cs="Arial"/>
                <w:szCs w:val="24"/>
              </w:rPr>
            </w:pPr>
          </w:p>
        </w:tc>
      </w:tr>
      <w:tr w:rsidR="00E77585" w:rsidRPr="001848DD" w14:paraId="502F5406" w14:textId="083D55D7" w:rsidTr="00447376">
        <w:tc>
          <w:tcPr>
            <w:tcW w:w="130" w:type="pct"/>
            <w:vAlign w:val="center"/>
          </w:tcPr>
          <w:p w14:paraId="014FEE5A" w14:textId="6503BCC5" w:rsidR="00E77585" w:rsidRPr="001848DD" w:rsidRDefault="00E77585" w:rsidP="00075084">
            <w:pPr>
              <w:pStyle w:val="DeptBullets"/>
              <w:numPr>
                <w:ilvl w:val="0"/>
                <w:numId w:val="0"/>
              </w:numPr>
              <w:jc w:val="center"/>
              <w:rPr>
                <w:rFonts w:cs="Arial"/>
                <w:szCs w:val="24"/>
              </w:rPr>
            </w:pPr>
            <w:r w:rsidRPr="001848DD">
              <w:rPr>
                <w:rFonts w:cs="Arial"/>
                <w:szCs w:val="24"/>
              </w:rPr>
              <w:t>11</w:t>
            </w:r>
          </w:p>
        </w:tc>
        <w:tc>
          <w:tcPr>
            <w:tcW w:w="974" w:type="pct"/>
            <w:vAlign w:val="center"/>
          </w:tcPr>
          <w:p w14:paraId="2856E0D9" w14:textId="7FE7F932" w:rsidR="00E77585" w:rsidRPr="001848DD" w:rsidRDefault="00E77585" w:rsidP="0030303B">
            <w:pPr>
              <w:pStyle w:val="DeptBullets"/>
              <w:numPr>
                <w:ilvl w:val="0"/>
                <w:numId w:val="0"/>
              </w:numPr>
              <w:rPr>
                <w:rFonts w:cs="Arial"/>
                <w:szCs w:val="24"/>
              </w:rPr>
            </w:pPr>
            <w:r w:rsidRPr="001848DD">
              <w:rPr>
                <w:rFonts w:cs="Arial"/>
                <w:szCs w:val="24"/>
              </w:rPr>
              <w:t>Emissions from the estate</w:t>
            </w:r>
          </w:p>
        </w:tc>
        <w:tc>
          <w:tcPr>
            <w:tcW w:w="1012" w:type="pct"/>
          </w:tcPr>
          <w:p w14:paraId="6DB3D5E8" w14:textId="77777777" w:rsidR="00E77585" w:rsidRPr="001848DD" w:rsidRDefault="00E77585" w:rsidP="00401313">
            <w:pPr>
              <w:pStyle w:val="DeptBullets"/>
              <w:numPr>
                <w:ilvl w:val="0"/>
                <w:numId w:val="0"/>
              </w:numPr>
              <w:spacing w:after="120"/>
              <w:rPr>
                <w:rFonts w:cs="Arial"/>
                <w:szCs w:val="24"/>
              </w:rPr>
            </w:pPr>
            <w:r w:rsidRPr="001848DD">
              <w:rPr>
                <w:rFonts w:cs="Arial"/>
                <w:szCs w:val="24"/>
              </w:rPr>
              <w:t xml:space="preserve">Emissions from each building </w:t>
            </w:r>
          </w:p>
          <w:p w14:paraId="2910A503" w14:textId="32B6BF6D" w:rsidR="00E77585" w:rsidRPr="001848DD" w:rsidRDefault="00E77585" w:rsidP="00401313">
            <w:pPr>
              <w:pStyle w:val="DeptBullets"/>
              <w:numPr>
                <w:ilvl w:val="0"/>
                <w:numId w:val="0"/>
              </w:numPr>
              <w:spacing w:after="120"/>
              <w:rPr>
                <w:rFonts w:cs="Arial"/>
                <w:szCs w:val="24"/>
              </w:rPr>
            </w:pPr>
            <w:r w:rsidRPr="001848DD">
              <w:rPr>
                <w:rFonts w:cs="Arial"/>
                <w:szCs w:val="24"/>
              </w:rPr>
              <w:t>Floor areas of all buildings</w:t>
            </w:r>
          </w:p>
        </w:tc>
        <w:tc>
          <w:tcPr>
            <w:tcW w:w="762" w:type="pct"/>
            <w:vAlign w:val="center"/>
          </w:tcPr>
          <w:p w14:paraId="1FA03051" w14:textId="549F719A" w:rsidR="00E77585" w:rsidRPr="001848DD" w:rsidRDefault="00E77585" w:rsidP="00447376">
            <w:pPr>
              <w:pStyle w:val="DeptBullets"/>
              <w:numPr>
                <w:ilvl w:val="0"/>
                <w:numId w:val="0"/>
              </w:numPr>
              <w:rPr>
                <w:rFonts w:cs="Arial"/>
                <w:szCs w:val="24"/>
              </w:rPr>
            </w:pPr>
            <w:r w:rsidRPr="001848DD">
              <w:rPr>
                <w:rFonts w:cs="Arial"/>
                <w:szCs w:val="24"/>
              </w:rPr>
              <w:t>Display Energy Certificate (DEC)</w:t>
            </w:r>
          </w:p>
        </w:tc>
        <w:tc>
          <w:tcPr>
            <w:tcW w:w="438" w:type="pct"/>
          </w:tcPr>
          <w:p w14:paraId="5AB087CC" w14:textId="77777777" w:rsidR="00E77585" w:rsidRPr="001848DD" w:rsidRDefault="00E77585" w:rsidP="008607C4">
            <w:pPr>
              <w:pStyle w:val="DeptBullets"/>
              <w:numPr>
                <w:ilvl w:val="0"/>
                <w:numId w:val="0"/>
              </w:numPr>
              <w:rPr>
                <w:rFonts w:cs="Arial"/>
                <w:szCs w:val="24"/>
              </w:rPr>
            </w:pPr>
          </w:p>
        </w:tc>
        <w:tc>
          <w:tcPr>
            <w:tcW w:w="438" w:type="pct"/>
          </w:tcPr>
          <w:p w14:paraId="27FC9D8E" w14:textId="2711387B" w:rsidR="00E77585" w:rsidRPr="001848DD" w:rsidRDefault="00E77585" w:rsidP="008607C4">
            <w:pPr>
              <w:pStyle w:val="DeptBullets"/>
              <w:numPr>
                <w:ilvl w:val="0"/>
                <w:numId w:val="0"/>
              </w:numPr>
              <w:rPr>
                <w:rFonts w:cs="Arial"/>
                <w:szCs w:val="24"/>
              </w:rPr>
            </w:pPr>
          </w:p>
        </w:tc>
        <w:tc>
          <w:tcPr>
            <w:tcW w:w="438" w:type="pct"/>
          </w:tcPr>
          <w:p w14:paraId="21351752" w14:textId="77777777" w:rsidR="00E77585" w:rsidRPr="001848DD" w:rsidRDefault="00E77585" w:rsidP="008607C4">
            <w:pPr>
              <w:pStyle w:val="DeptBullets"/>
              <w:numPr>
                <w:ilvl w:val="0"/>
                <w:numId w:val="0"/>
              </w:numPr>
              <w:rPr>
                <w:rFonts w:cs="Arial"/>
                <w:szCs w:val="24"/>
              </w:rPr>
            </w:pPr>
          </w:p>
        </w:tc>
        <w:tc>
          <w:tcPr>
            <w:tcW w:w="384" w:type="pct"/>
          </w:tcPr>
          <w:p w14:paraId="1914DB57" w14:textId="77777777" w:rsidR="00E77585" w:rsidRPr="001848DD" w:rsidRDefault="00E77585" w:rsidP="008607C4">
            <w:pPr>
              <w:pStyle w:val="DeptBullets"/>
              <w:numPr>
                <w:ilvl w:val="0"/>
                <w:numId w:val="0"/>
              </w:numPr>
              <w:rPr>
                <w:rFonts w:cs="Arial"/>
                <w:szCs w:val="24"/>
              </w:rPr>
            </w:pPr>
          </w:p>
        </w:tc>
        <w:tc>
          <w:tcPr>
            <w:tcW w:w="424" w:type="pct"/>
          </w:tcPr>
          <w:p w14:paraId="3412BE0C" w14:textId="77777777" w:rsidR="00E77585" w:rsidRPr="001848DD" w:rsidRDefault="00E77585" w:rsidP="008607C4">
            <w:pPr>
              <w:pStyle w:val="DeptBullets"/>
              <w:numPr>
                <w:ilvl w:val="0"/>
                <w:numId w:val="0"/>
              </w:numPr>
              <w:rPr>
                <w:rFonts w:cs="Arial"/>
                <w:szCs w:val="24"/>
              </w:rPr>
            </w:pPr>
          </w:p>
        </w:tc>
      </w:tr>
      <w:tr w:rsidR="00E77585" w:rsidRPr="001848DD" w14:paraId="27C316AC" w14:textId="4E119AE4" w:rsidTr="00447376">
        <w:tc>
          <w:tcPr>
            <w:tcW w:w="130" w:type="pct"/>
            <w:vAlign w:val="center"/>
          </w:tcPr>
          <w:p w14:paraId="70FB5101" w14:textId="1DCAB31D" w:rsidR="00E77585" w:rsidRPr="001848DD" w:rsidRDefault="00E77585" w:rsidP="00075084">
            <w:pPr>
              <w:pStyle w:val="DeptBullets"/>
              <w:numPr>
                <w:ilvl w:val="0"/>
                <w:numId w:val="0"/>
              </w:numPr>
              <w:jc w:val="center"/>
              <w:rPr>
                <w:rFonts w:cs="Arial"/>
                <w:szCs w:val="24"/>
              </w:rPr>
            </w:pPr>
            <w:r w:rsidRPr="001848DD">
              <w:rPr>
                <w:rFonts w:cs="Arial"/>
                <w:szCs w:val="24"/>
              </w:rPr>
              <w:t>12</w:t>
            </w:r>
          </w:p>
        </w:tc>
        <w:tc>
          <w:tcPr>
            <w:tcW w:w="974" w:type="pct"/>
            <w:vAlign w:val="center"/>
          </w:tcPr>
          <w:p w14:paraId="42B74598" w14:textId="7277977B" w:rsidR="00E77585" w:rsidRPr="001848DD" w:rsidRDefault="00E77585" w:rsidP="0030303B">
            <w:pPr>
              <w:pStyle w:val="DeptBullets"/>
              <w:numPr>
                <w:ilvl w:val="0"/>
                <w:numId w:val="0"/>
              </w:numPr>
              <w:rPr>
                <w:rFonts w:cs="Arial"/>
                <w:szCs w:val="24"/>
              </w:rPr>
            </w:pPr>
            <w:r w:rsidRPr="001848DD">
              <w:rPr>
                <w:rFonts w:cs="Arial"/>
                <w:szCs w:val="24"/>
              </w:rPr>
              <w:t xml:space="preserve">Sufficiency </w:t>
            </w:r>
          </w:p>
        </w:tc>
        <w:tc>
          <w:tcPr>
            <w:tcW w:w="1012" w:type="pct"/>
          </w:tcPr>
          <w:p w14:paraId="25FD3809" w14:textId="345C4304" w:rsidR="00E77585" w:rsidRPr="001848DD" w:rsidRDefault="00E77585" w:rsidP="00401313">
            <w:pPr>
              <w:pStyle w:val="DeptBullets"/>
              <w:numPr>
                <w:ilvl w:val="0"/>
                <w:numId w:val="0"/>
              </w:numPr>
              <w:spacing w:after="120"/>
              <w:rPr>
                <w:rFonts w:cs="Arial"/>
                <w:szCs w:val="24"/>
              </w:rPr>
            </w:pPr>
            <w:r w:rsidRPr="001848DD">
              <w:rPr>
                <w:rFonts w:cs="Arial"/>
                <w:szCs w:val="24"/>
              </w:rPr>
              <w:t>Floor areas of all buildings</w:t>
            </w:r>
          </w:p>
          <w:p w14:paraId="08DF7FC7" w14:textId="564AE998" w:rsidR="00E77585" w:rsidRPr="001848DD" w:rsidRDefault="00E77585" w:rsidP="00401313">
            <w:pPr>
              <w:pStyle w:val="DeptBullets"/>
              <w:numPr>
                <w:ilvl w:val="0"/>
                <w:numId w:val="0"/>
              </w:numPr>
              <w:spacing w:after="120"/>
              <w:rPr>
                <w:rFonts w:cs="Arial"/>
                <w:szCs w:val="24"/>
              </w:rPr>
            </w:pPr>
            <w:r w:rsidRPr="001848DD">
              <w:rPr>
                <w:rFonts w:cs="Arial"/>
                <w:szCs w:val="24"/>
              </w:rPr>
              <w:t>An assessment of sufficiency (capacity) for all buildings (and areas within them) by reference to use and pupil numbers*</w:t>
            </w:r>
          </w:p>
        </w:tc>
        <w:tc>
          <w:tcPr>
            <w:tcW w:w="762" w:type="pct"/>
            <w:vAlign w:val="center"/>
          </w:tcPr>
          <w:p w14:paraId="0E289B52" w14:textId="38EBAC50" w:rsidR="00E77585" w:rsidRPr="001848DD" w:rsidRDefault="00E77585" w:rsidP="00447376">
            <w:pPr>
              <w:pStyle w:val="DeptBullets"/>
              <w:numPr>
                <w:ilvl w:val="0"/>
                <w:numId w:val="0"/>
              </w:numPr>
              <w:spacing w:after="120"/>
              <w:rPr>
                <w:rFonts w:cs="Arial"/>
                <w:szCs w:val="24"/>
              </w:rPr>
            </w:pPr>
            <w:r w:rsidRPr="001848DD">
              <w:rPr>
                <w:rFonts w:cs="Arial"/>
                <w:szCs w:val="24"/>
              </w:rPr>
              <w:t>Condition surveys, scaled plans, capacity assessment using area guidelines (BB103/104), Schedule of Accommodation tool*</w:t>
            </w:r>
          </w:p>
        </w:tc>
        <w:tc>
          <w:tcPr>
            <w:tcW w:w="438" w:type="pct"/>
          </w:tcPr>
          <w:p w14:paraId="2C3B042B" w14:textId="77777777" w:rsidR="00E77585" w:rsidRPr="001848DD" w:rsidRDefault="00E77585" w:rsidP="00463BC9">
            <w:pPr>
              <w:pStyle w:val="DeptBullets"/>
              <w:numPr>
                <w:ilvl w:val="0"/>
                <w:numId w:val="0"/>
              </w:numPr>
              <w:rPr>
                <w:rFonts w:cs="Arial"/>
                <w:szCs w:val="24"/>
              </w:rPr>
            </w:pPr>
          </w:p>
        </w:tc>
        <w:tc>
          <w:tcPr>
            <w:tcW w:w="438" w:type="pct"/>
          </w:tcPr>
          <w:p w14:paraId="0BF5A2C7" w14:textId="41567108" w:rsidR="00E77585" w:rsidRPr="001848DD" w:rsidRDefault="00E77585" w:rsidP="00463BC9">
            <w:pPr>
              <w:pStyle w:val="DeptBullets"/>
              <w:numPr>
                <w:ilvl w:val="0"/>
                <w:numId w:val="0"/>
              </w:numPr>
              <w:rPr>
                <w:rFonts w:cs="Arial"/>
                <w:szCs w:val="24"/>
              </w:rPr>
            </w:pPr>
          </w:p>
        </w:tc>
        <w:tc>
          <w:tcPr>
            <w:tcW w:w="438" w:type="pct"/>
          </w:tcPr>
          <w:p w14:paraId="69725580" w14:textId="77777777" w:rsidR="00E77585" w:rsidRPr="001848DD" w:rsidRDefault="00E77585" w:rsidP="00463BC9">
            <w:pPr>
              <w:pStyle w:val="DeptBullets"/>
              <w:numPr>
                <w:ilvl w:val="0"/>
                <w:numId w:val="0"/>
              </w:numPr>
              <w:rPr>
                <w:rFonts w:cs="Arial"/>
                <w:szCs w:val="24"/>
              </w:rPr>
            </w:pPr>
          </w:p>
        </w:tc>
        <w:tc>
          <w:tcPr>
            <w:tcW w:w="384" w:type="pct"/>
          </w:tcPr>
          <w:p w14:paraId="5AA28487" w14:textId="77777777" w:rsidR="00E77585" w:rsidRPr="001848DD" w:rsidRDefault="00E77585" w:rsidP="00463BC9">
            <w:pPr>
              <w:pStyle w:val="DeptBullets"/>
              <w:numPr>
                <w:ilvl w:val="0"/>
                <w:numId w:val="0"/>
              </w:numPr>
              <w:rPr>
                <w:rFonts w:cs="Arial"/>
                <w:szCs w:val="24"/>
              </w:rPr>
            </w:pPr>
          </w:p>
        </w:tc>
        <w:tc>
          <w:tcPr>
            <w:tcW w:w="424" w:type="pct"/>
          </w:tcPr>
          <w:p w14:paraId="146FF014" w14:textId="77777777" w:rsidR="00E77585" w:rsidRPr="001848DD" w:rsidRDefault="00E77585" w:rsidP="00463BC9">
            <w:pPr>
              <w:pStyle w:val="DeptBullets"/>
              <w:numPr>
                <w:ilvl w:val="0"/>
                <w:numId w:val="0"/>
              </w:numPr>
              <w:rPr>
                <w:rFonts w:cs="Arial"/>
                <w:szCs w:val="24"/>
              </w:rPr>
            </w:pPr>
          </w:p>
        </w:tc>
      </w:tr>
      <w:tr w:rsidR="00E77585" w:rsidRPr="001848DD" w14:paraId="651D444D" w14:textId="2559DB2D" w:rsidTr="00447376">
        <w:tc>
          <w:tcPr>
            <w:tcW w:w="130" w:type="pct"/>
            <w:vAlign w:val="center"/>
          </w:tcPr>
          <w:p w14:paraId="0DE71EE1" w14:textId="114B3522" w:rsidR="00E77585" w:rsidRPr="001848DD" w:rsidRDefault="00E77585" w:rsidP="00075084">
            <w:pPr>
              <w:pStyle w:val="DeptBullets"/>
              <w:numPr>
                <w:ilvl w:val="0"/>
                <w:numId w:val="0"/>
              </w:numPr>
              <w:jc w:val="center"/>
              <w:rPr>
                <w:rFonts w:cs="Arial"/>
                <w:szCs w:val="24"/>
              </w:rPr>
            </w:pPr>
            <w:r w:rsidRPr="001848DD">
              <w:rPr>
                <w:rFonts w:cs="Arial"/>
                <w:szCs w:val="24"/>
              </w:rPr>
              <w:t>13</w:t>
            </w:r>
          </w:p>
        </w:tc>
        <w:tc>
          <w:tcPr>
            <w:tcW w:w="974" w:type="pct"/>
            <w:vAlign w:val="center"/>
          </w:tcPr>
          <w:p w14:paraId="01B888A4" w14:textId="745F7A63" w:rsidR="00E77585" w:rsidRPr="001848DD" w:rsidRDefault="00E77585" w:rsidP="0030303B">
            <w:pPr>
              <w:pStyle w:val="DeptBullets"/>
              <w:numPr>
                <w:ilvl w:val="0"/>
                <w:numId w:val="0"/>
              </w:numPr>
              <w:rPr>
                <w:rFonts w:cs="Arial"/>
                <w:szCs w:val="24"/>
              </w:rPr>
            </w:pPr>
            <w:r w:rsidRPr="001848DD">
              <w:rPr>
                <w:rFonts w:cs="Arial"/>
                <w:szCs w:val="24"/>
              </w:rPr>
              <w:t>Suitability</w:t>
            </w:r>
          </w:p>
        </w:tc>
        <w:tc>
          <w:tcPr>
            <w:tcW w:w="1012" w:type="pct"/>
          </w:tcPr>
          <w:p w14:paraId="1F5EA145" w14:textId="037BFD64" w:rsidR="00E77585" w:rsidRPr="001848DD" w:rsidRDefault="00E77585" w:rsidP="00401313">
            <w:pPr>
              <w:pStyle w:val="DeptBullets"/>
              <w:numPr>
                <w:ilvl w:val="0"/>
                <w:numId w:val="0"/>
              </w:numPr>
              <w:spacing w:after="120"/>
              <w:rPr>
                <w:rFonts w:cs="Arial"/>
                <w:szCs w:val="24"/>
              </w:rPr>
            </w:pPr>
            <w:r w:rsidRPr="001848DD">
              <w:rPr>
                <w:rFonts w:cs="Arial"/>
                <w:szCs w:val="24"/>
              </w:rPr>
              <w:t xml:space="preserve">An assessment of suitability for all buildings </w:t>
            </w:r>
            <w:r w:rsidRPr="001848DD">
              <w:rPr>
                <w:rFonts w:cs="Arial"/>
                <w:szCs w:val="24"/>
              </w:rPr>
              <w:lastRenderedPageBreak/>
              <w:t>(and areas within them)</w:t>
            </w:r>
          </w:p>
        </w:tc>
        <w:tc>
          <w:tcPr>
            <w:tcW w:w="762" w:type="pct"/>
            <w:vAlign w:val="center"/>
          </w:tcPr>
          <w:p w14:paraId="69091BD8" w14:textId="6930930D" w:rsidR="00E77585" w:rsidRPr="001848DD" w:rsidRDefault="00E77585" w:rsidP="00447376">
            <w:pPr>
              <w:pStyle w:val="DeptBullets"/>
              <w:numPr>
                <w:ilvl w:val="0"/>
                <w:numId w:val="0"/>
              </w:numPr>
              <w:rPr>
                <w:rFonts w:cs="Arial"/>
                <w:szCs w:val="24"/>
              </w:rPr>
            </w:pPr>
            <w:r w:rsidRPr="001848DD">
              <w:rPr>
                <w:rFonts w:cs="Arial"/>
                <w:szCs w:val="24"/>
              </w:rPr>
              <w:lastRenderedPageBreak/>
              <w:t xml:space="preserve">Using a consistent assessment </w:t>
            </w:r>
            <w:r w:rsidRPr="001848DD">
              <w:rPr>
                <w:rFonts w:cs="Arial"/>
                <w:szCs w:val="24"/>
              </w:rPr>
              <w:lastRenderedPageBreak/>
              <w:t xml:space="preserve">approach </w:t>
            </w:r>
          </w:p>
        </w:tc>
        <w:tc>
          <w:tcPr>
            <w:tcW w:w="438" w:type="pct"/>
          </w:tcPr>
          <w:p w14:paraId="1387A655" w14:textId="77777777" w:rsidR="00E77585" w:rsidRPr="001848DD" w:rsidRDefault="00E77585" w:rsidP="00463BC9">
            <w:pPr>
              <w:pStyle w:val="DeptBullets"/>
              <w:numPr>
                <w:ilvl w:val="0"/>
                <w:numId w:val="0"/>
              </w:numPr>
              <w:rPr>
                <w:rFonts w:cs="Arial"/>
                <w:szCs w:val="24"/>
              </w:rPr>
            </w:pPr>
          </w:p>
        </w:tc>
        <w:tc>
          <w:tcPr>
            <w:tcW w:w="438" w:type="pct"/>
          </w:tcPr>
          <w:p w14:paraId="0C5D958F" w14:textId="6F1BAB4D" w:rsidR="00E77585" w:rsidRPr="001848DD" w:rsidRDefault="00E77585" w:rsidP="00463BC9">
            <w:pPr>
              <w:pStyle w:val="DeptBullets"/>
              <w:numPr>
                <w:ilvl w:val="0"/>
                <w:numId w:val="0"/>
              </w:numPr>
              <w:rPr>
                <w:rFonts w:cs="Arial"/>
                <w:szCs w:val="24"/>
              </w:rPr>
            </w:pPr>
          </w:p>
        </w:tc>
        <w:tc>
          <w:tcPr>
            <w:tcW w:w="438" w:type="pct"/>
          </w:tcPr>
          <w:p w14:paraId="7D3F4FFC" w14:textId="77777777" w:rsidR="00E77585" w:rsidRPr="001848DD" w:rsidRDefault="00E77585" w:rsidP="00463BC9">
            <w:pPr>
              <w:pStyle w:val="DeptBullets"/>
              <w:numPr>
                <w:ilvl w:val="0"/>
                <w:numId w:val="0"/>
              </w:numPr>
              <w:rPr>
                <w:rFonts w:cs="Arial"/>
                <w:szCs w:val="24"/>
              </w:rPr>
            </w:pPr>
          </w:p>
        </w:tc>
        <w:tc>
          <w:tcPr>
            <w:tcW w:w="384" w:type="pct"/>
          </w:tcPr>
          <w:p w14:paraId="08A60BBF" w14:textId="77777777" w:rsidR="00E77585" w:rsidRPr="001848DD" w:rsidRDefault="00E77585" w:rsidP="00463BC9">
            <w:pPr>
              <w:pStyle w:val="DeptBullets"/>
              <w:numPr>
                <w:ilvl w:val="0"/>
                <w:numId w:val="0"/>
              </w:numPr>
              <w:rPr>
                <w:rFonts w:cs="Arial"/>
                <w:szCs w:val="24"/>
              </w:rPr>
            </w:pPr>
          </w:p>
        </w:tc>
        <w:tc>
          <w:tcPr>
            <w:tcW w:w="424" w:type="pct"/>
          </w:tcPr>
          <w:p w14:paraId="033A11C3" w14:textId="77777777" w:rsidR="00E77585" w:rsidRPr="001848DD" w:rsidRDefault="00E77585" w:rsidP="00463BC9">
            <w:pPr>
              <w:pStyle w:val="DeptBullets"/>
              <w:numPr>
                <w:ilvl w:val="0"/>
                <w:numId w:val="0"/>
              </w:numPr>
              <w:rPr>
                <w:rFonts w:cs="Arial"/>
                <w:szCs w:val="24"/>
              </w:rPr>
            </w:pPr>
          </w:p>
        </w:tc>
      </w:tr>
    </w:tbl>
    <w:p w14:paraId="02497FFB" w14:textId="4580016B" w:rsidR="0035503D" w:rsidRPr="001848DD" w:rsidRDefault="0035503D" w:rsidP="00070566">
      <w:pPr>
        <w:pStyle w:val="DeptBullets"/>
        <w:numPr>
          <w:ilvl w:val="0"/>
          <w:numId w:val="0"/>
        </w:numPr>
        <w:spacing w:after="0"/>
        <w:rPr>
          <w:rFonts w:cs="Arial"/>
          <w:szCs w:val="24"/>
        </w:rPr>
      </w:pPr>
    </w:p>
    <w:p w14:paraId="6B3015A8" w14:textId="5A21D658" w:rsidR="00682F92" w:rsidRPr="001848DD" w:rsidRDefault="00682F92" w:rsidP="00682F92">
      <w:pPr>
        <w:pStyle w:val="NormalWeb"/>
        <w:rPr>
          <w:rFonts w:ascii="Arial" w:hAnsi="Arial" w:cs="Arial"/>
          <w:lang w:val="en" w:eastAsia="en-GB"/>
        </w:rPr>
      </w:pPr>
      <w:r w:rsidRPr="001848DD">
        <w:rPr>
          <w:rFonts w:ascii="Arial" w:hAnsi="Arial" w:cs="Arial"/>
        </w:rPr>
        <w:t>*</w:t>
      </w:r>
      <w:r w:rsidRPr="001848DD">
        <w:rPr>
          <w:rFonts w:ascii="Arial" w:hAnsi="Arial" w:cs="Arial"/>
          <w:lang w:val="en" w:eastAsia="en-GB"/>
        </w:rPr>
        <w:t xml:space="preserve"> </w:t>
      </w:r>
      <w:r w:rsidR="00087087" w:rsidRPr="001848DD">
        <w:rPr>
          <w:rFonts w:ascii="Arial" w:hAnsi="Arial" w:cs="Arial"/>
          <w:lang w:val="en" w:eastAsia="en-GB"/>
        </w:rPr>
        <w:t>You can f</w:t>
      </w:r>
      <w:r w:rsidRPr="001848DD">
        <w:rPr>
          <w:rFonts w:ascii="Arial" w:hAnsi="Arial" w:cs="Arial"/>
          <w:lang w:val="en" w:eastAsia="en-GB"/>
        </w:rPr>
        <w:t xml:space="preserve">ind </w:t>
      </w:r>
      <w:r w:rsidR="00087087" w:rsidRPr="001848DD">
        <w:rPr>
          <w:rFonts w:ascii="Arial" w:hAnsi="Arial" w:cs="Arial"/>
          <w:lang w:val="en" w:eastAsia="en-GB"/>
        </w:rPr>
        <w:t xml:space="preserve">area </w:t>
      </w:r>
      <w:r w:rsidRPr="001848DD">
        <w:rPr>
          <w:rFonts w:ascii="Arial" w:hAnsi="Arial" w:cs="Arial"/>
          <w:lang w:val="en" w:eastAsia="en-GB"/>
        </w:rPr>
        <w:t>guidelines for:</w:t>
      </w:r>
    </w:p>
    <w:p w14:paraId="2EBBB5E2" w14:textId="5F54C003" w:rsidR="00682F92" w:rsidRPr="001848DD" w:rsidRDefault="006D3F80" w:rsidP="00682F92">
      <w:pPr>
        <w:widowControl/>
        <w:numPr>
          <w:ilvl w:val="0"/>
          <w:numId w:val="17"/>
        </w:numPr>
        <w:overflowPunct/>
        <w:autoSpaceDE/>
        <w:autoSpaceDN/>
        <w:adjustRightInd/>
        <w:ind w:left="714" w:hanging="357"/>
        <w:textAlignment w:val="auto"/>
        <w:rPr>
          <w:rFonts w:cs="Arial"/>
          <w:szCs w:val="24"/>
          <w:lang w:val="en" w:eastAsia="en-GB"/>
        </w:rPr>
      </w:pPr>
      <w:hyperlink r:id="rId18" w:history="1">
        <w:r w:rsidR="00682F92" w:rsidRPr="001848DD">
          <w:rPr>
            <w:rFonts w:cs="Arial"/>
            <w:color w:val="0000FF"/>
            <w:szCs w:val="24"/>
            <w:u w:val="single"/>
            <w:lang w:val="en" w:eastAsia="en-GB"/>
          </w:rPr>
          <w:t>mainstream schools</w:t>
        </w:r>
      </w:hyperlink>
      <w:r w:rsidR="00B57DBE" w:rsidRPr="001848DD">
        <w:rPr>
          <w:rFonts w:cs="Arial"/>
          <w:color w:val="0000FF"/>
          <w:szCs w:val="24"/>
          <w:u w:val="single"/>
          <w:lang w:val="en" w:eastAsia="en-GB"/>
        </w:rPr>
        <w:t xml:space="preserve"> </w:t>
      </w:r>
      <w:r w:rsidR="00B57DBE" w:rsidRPr="001848DD">
        <w:rPr>
          <w:rFonts w:cs="Arial"/>
          <w:color w:val="0000FF"/>
          <w:szCs w:val="24"/>
          <w:u w:val="single"/>
          <w:lang w:val="en" w:eastAsia="en-GB"/>
        </w:rPr>
        <w:tab/>
      </w:r>
    </w:p>
    <w:p w14:paraId="723D6FA6" w14:textId="4B125E7F" w:rsidR="00682F92" w:rsidRPr="001848DD" w:rsidRDefault="006D3F80" w:rsidP="00682F92">
      <w:pPr>
        <w:widowControl/>
        <w:numPr>
          <w:ilvl w:val="0"/>
          <w:numId w:val="17"/>
        </w:numPr>
        <w:overflowPunct/>
        <w:autoSpaceDE/>
        <w:autoSpaceDN/>
        <w:adjustRightInd/>
        <w:ind w:left="714" w:hanging="357"/>
        <w:textAlignment w:val="auto"/>
        <w:rPr>
          <w:rFonts w:cs="Arial"/>
          <w:szCs w:val="24"/>
          <w:lang w:val="en" w:eastAsia="en-GB"/>
        </w:rPr>
      </w:pPr>
      <w:hyperlink r:id="rId19" w:history="1">
        <w:r w:rsidR="00682F92" w:rsidRPr="001848DD">
          <w:rPr>
            <w:rFonts w:cs="Arial"/>
            <w:color w:val="0000FF"/>
            <w:szCs w:val="24"/>
            <w:u w:val="single"/>
            <w:lang w:val="en" w:eastAsia="en-GB"/>
          </w:rPr>
          <w:t>SEND and alternative provision</w:t>
        </w:r>
      </w:hyperlink>
    </w:p>
    <w:p w14:paraId="3B81A653" w14:textId="233A1BC2" w:rsidR="00071048" w:rsidRPr="001848DD" w:rsidRDefault="006D3F80" w:rsidP="004322FE">
      <w:pPr>
        <w:widowControl/>
        <w:numPr>
          <w:ilvl w:val="0"/>
          <w:numId w:val="17"/>
        </w:numPr>
        <w:overflowPunct/>
        <w:autoSpaceDE/>
        <w:autoSpaceDN/>
        <w:adjustRightInd/>
        <w:ind w:left="714" w:hanging="357"/>
        <w:textAlignment w:val="auto"/>
        <w:rPr>
          <w:rFonts w:cs="Arial"/>
          <w:szCs w:val="24"/>
          <w:lang w:val="en" w:eastAsia="en-GB"/>
        </w:rPr>
      </w:pPr>
      <w:hyperlink r:id="rId20" w:history="1">
        <w:r w:rsidR="00B57DBE" w:rsidRPr="001848DD">
          <w:rPr>
            <w:rStyle w:val="Hyperlink"/>
            <w:rFonts w:cs="Arial"/>
            <w:szCs w:val="24"/>
            <w:lang w:val="en" w:eastAsia="en-GB"/>
          </w:rPr>
          <w:t>Schedule of accommodation tool</w:t>
        </w:r>
      </w:hyperlink>
    </w:p>
    <w:p w14:paraId="6DE7C2EB" w14:textId="77777777" w:rsidR="00E547C9" w:rsidRPr="001848DD" w:rsidRDefault="00E547C9" w:rsidP="0035503D">
      <w:pPr>
        <w:pStyle w:val="DeptBullets"/>
        <w:numPr>
          <w:ilvl w:val="0"/>
          <w:numId w:val="0"/>
        </w:numPr>
        <w:rPr>
          <w:rFonts w:cs="Arial"/>
          <w:szCs w:val="24"/>
        </w:rPr>
        <w:sectPr w:rsidR="00E547C9" w:rsidRPr="001848DD" w:rsidSect="00401313">
          <w:pgSz w:w="16838" w:h="11906" w:orient="landscape"/>
          <w:pgMar w:top="1701" w:right="991" w:bottom="568" w:left="1418" w:header="284" w:footer="0" w:gutter="0"/>
          <w:cols w:space="708"/>
          <w:docGrid w:linePitch="360"/>
        </w:sectPr>
      </w:pPr>
    </w:p>
    <w:p w14:paraId="7A9139F3" w14:textId="75EBB53B" w:rsidR="00AF1C07" w:rsidRPr="001848DD" w:rsidRDefault="00AF1C07" w:rsidP="00F72829">
      <w:pPr>
        <w:pStyle w:val="DeptBullets"/>
        <w:numPr>
          <w:ilvl w:val="0"/>
          <w:numId w:val="0"/>
        </w:numPr>
        <w:rPr>
          <w:rFonts w:cs="Arial"/>
          <w:szCs w:val="24"/>
        </w:rPr>
      </w:pPr>
    </w:p>
    <w:sectPr w:rsidR="00AF1C07" w:rsidRPr="001848DD" w:rsidSect="00E547C9">
      <w:pgSz w:w="11906" w:h="16838" w:code="9"/>
      <w:pgMar w:top="1440" w:right="992" w:bottom="1440"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155ED3" w14:textId="77777777" w:rsidR="00BF23F5" w:rsidRDefault="00BF23F5">
      <w:r>
        <w:separator/>
      </w:r>
    </w:p>
  </w:endnote>
  <w:endnote w:type="continuationSeparator" w:id="0">
    <w:p w14:paraId="041D3757" w14:textId="77777777" w:rsidR="00BF23F5" w:rsidRDefault="00BF23F5">
      <w:r>
        <w:continuationSeparator/>
      </w:r>
    </w:p>
  </w:endnote>
  <w:endnote w:type="continuationNotice" w:id="1">
    <w:p w14:paraId="1AE050DB" w14:textId="77777777" w:rsidR="00BF23F5" w:rsidRDefault="00BF23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07D69A" w14:textId="77777777" w:rsidR="00167184" w:rsidRDefault="001671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2640672"/>
      <w:docPartObj>
        <w:docPartGallery w:val="Page Numbers (Bottom of Page)"/>
        <w:docPartUnique/>
      </w:docPartObj>
    </w:sdtPr>
    <w:sdtEndPr>
      <w:rPr>
        <w:noProof/>
      </w:rPr>
    </w:sdtEndPr>
    <w:sdtContent>
      <w:sdt>
        <w:sdtPr>
          <w:rPr>
            <w:color w:val="FF0000"/>
          </w:rPr>
          <w:id w:val="36250719"/>
          <w:docPartObj>
            <w:docPartGallery w:val="Page Numbers (Bottom of Page)"/>
            <w:docPartUnique/>
          </w:docPartObj>
        </w:sdtPr>
        <w:sdtEndPr>
          <w:rPr>
            <w:noProof/>
            <w:color w:val="auto"/>
          </w:rPr>
        </w:sdtEndPr>
        <w:sdtContent>
          <w:p w14:paraId="7BB1F077" w14:textId="77777777" w:rsidR="00853192" w:rsidRDefault="00853192" w:rsidP="00853192">
            <w:pPr>
              <w:pStyle w:val="Footer"/>
              <w:jc w:val="right"/>
            </w:pPr>
            <w:r w:rsidRPr="00AF17E4">
              <w:rPr>
                <w:color w:val="FF0000"/>
              </w:rPr>
              <w:t xml:space="preserve">OFFICIAL – SENSITIVE                                                                                                                                                                                </w:t>
            </w:r>
            <w:r w:rsidRPr="00AF17E4">
              <w:fldChar w:fldCharType="begin"/>
            </w:r>
            <w:r w:rsidRPr="00AF17E4">
              <w:instrText xml:space="preserve"> PAGE   \* MERGEFORMAT </w:instrText>
            </w:r>
            <w:r w:rsidRPr="00AF17E4">
              <w:fldChar w:fldCharType="separate"/>
            </w:r>
            <w:r>
              <w:t>3</w:t>
            </w:r>
            <w:r w:rsidRPr="00AF17E4">
              <w:rPr>
                <w:noProof/>
              </w:rPr>
              <w:fldChar w:fldCharType="end"/>
            </w:r>
          </w:p>
        </w:sdtContent>
      </w:sdt>
      <w:p w14:paraId="377FCB3A" w14:textId="74630056" w:rsidR="00973D40" w:rsidRDefault="006D3F80">
        <w:pPr>
          <w:pStyle w:val="Footer"/>
          <w:jc w:val="center"/>
        </w:pPr>
      </w:p>
    </w:sdtContent>
  </w:sdt>
  <w:p w14:paraId="53E7F146" w14:textId="77777777" w:rsidR="00973D40" w:rsidRDefault="00973D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51BDCB" w14:textId="77777777" w:rsidR="00167184" w:rsidRDefault="001671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8FFA20" w14:textId="77777777" w:rsidR="00BF23F5" w:rsidRDefault="00BF23F5">
      <w:r>
        <w:separator/>
      </w:r>
    </w:p>
  </w:footnote>
  <w:footnote w:type="continuationSeparator" w:id="0">
    <w:p w14:paraId="595BB32D" w14:textId="77777777" w:rsidR="00BF23F5" w:rsidRDefault="00BF23F5">
      <w:r>
        <w:continuationSeparator/>
      </w:r>
    </w:p>
  </w:footnote>
  <w:footnote w:type="continuationNotice" w:id="1">
    <w:p w14:paraId="426D2BAC" w14:textId="77777777" w:rsidR="00BF23F5" w:rsidRDefault="00BF23F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480920" w14:textId="696EAD68" w:rsidR="00973D40" w:rsidRDefault="006D3F80">
    <w:pPr>
      <w:pStyle w:val="Header"/>
    </w:pPr>
    <w:r>
      <w:rPr>
        <w:noProof/>
      </w:rPr>
      <w:pict w14:anchorId="3B2A864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23313" o:spid="_x0000_s2050" type="#_x0000_t136" style="position:absolute;margin-left:0;margin-top:0;width:418.2pt;height:167.25pt;rotation:315;z-index:-251658239;mso-position-horizontal:center;mso-position-horizontal-relative:margin;mso-position-vertical:center;mso-position-vertical-relative:margin" o:allowincell="f" fillcolor="#5a5a5a [2109]" stroked="f">
          <v:fill opacity=".5"/>
          <v:textpath style="font-family:&quot;Arial&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96D556" w14:textId="303529D3" w:rsidR="00973D40" w:rsidRDefault="00E939EF" w:rsidP="00973D40">
    <w:pPr>
      <w:pStyle w:val="Header"/>
      <w:ind w:left="-993"/>
    </w:pPr>
    <w:r>
      <w:rPr>
        <w:noProof/>
      </w:rPr>
      <w:drawing>
        <wp:anchor distT="0" distB="0" distL="114300" distR="114300" simplePos="0" relativeHeight="251658243" behindDoc="1" locked="0" layoutInCell="1" allowOverlap="1" wp14:anchorId="3AE7D98A" wp14:editId="24F41B1B">
          <wp:simplePos x="0" y="0"/>
          <wp:positionH relativeFrom="column">
            <wp:posOffset>4119562</wp:posOffset>
          </wp:positionH>
          <wp:positionV relativeFrom="paragraph">
            <wp:posOffset>202248</wp:posOffset>
          </wp:positionV>
          <wp:extent cx="2272030" cy="401320"/>
          <wp:effectExtent l="0" t="0" r="0" b="0"/>
          <wp:wrapTight wrapText="bothSides">
            <wp:wrapPolygon edited="0">
              <wp:start x="0" y="0"/>
              <wp:lineTo x="0" y="20506"/>
              <wp:lineTo x="21371" y="20506"/>
              <wp:lineTo x="21371" y="0"/>
              <wp:lineTo x="0" y="0"/>
            </wp:wrapPolygon>
          </wp:wrapTight>
          <wp:docPr id="21" name="Picture 21" descr="Good estate management for schools (GEM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72030" cy="401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73D40">
      <w:rPr>
        <w:noProof/>
      </w:rPr>
      <w:drawing>
        <wp:anchor distT="0" distB="0" distL="114300" distR="114300" simplePos="0" relativeHeight="251659267" behindDoc="1" locked="0" layoutInCell="1" allowOverlap="1" wp14:anchorId="39139919" wp14:editId="29FB0A08">
          <wp:simplePos x="0" y="0"/>
          <wp:positionH relativeFrom="column">
            <wp:posOffset>-629285</wp:posOffset>
          </wp:positionH>
          <wp:positionV relativeFrom="paragraph">
            <wp:posOffset>635</wp:posOffset>
          </wp:positionV>
          <wp:extent cx="1228725" cy="804545"/>
          <wp:effectExtent l="0" t="0" r="9525" b="0"/>
          <wp:wrapTight wrapText="bothSides">
            <wp:wrapPolygon edited="0">
              <wp:start x="0" y="0"/>
              <wp:lineTo x="0" y="20969"/>
              <wp:lineTo x="21433" y="20969"/>
              <wp:lineTo x="21433" y="0"/>
              <wp:lineTo x="0" y="0"/>
            </wp:wrapPolygon>
          </wp:wrapTight>
          <wp:docPr id="22" name="Picture 22" descr="Department for Education logo"/>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 cstate="print">
                    <a:extLst>
                      <a:ext uri="{28A0092B-C50C-407E-A947-70E740481C1C}">
                        <a14:useLocalDpi xmlns:a14="http://schemas.microsoft.com/office/drawing/2010/main" val="0"/>
                      </a:ext>
                    </a:extLst>
                  </a:blip>
                  <a:stretch>
                    <a:fillRect/>
                  </a:stretch>
                </pic:blipFill>
                <pic:spPr>
                  <a:xfrm>
                    <a:off x="0" y="0"/>
                    <a:ext cx="1228725" cy="804545"/>
                  </a:xfrm>
                  <a:prstGeom prst="rect">
                    <a:avLst/>
                  </a:prstGeom>
                </pic:spPr>
              </pic:pic>
            </a:graphicData>
          </a:graphic>
        </wp:anchor>
      </w:drawing>
    </w:r>
    <w:r w:rsidR="006D3F80">
      <w:rPr>
        <w:noProof/>
      </w:rPr>
      <w:pict w14:anchorId="187EAE9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23314" o:spid="_x0000_s2051" type="#_x0000_t136" style="position:absolute;left:0;text-align:left;margin-left:0;margin-top:0;width:418.2pt;height:167.25pt;rotation:315;z-index:-251658238;mso-position-horizontal:center;mso-position-horizontal-relative:margin;mso-position-vertical:center;mso-position-vertical-relative:margin" o:allowincell="f" fillcolor="#5a5a5a [2109]" stroked="f">
          <v:fill opacity=".5"/>
          <v:textpath style="font-family:&quot;Arial&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A7F81E" w14:textId="3B74F718" w:rsidR="00973D40" w:rsidRDefault="006D3F80">
    <w:pPr>
      <w:pStyle w:val="Header"/>
    </w:pPr>
    <w:r>
      <w:rPr>
        <w:noProof/>
      </w:rPr>
      <w:pict w14:anchorId="2F8FD1E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23312" o:spid="_x0000_s2049" type="#_x0000_t136" style="position:absolute;margin-left:0;margin-top:0;width:418.2pt;height:167.25pt;rotation:315;z-index:-251658240;mso-position-horizontal:center;mso-position-horizontal-relative:margin;mso-position-vertical:center;mso-position-vertical-relative:margin" o:allowincell="f" fillcolor="#5a5a5a [2109]"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B748E1"/>
    <w:multiLevelType w:val="multilevel"/>
    <w:tmpl w:val="44AE43A2"/>
    <w:lvl w:ilvl="0">
      <w:start w:val="1"/>
      <w:numFmt w:val="decimal"/>
      <w:lvlRestart w:val="0"/>
      <w:pStyle w:val="DfESOutNumbered"/>
      <w:lvlText w:val="%1."/>
      <w:lvlJc w:val="left"/>
      <w:pPr>
        <w:tabs>
          <w:tab w:val="num" w:pos="720"/>
        </w:tabs>
        <w:ind w:left="0" w:firstLine="0"/>
      </w:pPr>
    </w:lvl>
    <w:lvl w:ilvl="1">
      <w:start w:val="1"/>
      <w:numFmt w:val="lowerLetter"/>
      <w:lvlText w:val="%2."/>
      <w:lvlJc w:val="left"/>
      <w:pPr>
        <w:tabs>
          <w:tab w:val="num" w:pos="1440"/>
        </w:tabs>
        <w:ind w:left="1440" w:hanging="720"/>
      </w:pPr>
    </w:lvl>
    <w:lvl w:ilvl="2">
      <w:start w:val="1"/>
      <w:numFmt w:val="low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lowerRoman"/>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lowerLetter"/>
      <w:lvlText w:val="%8."/>
      <w:lvlJc w:val="left"/>
      <w:pPr>
        <w:tabs>
          <w:tab w:val="num" w:pos="5760"/>
        </w:tabs>
        <w:ind w:left="5760" w:hanging="720"/>
      </w:pPr>
    </w:lvl>
    <w:lvl w:ilvl="8">
      <w:start w:val="1"/>
      <w:numFmt w:val="lowerRoman"/>
      <w:lvlText w:val="%9."/>
      <w:lvlJc w:val="left"/>
      <w:pPr>
        <w:tabs>
          <w:tab w:val="num" w:pos="6480"/>
        </w:tabs>
        <w:ind w:left="6480" w:hanging="720"/>
      </w:pPr>
    </w:lvl>
  </w:abstractNum>
  <w:abstractNum w:abstractNumId="1" w15:restartNumberingAfterBreak="0">
    <w:nsid w:val="22B955C0"/>
    <w:multiLevelType w:val="hybridMultilevel"/>
    <w:tmpl w:val="04EAF1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60B2529"/>
    <w:multiLevelType w:val="multilevel"/>
    <w:tmpl w:val="65722B18"/>
    <w:lvl w:ilvl="0">
      <w:start w:val="1"/>
      <w:numFmt w:val="decimal"/>
      <w:lvlRestart w:val="0"/>
      <w:pStyle w:val="DeptOutNumbered"/>
      <w:lvlText w:val="%1."/>
      <w:lvlJc w:val="left"/>
      <w:pPr>
        <w:tabs>
          <w:tab w:val="num" w:pos="720"/>
        </w:tabs>
        <w:ind w:left="0" w:firstLine="0"/>
      </w:pPr>
      <w:rPr>
        <w:rFonts w:hint="default"/>
      </w:rPr>
    </w:lvl>
    <w:lvl w:ilvl="1">
      <w:start w:val="1"/>
      <w:numFmt w:val="lowerLetter"/>
      <w:lvlText w:val="%2."/>
      <w:lvlJc w:val="left"/>
      <w:pPr>
        <w:tabs>
          <w:tab w:val="num" w:pos="1440"/>
        </w:tabs>
        <w:ind w:left="1440" w:hanging="720"/>
      </w:pPr>
      <w:rPr>
        <w:rFonts w:hint="default"/>
      </w:rPr>
    </w:lvl>
    <w:lvl w:ilvl="2">
      <w:start w:val="1"/>
      <w:numFmt w:val="lowerRoman"/>
      <w:lvlText w:val="%3)"/>
      <w:lvlJc w:val="left"/>
      <w:pPr>
        <w:tabs>
          <w:tab w:val="num" w:pos="2160"/>
        </w:tabs>
        <w:ind w:left="2160" w:hanging="720"/>
      </w:pPr>
      <w:rPr>
        <w:rFonts w:ascii="Arial" w:hAnsi="Arial" w:hint="default"/>
        <w:color w:val="auto"/>
        <w:sz w:val="22"/>
        <w:szCs w:val="22"/>
      </w:rPr>
    </w:lvl>
    <w:lvl w:ilvl="3">
      <w:start w:val="1"/>
      <w:numFmt w:val="lowerLetter"/>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lowerRoman"/>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lowerLetter"/>
      <w:lvlText w:val="%8."/>
      <w:lvlJc w:val="left"/>
      <w:pPr>
        <w:tabs>
          <w:tab w:val="num" w:pos="5760"/>
        </w:tabs>
        <w:ind w:left="5760" w:hanging="720"/>
      </w:pPr>
      <w:rPr>
        <w:rFonts w:hint="default"/>
      </w:rPr>
    </w:lvl>
    <w:lvl w:ilvl="8">
      <w:start w:val="1"/>
      <w:numFmt w:val="lowerRoman"/>
      <w:lvlText w:val="%9."/>
      <w:lvlJc w:val="left"/>
      <w:pPr>
        <w:tabs>
          <w:tab w:val="num" w:pos="6480"/>
        </w:tabs>
        <w:ind w:left="6480" w:hanging="720"/>
      </w:pPr>
      <w:rPr>
        <w:rFonts w:hint="default"/>
      </w:rPr>
    </w:lvl>
  </w:abstractNum>
  <w:abstractNum w:abstractNumId="3" w15:restartNumberingAfterBreak="0">
    <w:nsid w:val="38A4341C"/>
    <w:multiLevelType w:val="hybridMultilevel"/>
    <w:tmpl w:val="22F44802"/>
    <w:lvl w:ilvl="0" w:tplc="08090001">
      <w:start w:val="2"/>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B529C0"/>
    <w:multiLevelType w:val="hybridMultilevel"/>
    <w:tmpl w:val="DA7A2A04"/>
    <w:lvl w:ilvl="0" w:tplc="BBBED8EC">
      <w:start w:val="1"/>
      <w:numFmt w:val="bullet"/>
      <w:lvlRestart w:val="0"/>
      <w:pStyle w:val="Dept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5" w15:restartNumberingAfterBreak="0">
    <w:nsid w:val="497F493C"/>
    <w:multiLevelType w:val="hybridMultilevel"/>
    <w:tmpl w:val="80C8FC7C"/>
    <w:lvl w:ilvl="0" w:tplc="0809001B">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24E3D54"/>
    <w:multiLevelType w:val="hybridMultilevel"/>
    <w:tmpl w:val="0AC224D8"/>
    <w:lvl w:ilvl="0" w:tplc="B0985306">
      <w:start w:val="1"/>
      <w:numFmt w:val="bullet"/>
      <w:lvlRestart w:val="0"/>
      <w:pStyle w:val="DfESBullets"/>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9042462"/>
    <w:multiLevelType w:val="hybridMultilevel"/>
    <w:tmpl w:val="F21A9392"/>
    <w:lvl w:ilvl="0" w:tplc="79A87EFA">
      <w:start w:val="1"/>
      <w:numFmt w:val="decimal"/>
      <w:lvlRestart w:val="0"/>
      <w:lvlText w:val="%1."/>
      <w:lvlJc w:val="left"/>
      <w:pPr>
        <w:tabs>
          <w:tab w:val="num" w:pos="720"/>
        </w:tabs>
        <w:ind w:left="720" w:hanging="72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90726A4"/>
    <w:multiLevelType w:val="multilevel"/>
    <w:tmpl w:val="4DD68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516FCF"/>
    <w:multiLevelType w:val="hybridMultilevel"/>
    <w:tmpl w:val="4B9E616E"/>
    <w:lvl w:ilvl="0" w:tplc="2CC29814">
      <w:start w:val="1"/>
      <w:numFmt w:val="decimal"/>
      <w:lvlRestart w:val="0"/>
      <w:lvlText w:val="%1."/>
      <w:lvlJc w:val="left"/>
      <w:pPr>
        <w:tabs>
          <w:tab w:val="num" w:pos="720"/>
        </w:tabs>
        <w:ind w:left="720" w:hanging="72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12564A3"/>
    <w:multiLevelType w:val="hybridMultilevel"/>
    <w:tmpl w:val="1BCA73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BA712A3"/>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7FFB0D1B"/>
    <w:multiLevelType w:val="hybridMultilevel"/>
    <w:tmpl w:val="F70AEAE4"/>
    <w:lvl w:ilvl="0" w:tplc="9A72770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
  </w:num>
  <w:num w:numId="3">
    <w:abstractNumId w:val="11"/>
  </w:num>
  <w:num w:numId="4">
    <w:abstractNumId w:val="0"/>
  </w:num>
  <w:num w:numId="5">
    <w:abstractNumId w:val="6"/>
  </w:num>
  <w:num w:numId="6">
    <w:abstractNumId w:val="9"/>
  </w:num>
  <w:num w:numId="7">
    <w:abstractNumId w:val="7"/>
  </w:num>
  <w:num w:numId="8">
    <w:abstractNumId w:val="3"/>
  </w:num>
  <w:num w:numId="9">
    <w:abstractNumId w:val="1"/>
  </w:num>
  <w:num w:numId="10">
    <w:abstractNumId w:val="10"/>
  </w:num>
  <w:num w:numId="11">
    <w:abstractNumId w:val="12"/>
  </w:num>
  <w:num w:numId="12">
    <w:abstractNumId w:val="4"/>
  </w:num>
  <w:num w:numId="13">
    <w:abstractNumId w:val="4"/>
  </w:num>
  <w:num w:numId="14">
    <w:abstractNumId w:val="4"/>
  </w:num>
  <w:num w:numId="15">
    <w:abstractNumId w:val="4"/>
  </w:num>
  <w:num w:numId="16">
    <w:abstractNumId w:val="4"/>
  </w:num>
  <w:num w:numId="17">
    <w:abstractNumId w:val="8"/>
  </w:num>
  <w:num w:numId="18">
    <w:abstractNumId w:val="5"/>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03D"/>
    <w:rsid w:val="00011F78"/>
    <w:rsid w:val="00022DB6"/>
    <w:rsid w:val="00041864"/>
    <w:rsid w:val="00044E99"/>
    <w:rsid w:val="0004776A"/>
    <w:rsid w:val="00054FD8"/>
    <w:rsid w:val="00070566"/>
    <w:rsid w:val="00071048"/>
    <w:rsid w:val="00075084"/>
    <w:rsid w:val="000833EF"/>
    <w:rsid w:val="00087087"/>
    <w:rsid w:val="00091490"/>
    <w:rsid w:val="00094489"/>
    <w:rsid w:val="00096C54"/>
    <w:rsid w:val="000A0C1B"/>
    <w:rsid w:val="000B1468"/>
    <w:rsid w:val="000B644D"/>
    <w:rsid w:val="000F4E59"/>
    <w:rsid w:val="00116F59"/>
    <w:rsid w:val="00126BEF"/>
    <w:rsid w:val="00134225"/>
    <w:rsid w:val="001362FD"/>
    <w:rsid w:val="001366BB"/>
    <w:rsid w:val="001372F2"/>
    <w:rsid w:val="00153F85"/>
    <w:rsid w:val="0016349F"/>
    <w:rsid w:val="00166727"/>
    <w:rsid w:val="00167184"/>
    <w:rsid w:val="00180A06"/>
    <w:rsid w:val="00182783"/>
    <w:rsid w:val="001848DD"/>
    <w:rsid w:val="001864B6"/>
    <w:rsid w:val="00195F8E"/>
    <w:rsid w:val="001A54FA"/>
    <w:rsid w:val="001B05C8"/>
    <w:rsid w:val="001B6DF9"/>
    <w:rsid w:val="001D55BC"/>
    <w:rsid w:val="001D7FB3"/>
    <w:rsid w:val="002009C2"/>
    <w:rsid w:val="00211C37"/>
    <w:rsid w:val="002120B7"/>
    <w:rsid w:val="00212D24"/>
    <w:rsid w:val="00217581"/>
    <w:rsid w:val="00232FBC"/>
    <w:rsid w:val="002335B0"/>
    <w:rsid w:val="002338A1"/>
    <w:rsid w:val="00266064"/>
    <w:rsid w:val="00266D0B"/>
    <w:rsid w:val="00271E2F"/>
    <w:rsid w:val="0027611C"/>
    <w:rsid w:val="002840D0"/>
    <w:rsid w:val="002906ED"/>
    <w:rsid w:val="00295EFC"/>
    <w:rsid w:val="002A2A29"/>
    <w:rsid w:val="002A4DBC"/>
    <w:rsid w:val="002B4DCE"/>
    <w:rsid w:val="002B651E"/>
    <w:rsid w:val="002C4714"/>
    <w:rsid w:val="002D2A7A"/>
    <w:rsid w:val="002D4A7E"/>
    <w:rsid w:val="002D6CFB"/>
    <w:rsid w:val="002E28FA"/>
    <w:rsid w:val="0030303B"/>
    <w:rsid w:val="00310708"/>
    <w:rsid w:val="00312BD3"/>
    <w:rsid w:val="003175B2"/>
    <w:rsid w:val="0033462F"/>
    <w:rsid w:val="00347A3B"/>
    <w:rsid w:val="0035503D"/>
    <w:rsid w:val="003579F0"/>
    <w:rsid w:val="00367EEB"/>
    <w:rsid w:val="00370895"/>
    <w:rsid w:val="00392AE9"/>
    <w:rsid w:val="003B78F9"/>
    <w:rsid w:val="003D74A2"/>
    <w:rsid w:val="003D7A13"/>
    <w:rsid w:val="003E1B86"/>
    <w:rsid w:val="00401313"/>
    <w:rsid w:val="00402829"/>
    <w:rsid w:val="00430DC5"/>
    <w:rsid w:val="004322FE"/>
    <w:rsid w:val="00447376"/>
    <w:rsid w:val="00450D89"/>
    <w:rsid w:val="004533A7"/>
    <w:rsid w:val="00460505"/>
    <w:rsid w:val="00460861"/>
    <w:rsid w:val="0046208B"/>
    <w:rsid w:val="00463122"/>
    <w:rsid w:val="00463BC9"/>
    <w:rsid w:val="00480E77"/>
    <w:rsid w:val="004842D2"/>
    <w:rsid w:val="00484C39"/>
    <w:rsid w:val="0048731A"/>
    <w:rsid w:val="004955D9"/>
    <w:rsid w:val="004B4986"/>
    <w:rsid w:val="004C4DA8"/>
    <w:rsid w:val="004E274B"/>
    <w:rsid w:val="004E5EE4"/>
    <w:rsid w:val="004E633C"/>
    <w:rsid w:val="00511CA5"/>
    <w:rsid w:val="005150CE"/>
    <w:rsid w:val="0052207B"/>
    <w:rsid w:val="0053041E"/>
    <w:rsid w:val="00530814"/>
    <w:rsid w:val="00545301"/>
    <w:rsid w:val="00565333"/>
    <w:rsid w:val="00584B08"/>
    <w:rsid w:val="00591B39"/>
    <w:rsid w:val="005A2FB5"/>
    <w:rsid w:val="005B1CC3"/>
    <w:rsid w:val="005B2F60"/>
    <w:rsid w:val="005B40DC"/>
    <w:rsid w:val="005B5A07"/>
    <w:rsid w:val="005C1372"/>
    <w:rsid w:val="00607A4B"/>
    <w:rsid w:val="0062704E"/>
    <w:rsid w:val="00634682"/>
    <w:rsid w:val="0063507E"/>
    <w:rsid w:val="006363E9"/>
    <w:rsid w:val="00682F92"/>
    <w:rsid w:val="006858D6"/>
    <w:rsid w:val="00687908"/>
    <w:rsid w:val="006A0189"/>
    <w:rsid w:val="006A1127"/>
    <w:rsid w:val="006A2F72"/>
    <w:rsid w:val="006A3278"/>
    <w:rsid w:val="006A43B1"/>
    <w:rsid w:val="006A7C29"/>
    <w:rsid w:val="006B0518"/>
    <w:rsid w:val="006D3EBD"/>
    <w:rsid w:val="006D3F80"/>
    <w:rsid w:val="006E0940"/>
    <w:rsid w:val="006E687D"/>
    <w:rsid w:val="006E6F0B"/>
    <w:rsid w:val="006F2E63"/>
    <w:rsid w:val="00700566"/>
    <w:rsid w:val="007026E8"/>
    <w:rsid w:val="007104E4"/>
    <w:rsid w:val="00713100"/>
    <w:rsid w:val="0074122D"/>
    <w:rsid w:val="007442BB"/>
    <w:rsid w:val="007463C5"/>
    <w:rsid w:val="00746846"/>
    <w:rsid w:val="007510C3"/>
    <w:rsid w:val="0076458E"/>
    <w:rsid w:val="00767063"/>
    <w:rsid w:val="007674DA"/>
    <w:rsid w:val="00772652"/>
    <w:rsid w:val="007735D7"/>
    <w:rsid w:val="007940AE"/>
    <w:rsid w:val="007A10F9"/>
    <w:rsid w:val="007A3896"/>
    <w:rsid w:val="007A4C02"/>
    <w:rsid w:val="007B49CD"/>
    <w:rsid w:val="007B593B"/>
    <w:rsid w:val="007B5A46"/>
    <w:rsid w:val="007B7B9C"/>
    <w:rsid w:val="007C1BC2"/>
    <w:rsid w:val="007D0DBA"/>
    <w:rsid w:val="007D4DB0"/>
    <w:rsid w:val="007F073B"/>
    <w:rsid w:val="00805C72"/>
    <w:rsid w:val="00810C01"/>
    <w:rsid w:val="00820776"/>
    <w:rsid w:val="008265B8"/>
    <w:rsid w:val="00831225"/>
    <w:rsid w:val="008361AE"/>
    <w:rsid w:val="008428AB"/>
    <w:rsid w:val="00845FC5"/>
    <w:rsid w:val="00853192"/>
    <w:rsid w:val="008607C4"/>
    <w:rsid w:val="00863664"/>
    <w:rsid w:val="0088151C"/>
    <w:rsid w:val="008817AB"/>
    <w:rsid w:val="008843A4"/>
    <w:rsid w:val="00897EFF"/>
    <w:rsid w:val="008A005D"/>
    <w:rsid w:val="008B1C49"/>
    <w:rsid w:val="008B67CC"/>
    <w:rsid w:val="008D1228"/>
    <w:rsid w:val="008E3BDA"/>
    <w:rsid w:val="008F452F"/>
    <w:rsid w:val="00905ADC"/>
    <w:rsid w:val="00906C33"/>
    <w:rsid w:val="009173AF"/>
    <w:rsid w:val="009204F1"/>
    <w:rsid w:val="00932946"/>
    <w:rsid w:val="009424FA"/>
    <w:rsid w:val="009426CB"/>
    <w:rsid w:val="00963073"/>
    <w:rsid w:val="00963A54"/>
    <w:rsid w:val="009718BC"/>
    <w:rsid w:val="00971C6A"/>
    <w:rsid w:val="0097315A"/>
    <w:rsid w:val="009737E7"/>
    <w:rsid w:val="00973D40"/>
    <w:rsid w:val="009A3F0A"/>
    <w:rsid w:val="009B3EFE"/>
    <w:rsid w:val="009B493A"/>
    <w:rsid w:val="009C7D77"/>
    <w:rsid w:val="009D3D73"/>
    <w:rsid w:val="009D49FC"/>
    <w:rsid w:val="009D5AF5"/>
    <w:rsid w:val="009E5DD0"/>
    <w:rsid w:val="009E73AD"/>
    <w:rsid w:val="009F5357"/>
    <w:rsid w:val="009F7653"/>
    <w:rsid w:val="00A00569"/>
    <w:rsid w:val="00A11A89"/>
    <w:rsid w:val="00A21E85"/>
    <w:rsid w:val="00A2712A"/>
    <w:rsid w:val="00A3091A"/>
    <w:rsid w:val="00A30C9A"/>
    <w:rsid w:val="00A3306B"/>
    <w:rsid w:val="00A36044"/>
    <w:rsid w:val="00A365EF"/>
    <w:rsid w:val="00A366A9"/>
    <w:rsid w:val="00A46912"/>
    <w:rsid w:val="00A64099"/>
    <w:rsid w:val="00A96425"/>
    <w:rsid w:val="00A9714B"/>
    <w:rsid w:val="00AB3305"/>
    <w:rsid w:val="00AB6016"/>
    <w:rsid w:val="00AC2A37"/>
    <w:rsid w:val="00AC2C6D"/>
    <w:rsid w:val="00AD0E50"/>
    <w:rsid w:val="00AD425F"/>
    <w:rsid w:val="00AD461F"/>
    <w:rsid w:val="00AD632D"/>
    <w:rsid w:val="00AF0554"/>
    <w:rsid w:val="00AF1C07"/>
    <w:rsid w:val="00AF737F"/>
    <w:rsid w:val="00B006DF"/>
    <w:rsid w:val="00B05ECD"/>
    <w:rsid w:val="00B06172"/>
    <w:rsid w:val="00B101B3"/>
    <w:rsid w:val="00B151A8"/>
    <w:rsid w:val="00B16A24"/>
    <w:rsid w:val="00B16A8C"/>
    <w:rsid w:val="00B275C1"/>
    <w:rsid w:val="00B321DC"/>
    <w:rsid w:val="00B57DBE"/>
    <w:rsid w:val="00B6522B"/>
    <w:rsid w:val="00B65709"/>
    <w:rsid w:val="00B67DF2"/>
    <w:rsid w:val="00B80B7F"/>
    <w:rsid w:val="00B80C3C"/>
    <w:rsid w:val="00B82BE6"/>
    <w:rsid w:val="00B85BF7"/>
    <w:rsid w:val="00B90834"/>
    <w:rsid w:val="00B939CC"/>
    <w:rsid w:val="00BA2AA2"/>
    <w:rsid w:val="00BA3C7E"/>
    <w:rsid w:val="00BB36DD"/>
    <w:rsid w:val="00BC547B"/>
    <w:rsid w:val="00BD4B6C"/>
    <w:rsid w:val="00BE6CAF"/>
    <w:rsid w:val="00BF23F5"/>
    <w:rsid w:val="00C21759"/>
    <w:rsid w:val="00C37933"/>
    <w:rsid w:val="00C408C7"/>
    <w:rsid w:val="00C4507D"/>
    <w:rsid w:val="00C4596E"/>
    <w:rsid w:val="00C47EEA"/>
    <w:rsid w:val="00C519D0"/>
    <w:rsid w:val="00C70242"/>
    <w:rsid w:val="00C70ACB"/>
    <w:rsid w:val="00C9333C"/>
    <w:rsid w:val="00CA112D"/>
    <w:rsid w:val="00CA4FEC"/>
    <w:rsid w:val="00CB3C57"/>
    <w:rsid w:val="00CD7921"/>
    <w:rsid w:val="00CE084B"/>
    <w:rsid w:val="00D02D57"/>
    <w:rsid w:val="00D118D6"/>
    <w:rsid w:val="00D20266"/>
    <w:rsid w:val="00D20C29"/>
    <w:rsid w:val="00D33842"/>
    <w:rsid w:val="00D47915"/>
    <w:rsid w:val="00D52586"/>
    <w:rsid w:val="00D57D6E"/>
    <w:rsid w:val="00D61F5A"/>
    <w:rsid w:val="00D63335"/>
    <w:rsid w:val="00D656C2"/>
    <w:rsid w:val="00D8310D"/>
    <w:rsid w:val="00D84014"/>
    <w:rsid w:val="00DB4C12"/>
    <w:rsid w:val="00DE556B"/>
    <w:rsid w:val="00DF4C06"/>
    <w:rsid w:val="00E0081E"/>
    <w:rsid w:val="00E02094"/>
    <w:rsid w:val="00E10F4C"/>
    <w:rsid w:val="00E124ED"/>
    <w:rsid w:val="00E14A1C"/>
    <w:rsid w:val="00E173D5"/>
    <w:rsid w:val="00E2419F"/>
    <w:rsid w:val="00E366D6"/>
    <w:rsid w:val="00E4268D"/>
    <w:rsid w:val="00E44A0F"/>
    <w:rsid w:val="00E531B0"/>
    <w:rsid w:val="00E547C9"/>
    <w:rsid w:val="00E63D8B"/>
    <w:rsid w:val="00E73C8B"/>
    <w:rsid w:val="00E77585"/>
    <w:rsid w:val="00E81F4B"/>
    <w:rsid w:val="00E939EF"/>
    <w:rsid w:val="00EA11BE"/>
    <w:rsid w:val="00EC644A"/>
    <w:rsid w:val="00EC6A3F"/>
    <w:rsid w:val="00F17949"/>
    <w:rsid w:val="00F30554"/>
    <w:rsid w:val="00F348D2"/>
    <w:rsid w:val="00F42317"/>
    <w:rsid w:val="00F4485F"/>
    <w:rsid w:val="00F44B6A"/>
    <w:rsid w:val="00F521C7"/>
    <w:rsid w:val="00F5471B"/>
    <w:rsid w:val="00F564E6"/>
    <w:rsid w:val="00F60BF8"/>
    <w:rsid w:val="00F64863"/>
    <w:rsid w:val="00F65D3D"/>
    <w:rsid w:val="00F72829"/>
    <w:rsid w:val="00F960C1"/>
    <w:rsid w:val="00FA0331"/>
    <w:rsid w:val="00FA0A05"/>
    <w:rsid w:val="00FC049C"/>
    <w:rsid w:val="00FC1C0E"/>
    <w:rsid w:val="00FC5ED8"/>
    <w:rsid w:val="00FD252F"/>
    <w:rsid w:val="00FF68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5C524ADB"/>
  <w15:chartTrackingRefBased/>
  <w15:docId w15:val="{943A77AB-8411-41D7-9BED-93A51154F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5503D"/>
    <w:pPr>
      <w:widowControl w:val="0"/>
      <w:overflowPunct w:val="0"/>
      <w:autoSpaceDE w:val="0"/>
      <w:autoSpaceDN w:val="0"/>
      <w:adjustRightInd w:val="0"/>
      <w:textAlignment w:val="baseline"/>
    </w:pPr>
    <w:rPr>
      <w:rFonts w:ascii="Arial" w:hAnsi="Arial"/>
      <w:sz w:val="24"/>
      <w:lang w:eastAsia="en-US"/>
    </w:rPr>
  </w:style>
  <w:style w:type="paragraph" w:styleId="Heading1">
    <w:name w:val="heading 1"/>
    <w:aliases w:val="Numbered - 1"/>
    <w:basedOn w:val="Normal"/>
    <w:next w:val="Normal"/>
    <w:qFormat/>
    <w:rsid w:val="00AF1C07"/>
    <w:pPr>
      <w:keepNext/>
      <w:keepLines/>
      <w:spacing w:before="240" w:after="240"/>
      <w:outlineLvl w:val="0"/>
    </w:pPr>
    <w:rPr>
      <w:b/>
      <w:kern w:val="28"/>
    </w:rPr>
  </w:style>
  <w:style w:type="paragraph" w:styleId="Heading2">
    <w:name w:val="heading 2"/>
    <w:aliases w:val="Numbered - 2"/>
    <w:basedOn w:val="Heading1"/>
    <w:next w:val="Normal"/>
    <w:qFormat/>
    <w:rsid w:val="00AF1C07"/>
    <w:pPr>
      <w:outlineLvl w:val="1"/>
    </w:pPr>
  </w:style>
  <w:style w:type="paragraph" w:styleId="Heading3">
    <w:name w:val="heading 3"/>
    <w:aliases w:val="Numbered - 3"/>
    <w:basedOn w:val="Heading2"/>
    <w:next w:val="Normal"/>
    <w:qFormat/>
    <w:rsid w:val="00AF1C07"/>
    <w:pPr>
      <w:keepNext w:val="0"/>
      <w:keepLines w:val="0"/>
      <w:spacing w:before="0" w:after="0"/>
      <w:outlineLvl w:val="2"/>
    </w:pPr>
    <w:rPr>
      <w:b w:val="0"/>
    </w:rPr>
  </w:style>
  <w:style w:type="paragraph" w:styleId="Heading4">
    <w:name w:val="heading 4"/>
    <w:aliases w:val="Numbered - 4"/>
    <w:basedOn w:val="Heading3"/>
    <w:next w:val="Normal"/>
    <w:qFormat/>
    <w:rsid w:val="00AF1C07"/>
    <w:pPr>
      <w:outlineLvl w:val="3"/>
    </w:pPr>
  </w:style>
  <w:style w:type="paragraph" w:styleId="Heading5">
    <w:name w:val="heading 5"/>
    <w:aliases w:val="Numbered - 5"/>
    <w:basedOn w:val="Heading4"/>
    <w:next w:val="Normal"/>
    <w:qFormat/>
    <w:rsid w:val="00AF1C07"/>
    <w:pPr>
      <w:outlineLvl w:val="4"/>
    </w:pPr>
  </w:style>
  <w:style w:type="paragraph" w:styleId="Heading6">
    <w:name w:val="heading 6"/>
    <w:aliases w:val="Numbered - 6"/>
    <w:basedOn w:val="Heading5"/>
    <w:next w:val="Normal"/>
    <w:qFormat/>
    <w:rsid w:val="00AF1C07"/>
    <w:pPr>
      <w:outlineLvl w:val="5"/>
    </w:pPr>
  </w:style>
  <w:style w:type="paragraph" w:styleId="Heading7">
    <w:name w:val="heading 7"/>
    <w:aliases w:val="Numbered - 7"/>
    <w:basedOn w:val="Heading6"/>
    <w:next w:val="Normal"/>
    <w:qFormat/>
    <w:rsid w:val="00AF1C07"/>
    <w:pPr>
      <w:outlineLvl w:val="6"/>
    </w:pPr>
  </w:style>
  <w:style w:type="paragraph" w:styleId="Heading8">
    <w:name w:val="heading 8"/>
    <w:aliases w:val="Numbered - 8"/>
    <w:basedOn w:val="Heading7"/>
    <w:next w:val="Normal"/>
    <w:qFormat/>
    <w:rsid w:val="00AF1C07"/>
    <w:pPr>
      <w:outlineLvl w:val="7"/>
    </w:pPr>
  </w:style>
  <w:style w:type="paragraph" w:styleId="Heading9">
    <w:name w:val="heading 9"/>
    <w:aliases w:val="Numbered - 9"/>
    <w:basedOn w:val="Heading8"/>
    <w:next w:val="Normal"/>
    <w:qFormat/>
    <w:rsid w:val="00AF1C07"/>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F1C07"/>
  </w:style>
  <w:style w:type="paragraph" w:styleId="BodyTextIndent">
    <w:name w:val="Body Text Indent"/>
    <w:basedOn w:val="Normal"/>
    <w:rsid w:val="00AF1C07"/>
    <w:pPr>
      <w:ind w:left="288"/>
    </w:pPr>
  </w:style>
  <w:style w:type="paragraph" w:customStyle="1" w:styleId="DeptBullets">
    <w:name w:val="DeptBullets"/>
    <w:basedOn w:val="Normal"/>
    <w:rsid w:val="00AF1C07"/>
    <w:pPr>
      <w:numPr>
        <w:numId w:val="1"/>
      </w:numPr>
      <w:spacing w:after="240"/>
    </w:pPr>
  </w:style>
  <w:style w:type="paragraph" w:customStyle="1" w:styleId="DeptOutNumbered">
    <w:name w:val="DeptOutNumbered"/>
    <w:basedOn w:val="Normal"/>
    <w:rsid w:val="00AF1C07"/>
    <w:pPr>
      <w:numPr>
        <w:numId w:val="2"/>
      </w:numPr>
      <w:spacing w:after="240"/>
    </w:pPr>
  </w:style>
  <w:style w:type="paragraph" w:styleId="Footer">
    <w:name w:val="footer"/>
    <w:basedOn w:val="Normal"/>
    <w:link w:val="FooterChar"/>
    <w:uiPriority w:val="99"/>
    <w:rsid w:val="00AF1C07"/>
    <w:pPr>
      <w:tabs>
        <w:tab w:val="center" w:pos="4153"/>
        <w:tab w:val="right" w:pos="8306"/>
      </w:tabs>
    </w:pPr>
  </w:style>
  <w:style w:type="paragraph" w:styleId="Header">
    <w:name w:val="header"/>
    <w:basedOn w:val="Normal"/>
    <w:rsid w:val="00AF1C07"/>
    <w:pPr>
      <w:tabs>
        <w:tab w:val="center" w:pos="4153"/>
        <w:tab w:val="right" w:pos="8306"/>
      </w:tabs>
    </w:pPr>
  </w:style>
  <w:style w:type="paragraph" w:customStyle="1" w:styleId="Heading">
    <w:name w:val="Heading"/>
    <w:basedOn w:val="Normal"/>
    <w:next w:val="Normal"/>
    <w:rsid w:val="00AF1C07"/>
    <w:pPr>
      <w:keepNext/>
      <w:keepLines/>
      <w:spacing w:before="240" w:after="240"/>
      <w:ind w:left="-720"/>
    </w:pPr>
    <w:rPr>
      <w:b/>
    </w:rPr>
  </w:style>
  <w:style w:type="paragraph" w:customStyle="1" w:styleId="MinuteTop">
    <w:name w:val="Minute Top"/>
    <w:basedOn w:val="Normal"/>
    <w:rsid w:val="00AF1C07"/>
    <w:pPr>
      <w:tabs>
        <w:tab w:val="left" w:pos="4680"/>
        <w:tab w:val="left" w:pos="5587"/>
      </w:tabs>
    </w:pPr>
  </w:style>
  <w:style w:type="paragraph" w:customStyle="1" w:styleId="Numbered">
    <w:name w:val="Numbered"/>
    <w:basedOn w:val="Normal"/>
    <w:rsid w:val="00AF1C07"/>
    <w:pPr>
      <w:spacing w:after="240"/>
    </w:pPr>
  </w:style>
  <w:style w:type="character" w:styleId="PageNumber">
    <w:name w:val="page number"/>
    <w:basedOn w:val="DefaultParagraphFont"/>
    <w:rsid w:val="00AF1C07"/>
  </w:style>
  <w:style w:type="character" w:customStyle="1" w:styleId="PersonalComposeStyle">
    <w:name w:val="Personal Compose Style"/>
    <w:basedOn w:val="DefaultParagraphFont"/>
    <w:rsid w:val="00AF1C07"/>
    <w:rPr>
      <w:rFonts w:ascii="Arial" w:hAnsi="Arial" w:cs="Arial"/>
      <w:color w:val="auto"/>
      <w:sz w:val="20"/>
    </w:rPr>
  </w:style>
  <w:style w:type="character" w:customStyle="1" w:styleId="PersonalReplyStyle">
    <w:name w:val="Personal Reply Style"/>
    <w:basedOn w:val="DefaultParagraphFont"/>
    <w:rsid w:val="00AF1C07"/>
    <w:rPr>
      <w:rFonts w:ascii="Arial" w:hAnsi="Arial" w:cs="Arial"/>
      <w:color w:val="auto"/>
      <w:sz w:val="20"/>
    </w:rPr>
  </w:style>
  <w:style w:type="paragraph" w:customStyle="1" w:styleId="Sub-Heading">
    <w:name w:val="Sub-Heading"/>
    <w:basedOn w:val="Heading"/>
    <w:next w:val="Numbered"/>
    <w:rsid w:val="00AF1C07"/>
    <w:pPr>
      <w:spacing w:before="0"/>
    </w:pPr>
  </w:style>
  <w:style w:type="paragraph" w:styleId="Subtitle">
    <w:name w:val="Subtitle"/>
    <w:basedOn w:val="Normal"/>
    <w:qFormat/>
    <w:rsid w:val="00AF1C07"/>
    <w:pPr>
      <w:spacing w:after="60"/>
      <w:jc w:val="center"/>
    </w:pPr>
    <w:rPr>
      <w:i/>
    </w:rPr>
  </w:style>
  <w:style w:type="paragraph" w:customStyle="1" w:styleId="DfESOutNumbered">
    <w:name w:val="DfESOutNumbered"/>
    <w:basedOn w:val="Normal"/>
    <w:rsid w:val="00AF1C07"/>
    <w:pPr>
      <w:numPr>
        <w:numId w:val="4"/>
      </w:numPr>
      <w:spacing w:after="240"/>
    </w:pPr>
    <w:rPr>
      <w:rFonts w:cs="Arial"/>
      <w:sz w:val="22"/>
    </w:rPr>
  </w:style>
  <w:style w:type="paragraph" w:customStyle="1" w:styleId="DfESBullets">
    <w:name w:val="DfESBullets"/>
    <w:basedOn w:val="Normal"/>
    <w:rsid w:val="00AF1C07"/>
    <w:pPr>
      <w:numPr>
        <w:numId w:val="5"/>
      </w:numPr>
      <w:spacing w:after="240"/>
    </w:pPr>
    <w:rPr>
      <w:rFonts w:cs="Arial"/>
      <w:sz w:val="22"/>
    </w:rPr>
  </w:style>
  <w:style w:type="paragraph" w:styleId="ListParagraph">
    <w:name w:val="List Paragraph"/>
    <w:basedOn w:val="Normal"/>
    <w:uiPriority w:val="34"/>
    <w:qFormat/>
    <w:rsid w:val="007463C5"/>
    <w:pPr>
      <w:ind w:left="720"/>
      <w:contextualSpacing/>
    </w:pPr>
  </w:style>
  <w:style w:type="table" w:styleId="TableGrid">
    <w:name w:val="Table Grid"/>
    <w:basedOn w:val="TableNormal"/>
    <w:rsid w:val="003550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44A0F"/>
    <w:rPr>
      <w:rFonts w:ascii="Segoe UI" w:hAnsi="Segoe UI" w:cs="Segoe UI"/>
      <w:sz w:val="18"/>
      <w:szCs w:val="18"/>
    </w:rPr>
  </w:style>
  <w:style w:type="character" w:customStyle="1" w:styleId="BalloonTextChar">
    <w:name w:val="Balloon Text Char"/>
    <w:basedOn w:val="DefaultParagraphFont"/>
    <w:link w:val="BalloonText"/>
    <w:rsid w:val="00E44A0F"/>
    <w:rPr>
      <w:rFonts w:ascii="Segoe UI" w:hAnsi="Segoe UI" w:cs="Segoe UI"/>
      <w:sz w:val="18"/>
      <w:szCs w:val="18"/>
      <w:lang w:eastAsia="en-US"/>
    </w:rPr>
  </w:style>
  <w:style w:type="character" w:styleId="Hyperlink">
    <w:name w:val="Hyperlink"/>
    <w:basedOn w:val="DefaultParagraphFont"/>
    <w:uiPriority w:val="99"/>
    <w:unhideWhenUsed/>
    <w:rsid w:val="008265B8"/>
    <w:rPr>
      <w:color w:val="0000FF"/>
      <w:u w:val="single"/>
    </w:rPr>
  </w:style>
  <w:style w:type="paragraph" w:styleId="NormalWeb">
    <w:name w:val="Normal (Web)"/>
    <w:basedOn w:val="Normal"/>
    <w:uiPriority w:val="99"/>
    <w:unhideWhenUsed/>
    <w:rsid w:val="00682F92"/>
    <w:rPr>
      <w:rFonts w:ascii="Times New Roman" w:hAnsi="Times New Roman"/>
      <w:szCs w:val="24"/>
    </w:rPr>
  </w:style>
  <w:style w:type="character" w:customStyle="1" w:styleId="FooterChar">
    <w:name w:val="Footer Char"/>
    <w:basedOn w:val="DefaultParagraphFont"/>
    <w:link w:val="Footer"/>
    <w:uiPriority w:val="99"/>
    <w:rsid w:val="00973D40"/>
    <w:rPr>
      <w:rFonts w:ascii="Arial" w:hAnsi="Arial"/>
      <w:sz w:val="24"/>
      <w:lang w:eastAsia="en-US"/>
    </w:rPr>
  </w:style>
  <w:style w:type="character" w:styleId="UnresolvedMention">
    <w:name w:val="Unresolved Mention"/>
    <w:basedOn w:val="DefaultParagraphFont"/>
    <w:uiPriority w:val="99"/>
    <w:semiHidden/>
    <w:unhideWhenUsed/>
    <w:rsid w:val="00B57DBE"/>
    <w:rPr>
      <w:color w:val="605E5C"/>
      <w:shd w:val="clear" w:color="auto" w:fill="E1DFDD"/>
    </w:rPr>
  </w:style>
  <w:style w:type="character" w:styleId="CommentReference">
    <w:name w:val="annotation reference"/>
    <w:basedOn w:val="DefaultParagraphFont"/>
    <w:semiHidden/>
    <w:unhideWhenUsed/>
    <w:rsid w:val="001848DD"/>
    <w:rPr>
      <w:sz w:val="16"/>
      <w:szCs w:val="16"/>
    </w:rPr>
  </w:style>
  <w:style w:type="paragraph" w:styleId="CommentText">
    <w:name w:val="annotation text"/>
    <w:basedOn w:val="Normal"/>
    <w:link w:val="CommentTextChar"/>
    <w:semiHidden/>
    <w:unhideWhenUsed/>
    <w:rsid w:val="001848DD"/>
    <w:rPr>
      <w:sz w:val="20"/>
    </w:rPr>
  </w:style>
  <w:style w:type="character" w:customStyle="1" w:styleId="CommentTextChar">
    <w:name w:val="Comment Text Char"/>
    <w:basedOn w:val="DefaultParagraphFont"/>
    <w:link w:val="CommentText"/>
    <w:semiHidden/>
    <w:rsid w:val="001848DD"/>
    <w:rPr>
      <w:rFonts w:ascii="Arial" w:hAnsi="Arial"/>
      <w:lang w:eastAsia="en-US"/>
    </w:rPr>
  </w:style>
  <w:style w:type="paragraph" w:styleId="CommentSubject">
    <w:name w:val="annotation subject"/>
    <w:basedOn w:val="CommentText"/>
    <w:next w:val="CommentText"/>
    <w:link w:val="CommentSubjectChar"/>
    <w:semiHidden/>
    <w:unhideWhenUsed/>
    <w:rsid w:val="001848DD"/>
    <w:rPr>
      <w:b/>
      <w:bCs/>
    </w:rPr>
  </w:style>
  <w:style w:type="character" w:customStyle="1" w:styleId="CommentSubjectChar">
    <w:name w:val="Comment Subject Char"/>
    <w:basedOn w:val="CommentTextChar"/>
    <w:link w:val="CommentSubject"/>
    <w:semiHidden/>
    <w:rsid w:val="001848DD"/>
    <w:rPr>
      <w:rFonts w:ascii="Arial" w:hAnsi="Arial"/>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7198996">
      <w:bodyDiv w:val="1"/>
      <w:marLeft w:val="0"/>
      <w:marRight w:val="0"/>
      <w:marTop w:val="0"/>
      <w:marBottom w:val="0"/>
      <w:divBdr>
        <w:top w:val="none" w:sz="0" w:space="0" w:color="auto"/>
        <w:left w:val="none" w:sz="0" w:space="0" w:color="auto"/>
        <w:bottom w:val="none" w:sz="0" w:space="0" w:color="auto"/>
        <w:right w:val="none" w:sz="0" w:space="0" w:color="auto"/>
      </w:divBdr>
      <w:divsChild>
        <w:div w:id="1181508319">
          <w:marLeft w:val="0"/>
          <w:marRight w:val="0"/>
          <w:marTop w:val="0"/>
          <w:marBottom w:val="0"/>
          <w:divBdr>
            <w:top w:val="none" w:sz="0" w:space="0" w:color="auto"/>
            <w:left w:val="none" w:sz="0" w:space="0" w:color="auto"/>
            <w:bottom w:val="none" w:sz="0" w:space="0" w:color="auto"/>
            <w:right w:val="none" w:sz="0" w:space="0" w:color="auto"/>
          </w:divBdr>
          <w:divsChild>
            <w:div w:id="272397058">
              <w:marLeft w:val="0"/>
              <w:marRight w:val="0"/>
              <w:marTop w:val="0"/>
              <w:marBottom w:val="0"/>
              <w:divBdr>
                <w:top w:val="none" w:sz="0" w:space="0" w:color="auto"/>
                <w:left w:val="none" w:sz="0" w:space="0" w:color="auto"/>
                <w:bottom w:val="none" w:sz="0" w:space="0" w:color="auto"/>
                <w:right w:val="none" w:sz="0" w:space="0" w:color="auto"/>
              </w:divBdr>
              <w:divsChild>
                <w:div w:id="1271813783">
                  <w:marLeft w:val="0"/>
                  <w:marRight w:val="0"/>
                  <w:marTop w:val="0"/>
                  <w:marBottom w:val="0"/>
                  <w:divBdr>
                    <w:top w:val="none" w:sz="0" w:space="0" w:color="auto"/>
                    <w:left w:val="none" w:sz="0" w:space="0" w:color="auto"/>
                    <w:bottom w:val="none" w:sz="0" w:space="0" w:color="auto"/>
                    <w:right w:val="none" w:sz="0" w:space="0" w:color="auto"/>
                  </w:divBdr>
                  <w:divsChild>
                    <w:div w:id="1896770039">
                      <w:marLeft w:val="0"/>
                      <w:marRight w:val="0"/>
                      <w:marTop w:val="0"/>
                      <w:marBottom w:val="0"/>
                      <w:divBdr>
                        <w:top w:val="none" w:sz="0" w:space="0" w:color="auto"/>
                        <w:left w:val="none" w:sz="0" w:space="0" w:color="auto"/>
                        <w:bottom w:val="none" w:sz="0" w:space="0" w:color="auto"/>
                        <w:right w:val="none" w:sz="0" w:space="0" w:color="auto"/>
                      </w:divBdr>
                      <w:divsChild>
                        <w:div w:id="1561744650">
                          <w:marLeft w:val="0"/>
                          <w:marRight w:val="0"/>
                          <w:marTop w:val="0"/>
                          <w:marBottom w:val="0"/>
                          <w:divBdr>
                            <w:top w:val="none" w:sz="0" w:space="0" w:color="auto"/>
                            <w:left w:val="none" w:sz="0" w:space="0" w:color="auto"/>
                            <w:bottom w:val="none" w:sz="0" w:space="0" w:color="auto"/>
                            <w:right w:val="none" w:sz="0" w:space="0" w:color="auto"/>
                          </w:divBdr>
                          <w:divsChild>
                            <w:div w:id="885411658">
                              <w:marLeft w:val="0"/>
                              <w:marRight w:val="0"/>
                              <w:marTop w:val="0"/>
                              <w:marBottom w:val="0"/>
                              <w:divBdr>
                                <w:top w:val="none" w:sz="0" w:space="0" w:color="auto"/>
                                <w:left w:val="none" w:sz="0" w:space="0" w:color="auto"/>
                                <w:bottom w:val="none" w:sz="0" w:space="0" w:color="auto"/>
                                <w:right w:val="none" w:sz="0" w:space="0" w:color="auto"/>
                              </w:divBdr>
                              <w:divsChild>
                                <w:div w:id="653224245">
                                  <w:marLeft w:val="0"/>
                                  <w:marRight w:val="0"/>
                                  <w:marTop w:val="0"/>
                                  <w:marBottom w:val="0"/>
                                  <w:divBdr>
                                    <w:top w:val="none" w:sz="0" w:space="0" w:color="auto"/>
                                    <w:left w:val="none" w:sz="0" w:space="0" w:color="auto"/>
                                    <w:bottom w:val="none" w:sz="0" w:space="0" w:color="auto"/>
                                    <w:right w:val="none" w:sz="0" w:space="0" w:color="auto"/>
                                  </w:divBdr>
                                  <w:divsChild>
                                    <w:div w:id="12624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4837792">
      <w:bodyDiv w:val="1"/>
      <w:marLeft w:val="0"/>
      <w:marRight w:val="0"/>
      <w:marTop w:val="0"/>
      <w:marBottom w:val="0"/>
      <w:divBdr>
        <w:top w:val="none" w:sz="0" w:space="0" w:color="auto"/>
        <w:left w:val="none" w:sz="0" w:space="0" w:color="auto"/>
        <w:bottom w:val="none" w:sz="0" w:space="0" w:color="auto"/>
        <w:right w:val="none" w:sz="0" w:space="0" w:color="auto"/>
      </w:divBdr>
      <w:divsChild>
        <w:div w:id="1623150802">
          <w:marLeft w:val="0"/>
          <w:marRight w:val="0"/>
          <w:marTop w:val="0"/>
          <w:marBottom w:val="0"/>
          <w:divBdr>
            <w:top w:val="none" w:sz="0" w:space="0" w:color="auto"/>
            <w:left w:val="none" w:sz="0" w:space="0" w:color="auto"/>
            <w:bottom w:val="none" w:sz="0" w:space="0" w:color="auto"/>
            <w:right w:val="none" w:sz="0" w:space="0" w:color="auto"/>
          </w:divBdr>
          <w:divsChild>
            <w:div w:id="641736912">
              <w:marLeft w:val="0"/>
              <w:marRight w:val="0"/>
              <w:marTop w:val="0"/>
              <w:marBottom w:val="0"/>
              <w:divBdr>
                <w:top w:val="none" w:sz="0" w:space="0" w:color="auto"/>
                <w:left w:val="none" w:sz="0" w:space="0" w:color="auto"/>
                <w:bottom w:val="none" w:sz="0" w:space="0" w:color="auto"/>
                <w:right w:val="none" w:sz="0" w:space="0" w:color="auto"/>
              </w:divBdr>
              <w:divsChild>
                <w:div w:id="1984658485">
                  <w:marLeft w:val="0"/>
                  <w:marRight w:val="0"/>
                  <w:marTop w:val="0"/>
                  <w:marBottom w:val="0"/>
                  <w:divBdr>
                    <w:top w:val="none" w:sz="0" w:space="0" w:color="auto"/>
                    <w:left w:val="none" w:sz="0" w:space="0" w:color="auto"/>
                    <w:bottom w:val="none" w:sz="0" w:space="0" w:color="auto"/>
                    <w:right w:val="none" w:sz="0" w:space="0" w:color="auto"/>
                  </w:divBdr>
                  <w:divsChild>
                    <w:div w:id="402021766">
                      <w:marLeft w:val="0"/>
                      <w:marRight w:val="0"/>
                      <w:marTop w:val="0"/>
                      <w:marBottom w:val="0"/>
                      <w:divBdr>
                        <w:top w:val="none" w:sz="0" w:space="0" w:color="auto"/>
                        <w:left w:val="none" w:sz="0" w:space="0" w:color="auto"/>
                        <w:bottom w:val="none" w:sz="0" w:space="0" w:color="auto"/>
                        <w:right w:val="none" w:sz="0" w:space="0" w:color="auto"/>
                      </w:divBdr>
                      <w:divsChild>
                        <w:div w:id="848565140">
                          <w:marLeft w:val="0"/>
                          <w:marRight w:val="0"/>
                          <w:marTop w:val="0"/>
                          <w:marBottom w:val="0"/>
                          <w:divBdr>
                            <w:top w:val="none" w:sz="0" w:space="0" w:color="auto"/>
                            <w:left w:val="none" w:sz="0" w:space="0" w:color="auto"/>
                            <w:bottom w:val="none" w:sz="0" w:space="0" w:color="auto"/>
                            <w:right w:val="none" w:sz="0" w:space="0" w:color="auto"/>
                          </w:divBdr>
                          <w:divsChild>
                            <w:div w:id="255984965">
                              <w:marLeft w:val="0"/>
                              <w:marRight w:val="0"/>
                              <w:marTop w:val="0"/>
                              <w:marBottom w:val="0"/>
                              <w:divBdr>
                                <w:top w:val="none" w:sz="0" w:space="0" w:color="auto"/>
                                <w:left w:val="none" w:sz="0" w:space="0" w:color="auto"/>
                                <w:bottom w:val="none" w:sz="0" w:space="0" w:color="auto"/>
                                <w:right w:val="none" w:sz="0" w:space="0" w:color="auto"/>
                              </w:divBdr>
                              <w:divsChild>
                                <w:div w:id="1105734142">
                                  <w:marLeft w:val="0"/>
                                  <w:marRight w:val="0"/>
                                  <w:marTop w:val="0"/>
                                  <w:marBottom w:val="0"/>
                                  <w:divBdr>
                                    <w:top w:val="none" w:sz="0" w:space="0" w:color="auto"/>
                                    <w:left w:val="none" w:sz="0" w:space="0" w:color="auto"/>
                                    <w:bottom w:val="none" w:sz="0" w:space="0" w:color="auto"/>
                                    <w:right w:val="none" w:sz="0" w:space="0" w:color="auto"/>
                                  </w:divBdr>
                                  <w:divsChild>
                                    <w:div w:id="132239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3625447">
      <w:bodyDiv w:val="1"/>
      <w:marLeft w:val="0"/>
      <w:marRight w:val="0"/>
      <w:marTop w:val="0"/>
      <w:marBottom w:val="0"/>
      <w:divBdr>
        <w:top w:val="none" w:sz="0" w:space="0" w:color="auto"/>
        <w:left w:val="none" w:sz="0" w:space="0" w:color="auto"/>
        <w:bottom w:val="none" w:sz="0" w:space="0" w:color="auto"/>
        <w:right w:val="none" w:sz="0" w:space="0" w:color="auto"/>
      </w:divBdr>
      <w:divsChild>
        <w:div w:id="1513642629">
          <w:marLeft w:val="0"/>
          <w:marRight w:val="0"/>
          <w:marTop w:val="0"/>
          <w:marBottom w:val="0"/>
          <w:divBdr>
            <w:top w:val="none" w:sz="0" w:space="0" w:color="auto"/>
            <w:left w:val="none" w:sz="0" w:space="0" w:color="auto"/>
            <w:bottom w:val="none" w:sz="0" w:space="0" w:color="auto"/>
            <w:right w:val="none" w:sz="0" w:space="0" w:color="auto"/>
          </w:divBdr>
          <w:divsChild>
            <w:div w:id="581985129">
              <w:marLeft w:val="0"/>
              <w:marRight w:val="0"/>
              <w:marTop w:val="0"/>
              <w:marBottom w:val="0"/>
              <w:divBdr>
                <w:top w:val="none" w:sz="0" w:space="0" w:color="auto"/>
                <w:left w:val="none" w:sz="0" w:space="0" w:color="auto"/>
                <w:bottom w:val="none" w:sz="0" w:space="0" w:color="auto"/>
                <w:right w:val="none" w:sz="0" w:space="0" w:color="auto"/>
              </w:divBdr>
              <w:divsChild>
                <w:div w:id="1250041312">
                  <w:marLeft w:val="0"/>
                  <w:marRight w:val="0"/>
                  <w:marTop w:val="0"/>
                  <w:marBottom w:val="0"/>
                  <w:divBdr>
                    <w:top w:val="none" w:sz="0" w:space="0" w:color="auto"/>
                    <w:left w:val="none" w:sz="0" w:space="0" w:color="auto"/>
                    <w:bottom w:val="none" w:sz="0" w:space="0" w:color="auto"/>
                    <w:right w:val="none" w:sz="0" w:space="0" w:color="auto"/>
                  </w:divBdr>
                  <w:divsChild>
                    <w:div w:id="1929458910">
                      <w:marLeft w:val="0"/>
                      <w:marRight w:val="0"/>
                      <w:marTop w:val="0"/>
                      <w:marBottom w:val="0"/>
                      <w:divBdr>
                        <w:top w:val="none" w:sz="0" w:space="0" w:color="auto"/>
                        <w:left w:val="none" w:sz="0" w:space="0" w:color="auto"/>
                        <w:bottom w:val="none" w:sz="0" w:space="0" w:color="auto"/>
                        <w:right w:val="none" w:sz="0" w:space="0" w:color="auto"/>
                      </w:divBdr>
                      <w:divsChild>
                        <w:div w:id="188179296">
                          <w:marLeft w:val="0"/>
                          <w:marRight w:val="0"/>
                          <w:marTop w:val="0"/>
                          <w:marBottom w:val="0"/>
                          <w:divBdr>
                            <w:top w:val="none" w:sz="0" w:space="0" w:color="auto"/>
                            <w:left w:val="none" w:sz="0" w:space="0" w:color="auto"/>
                            <w:bottom w:val="none" w:sz="0" w:space="0" w:color="auto"/>
                            <w:right w:val="none" w:sz="0" w:space="0" w:color="auto"/>
                          </w:divBdr>
                          <w:divsChild>
                            <w:div w:id="1147556400">
                              <w:marLeft w:val="0"/>
                              <w:marRight w:val="0"/>
                              <w:marTop w:val="0"/>
                              <w:marBottom w:val="0"/>
                              <w:divBdr>
                                <w:top w:val="none" w:sz="0" w:space="0" w:color="auto"/>
                                <w:left w:val="none" w:sz="0" w:space="0" w:color="auto"/>
                                <w:bottom w:val="none" w:sz="0" w:space="0" w:color="auto"/>
                                <w:right w:val="none" w:sz="0" w:space="0" w:color="auto"/>
                              </w:divBdr>
                              <w:divsChild>
                                <w:div w:id="814641091">
                                  <w:marLeft w:val="0"/>
                                  <w:marRight w:val="0"/>
                                  <w:marTop w:val="0"/>
                                  <w:marBottom w:val="0"/>
                                  <w:divBdr>
                                    <w:top w:val="none" w:sz="0" w:space="0" w:color="auto"/>
                                    <w:left w:val="none" w:sz="0" w:space="0" w:color="auto"/>
                                    <w:bottom w:val="none" w:sz="0" w:space="0" w:color="auto"/>
                                    <w:right w:val="none" w:sz="0" w:space="0" w:color="auto"/>
                                  </w:divBdr>
                                  <w:divsChild>
                                    <w:div w:id="148465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6708958">
      <w:bodyDiv w:val="1"/>
      <w:marLeft w:val="0"/>
      <w:marRight w:val="0"/>
      <w:marTop w:val="0"/>
      <w:marBottom w:val="0"/>
      <w:divBdr>
        <w:top w:val="none" w:sz="0" w:space="0" w:color="auto"/>
        <w:left w:val="none" w:sz="0" w:space="0" w:color="auto"/>
        <w:bottom w:val="none" w:sz="0" w:space="0" w:color="auto"/>
        <w:right w:val="none" w:sz="0" w:space="0" w:color="auto"/>
      </w:divBdr>
      <w:divsChild>
        <w:div w:id="1659070864">
          <w:marLeft w:val="0"/>
          <w:marRight w:val="0"/>
          <w:marTop w:val="0"/>
          <w:marBottom w:val="0"/>
          <w:divBdr>
            <w:top w:val="none" w:sz="0" w:space="0" w:color="auto"/>
            <w:left w:val="none" w:sz="0" w:space="0" w:color="auto"/>
            <w:bottom w:val="none" w:sz="0" w:space="0" w:color="auto"/>
            <w:right w:val="none" w:sz="0" w:space="0" w:color="auto"/>
          </w:divBdr>
          <w:divsChild>
            <w:div w:id="1872525026">
              <w:marLeft w:val="0"/>
              <w:marRight w:val="0"/>
              <w:marTop w:val="0"/>
              <w:marBottom w:val="0"/>
              <w:divBdr>
                <w:top w:val="none" w:sz="0" w:space="0" w:color="auto"/>
                <w:left w:val="none" w:sz="0" w:space="0" w:color="auto"/>
                <w:bottom w:val="none" w:sz="0" w:space="0" w:color="auto"/>
                <w:right w:val="none" w:sz="0" w:space="0" w:color="auto"/>
              </w:divBdr>
              <w:divsChild>
                <w:div w:id="1934699973">
                  <w:marLeft w:val="0"/>
                  <w:marRight w:val="0"/>
                  <w:marTop w:val="0"/>
                  <w:marBottom w:val="0"/>
                  <w:divBdr>
                    <w:top w:val="none" w:sz="0" w:space="0" w:color="auto"/>
                    <w:left w:val="none" w:sz="0" w:space="0" w:color="auto"/>
                    <w:bottom w:val="none" w:sz="0" w:space="0" w:color="auto"/>
                    <w:right w:val="none" w:sz="0" w:space="0" w:color="auto"/>
                  </w:divBdr>
                  <w:divsChild>
                    <w:div w:id="987705667">
                      <w:marLeft w:val="0"/>
                      <w:marRight w:val="0"/>
                      <w:marTop w:val="0"/>
                      <w:marBottom w:val="0"/>
                      <w:divBdr>
                        <w:top w:val="none" w:sz="0" w:space="0" w:color="auto"/>
                        <w:left w:val="none" w:sz="0" w:space="0" w:color="auto"/>
                        <w:bottom w:val="none" w:sz="0" w:space="0" w:color="auto"/>
                        <w:right w:val="none" w:sz="0" w:space="0" w:color="auto"/>
                      </w:divBdr>
                      <w:divsChild>
                        <w:div w:id="492724132">
                          <w:marLeft w:val="0"/>
                          <w:marRight w:val="0"/>
                          <w:marTop w:val="0"/>
                          <w:marBottom w:val="0"/>
                          <w:divBdr>
                            <w:top w:val="none" w:sz="0" w:space="0" w:color="auto"/>
                            <w:left w:val="none" w:sz="0" w:space="0" w:color="auto"/>
                            <w:bottom w:val="none" w:sz="0" w:space="0" w:color="auto"/>
                            <w:right w:val="none" w:sz="0" w:space="0" w:color="auto"/>
                          </w:divBdr>
                          <w:divsChild>
                            <w:div w:id="53203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www.gov.uk/government/publications/mainstream-schools-area-guideline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www.gov.uk/government/publications/mainstream-schools-schedule-of-accommodation-tool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gov.uk/guidance/good-estate-management-for-schools/overseeing-the-estate"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www.gov.uk/government/publications/send-and-alternative-provision-area-guidelin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15D95645693C419D99F437D9D70467" ma:contentTypeVersion="6" ma:contentTypeDescription="Create a new document." ma:contentTypeScope="" ma:versionID="02b8d23697360509f930a26d289bcd68">
  <xsd:schema xmlns:xsd="http://www.w3.org/2001/XMLSchema" xmlns:xs="http://www.w3.org/2001/XMLSchema" xmlns:p="http://schemas.microsoft.com/office/2006/metadata/properties" xmlns:ns2="c9d8870b-c42c-4da0-9cd4-0ae7103ff914" xmlns:ns3="41e1ea30-befa-4bf1-8c17-5d102e8e60b8" targetNamespace="http://schemas.microsoft.com/office/2006/metadata/properties" ma:root="true" ma:fieldsID="9e16c4231cc99e9515f98de3e2808730" ns2:_="" ns3:_="">
    <xsd:import namespace="c9d8870b-c42c-4da0-9cd4-0ae7103ff914"/>
    <xsd:import namespace="41e1ea30-befa-4bf1-8c17-5d102e8e60b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d8870b-c42c-4da0-9cd4-0ae7103ff9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1e1ea30-befa-4bf1-8c17-5d102e8e60b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07903D7-10B5-4A26-A3A4-6936C20393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d8870b-c42c-4da0-9cd4-0ae7103ff914"/>
    <ds:schemaRef ds:uri="41e1ea30-befa-4bf1-8c17-5d102e8e60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D81A6F9-E7AC-47CB-AA4F-3BEA98463D6D}">
  <ds:schemaRefs>
    <ds:schemaRef ds:uri="http://schemas.openxmlformats.org/officeDocument/2006/bibliography"/>
  </ds:schemaRefs>
</ds:datastoreItem>
</file>

<file path=customXml/itemProps3.xml><?xml version="1.0" encoding="utf-8"?>
<ds:datastoreItem xmlns:ds="http://schemas.openxmlformats.org/officeDocument/2006/customXml" ds:itemID="{49C9307A-0B99-46F6-B77A-AD6934FC44BA}">
  <ds:schemaRefs>
    <ds:schemaRef ds:uri="http://schemas.microsoft.com/sharepoint/v3/contenttype/forms"/>
  </ds:schemaRefs>
</ds:datastoreItem>
</file>

<file path=customXml/itemProps4.xml><?xml version="1.0" encoding="utf-8"?>
<ds:datastoreItem xmlns:ds="http://schemas.openxmlformats.org/officeDocument/2006/customXml" ds:itemID="{FAB07D9E-A681-47F0-AF1A-E6623D64C9E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1244</Words>
  <Characters>7249</Characters>
  <Application>Microsoft Office Word</Application>
  <DocSecurity>4</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TYNDALL, Hannah</dc:creator>
  <cp:keywords/>
  <dc:description/>
  <cp:lastModifiedBy>LAWSON, Catherine</cp:lastModifiedBy>
  <cp:revision>2</cp:revision>
  <cp:lastPrinted>2020-02-11T17:42:00Z</cp:lastPrinted>
  <dcterms:created xsi:type="dcterms:W3CDTF">2020-08-09T23:07:00Z</dcterms:created>
  <dcterms:modified xsi:type="dcterms:W3CDTF">2020-08-09T23:07:00Z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0x010100BB15D95645693C419D99F437D9D70467</vt:lpwstr>
  </property>
</Properties>
</file>