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FD8"/>
          <w:sz w:val="52"/>
          <w:szCs w:val="52"/>
        </w:rPr>
        <w:t xml:space="preserve">Aktien-Check</w:t>
      </w:r>
      <w:r>
        <w:rPr>
          <w:rFonts w:ascii="Calibri" w:cs="Calibri" w:eastAsia="Calibri" w:hAnsi="Calibri"/>
          <w:color w:val="475467"/>
          <w:sz w:val="24"/>
          <w:szCs w:val="24"/>
        </w:rPr>
        <w:t xml:space="preserve">   Kaufen · Halten · Verkaufen</w:t>
      </w:r>
    </w:p>
    <w:p>
      <w:pPr>
        <w:spacing w:after="100" w:before="0" w:line="260"/>
      </w:pPr>
      <w:r>
        <w:rPr>
          <w:rFonts w:ascii="Calibri" w:cs="Calibri" w:eastAsia="Calibri" w:hAnsi="Calibri"/>
          <w:b/>
          <w:bCs/>
          <w:color w:val="101828"/>
          <w:sz w:val="20"/>
          <w:szCs w:val="20"/>
        </w:rPr>
        <w:t xml:space="preserve">Automatisierte Analyse für Aktien, ETFs und Kryptowährungen – </w:t>
      </w:r>
      <w:r>
        <w:rPr>
          <w:rFonts w:ascii="Calibri" w:cs="Calibri" w:eastAsia="Calibri" w:hAnsi="Calibri"/>
          <w:color w:val="475467"/>
          <w:sz w:val="18"/>
          <w:szCs w:val="18"/>
        </w:rPr>
        <w:t xml:space="preserve">Name, Kürzel oder ISIN eingeben, und das Tool liefert in Sekunden eine begründete Empfehlung. Ein regelbasiertes Modell verbindet Bewertung, Unternehmensqualität, Wachstum, Risiko, Charttechnik, Marktstimmung und Makro-Umfeld zu einem klaren Urteil. Es läuft als Web-App im Browser und auf dem Handy.</w:t>
      </w:r>
    </w:p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E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30"/>
                <w:szCs w:val="30"/>
              </w:rPr>
              <w:t xml:space="preserve">14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Empfehlungsstufen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Strong Buy bis Strong Sell</w:t>
            </w:r>
          </w:p>
        </w:tc>
        <w:tc>
          <w:tcPr>
            <w:tcW w:type="dxa" w:w="2636"/>
            <w:shd w:fill="EE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30"/>
                <w:szCs w:val="30"/>
              </w:rPr>
              <w:t xml:space="preserve">8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Kategorien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je mit passendem Adjektiv</w:t>
            </w:r>
          </w:p>
        </w:tc>
        <w:tc>
          <w:tcPr>
            <w:tcW w:type="dxa" w:w="2636"/>
            <w:shd w:fill="EE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30"/>
                <w:szCs w:val="30"/>
              </w:rPr>
              <w:t xml:space="preserve">7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Bewertungsmodelle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passend zum Geschäftstyp</w:t>
            </w:r>
          </w:p>
        </w:tc>
        <w:tc>
          <w:tcPr>
            <w:tcW w:type="dxa" w:w="2636"/>
            <w:shd w:fill="EE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30"/>
                <w:szCs w:val="30"/>
              </w:rPr>
              <w:t xml:space="preserve">650+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Werte im Screener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7 Indizes, Aktien · ETFs · Krypto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86"/>
        <w:gridCol w:w="5160"/>
      </w:tblGrid>
      <w:tr>
        <w:tc>
          <w:tcPr>
            <w:tcW w:type="dxa" w:w="5386"/>
            <w:tcMar>
              <w:top w:type="dxa" w:w="0"/>
              <w:left w:type="dxa" w:w="0"/>
              <w:bottom w:type="dxa" w:w="60"/>
              <w:right w:type="dxa" w:w="160"/>
            </w:tcMar>
          </w:tcPr>
          <w:p>
            <w:pPr>
              <w:pBdr>
                <w:bottom w:val="single" w:color="1F4FD8" w:sz="6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WAS DAS TOOL KANN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Klare Empfehlung: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14 Stufen von Strong Buy bis Strong Sell, Score von −100 bis +100 und ein Gesamturteil wie „kaufenswert“.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8 Kategorien mit Begründung: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je mit Adjektiv und den Kennzahlen dahinter; Fachbegriffe lassen sich antippen (Glossar).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Fairer Wert: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drei Szenarien (vorsichtig, Basis, optimistisch) im Vergleich zum Kurs, dazu die Umsatz- und Gewinnprognosen der Analysten.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Screener: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DAX, MDAX, TecDAX, Euro Stoxx 50, Dow Jones, Nasdaq-100 oder S&amp;P 500 per Knopfdruck bewerten – Rangliste mit Filtern wie „Kaufen“ oder „unter fairem Wert“.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Charttechnik: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Kerzenchart mit Kerzen- und Chartmustern, Ichimoku, Parabolic SAR und Volumenprofil; Technik-Fazit für Tag, Woche, Monat.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Alles zum Unternehmen: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Erfolgsrechnung, KGV-Verlauf, Kursziel-Spanne, Finanzgesundheit, Gewinnüberraschungen, Dividenden, Großaktionäre, Wettbewerber, Termine.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Watchlist, Alarme &amp; Wochenbericht: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Push aufs Handy bei Kursgrenzen, Empfehlungswechseln und Terminen; sonntags ein Wochenbericht.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Trefferquote &amp; PDF: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misst, wie sich jede Empfehlung gegenüber DAX, S&amp;P 500 &amp; Co. entwickelt hat; Analyse als PDF.</w:t>
            </w:r>
          </w:p>
          <w:p>
            <w:pPr>
              <w:pBdr>
                <w:bottom w:val="single" w:color="1F4FD8" w:sz="6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WAS ES BESONDERS MACHT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Transparent statt Blackbox: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jede Einschätzung nennt ihre Kennzahlen; Pressemitteilungen zählen nur, wenn unabhängige Medien sie bestätigen.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Passende Maßstäbe je Geschäftstyp: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eigene Modelle für Banken, Versicherer, Immobilien, Verlust- und Vorumsatzfirmen, Zykliker, ETFs und Krypto.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Tiefe Bilanzprüfung: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Piotroski F-Score, Altman Z-Score, Zinsdeckung und Gewinnqualität.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Blick nach vorn, aber kritisch: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Analystenprognosen fließen kritisch ein; der faire Wert ist eine Spanne.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Eingebaute Vorsicht: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teure oder schwache Aktien höchstens „Halten“, Firmen ohne Umsatz höchstens „Market Perform“.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line="252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Persönlich und sicher: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eigene Konten, verschlüsselte Speicherung mit Backups, Nachrichten an den Admin, Abo für 2 € im Monat; Admin-Dashboard mit Benutzerverwaltung und Wartungsmodus.</w:t>
            </w:r>
          </w:p>
        </w:tc>
        <w:tc>
          <w:tcPr>
            <w:tcW w:type="dxa" w:w="5160"/>
            <w:tcMar>
              <w:top w:type="dxa" w:w="0"/>
              <w:left w:type="dxa" w:w="160"/>
              <w:bottom w:type="dxa" w:w="60"/>
              <w:right w:type="dxa" w:w="0"/>
            </w:tcMar>
          </w:tcPr>
          <w:p>
            <w:pPr>
              <w:pBdr>
                <w:bottom w:val="single" w:color="1F4FD8" w:sz="6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WOHER DIE DATEN KOMMEN</w:t>
            </w:r>
          </w:p>
          <w:tbl>
            <w:tblPr>
              <w:tblW w:type="dxa" w:w="49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0D5DD" w:sz="4"/>
                <w:insideV w:val="none" w:color="FFFFFF" w:sz="0"/>
              </w:tblBorders>
              <w:tblLayout w:type="fixed"/>
            </w:tblPr>
            <w:tblGrid>
              <w:gridCol w:w="1050"/>
              <w:gridCol w:w="3890"/>
            </w:tblGrid>
            <w:tr>
              <w:tc>
                <w:tcPr>
                  <w:tcW w:type="dxa" w:w="1050"/>
                  <w:shd w:fill="EEF3FF" w:color="auto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Tier 1</w:t>
                  </w:r>
                </w:p>
              </w:tc>
              <w:tc>
                <w:tcPr>
                  <w:tcW w:type="dxa" w:w="3890"/>
                  <w:tcMar>
                    <w:top w:type="dxa" w:w="40"/>
                    <w:left w:type="dxa" w:w="9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color w:val="475467"/>
                      <w:sz w:val="17"/>
                      <w:szCs w:val="17"/>
                    </w:rPr>
                    <w:t xml:space="preserve">Originäre, sehr zuverlässige Quellen: Reuters, CNBC, MarketWatch, Yahoo Finance, finanzen.net, tagesschau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Tier 2</w:t>
                  </w:r>
                </w:p>
              </w:tc>
              <w:tc>
                <w:tcPr>
                  <w:tcW w:type="dxa" w:w="3890"/>
                  <w:tcMar>
                    <w:top w:type="dxa" w:w="40"/>
                    <w:left w:type="dxa" w:w="9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color w:val="475467"/>
                      <w:sz w:val="17"/>
                      <w:szCs w:val="17"/>
                    </w:rPr>
                    <w:t xml:space="preserve">Glaubwürdige Medien mit (weicher) Paywall: Bloomberg, FT, WSJ, Handelsblatt, FAZ, Morningstar, CoinDesk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Tier 3</w:t>
                  </w:r>
                </w:p>
              </w:tc>
              <w:tc>
                <w:tcPr>
                  <w:tcW w:type="dxa" w:w="3890"/>
                  <w:tcMar>
                    <w:top w:type="dxa" w:w="40"/>
                    <w:left w:type="dxa" w:w="9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color w:val="475467"/>
                      <w:sz w:val="17"/>
                      <w:szCs w:val="17"/>
                    </w:rPr>
                    <w:t xml:space="preserve">Pressemitteilungen &amp; Unternehmensseiten: Business Wire, PR Newswire, EQS – werden gegen Tier 1/2 geprüft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Tier 4</w:t>
                  </w:r>
                </w:p>
              </w:tc>
              <w:tc>
                <w:tcPr>
                  <w:tcW w:type="dxa" w:w="3890"/>
                  <w:tcMar>
                    <w:top w:type="dxa" w:w="40"/>
                    <w:left w:type="dxa" w:w="9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color w:val="475467"/>
                      <w:sz w:val="17"/>
                      <w:szCs w:val="17"/>
                    </w:rPr>
                    <w:t xml:space="preserve">Fundamentaldaten: Yahoo Finance (Kurse, Bilanzen, Gewinnschätzungen, Insider, Fondsdaten, Termine), Finnhub (Analysten, Wettbewerber), Wikidata &amp; OpenFIGI (Stammdaten), Kursziele aus Analystenmeldungen, CoinGecko, Fear &amp; Greed Index, US-Zinsen und Wechselkurse</w:t>
                  </w:r>
                </w:p>
              </w:tc>
            </w:tr>
          </w:tbl>
          <w:p>
            <w:pPr>
              <w:pBdr>
                <w:bottom w:val="single" w:color="1F4FD8" w:sz="6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WIE DIE ANALYSE ENTSTEHT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Jede Kategorie erhält aus mehreren Kennzahlen einen Teilscore. Gewichtet ergibt sich der Gesamtscore, der einer der 14 Stufen zugeordnet wird:</w:t>
            </w:r>
          </w:p>
          <w:tbl>
            <w:tblPr>
              <w:tblW w:type="dxa" w:w="49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0D5DD" w:sz="4"/>
                <w:insideV w:val="none" w:color="FFFFFF" w:sz="0"/>
              </w:tblBorders>
              <w:tblLayout w:type="fixed"/>
            </w:tblPr>
            <w:tblGrid>
              <w:gridCol w:w="1500"/>
              <w:gridCol w:w="560"/>
              <w:gridCol w:w="2880"/>
            </w:tblGrid>
            <w:tr>
              <w:tc>
                <w:tcPr>
                  <w:tcW w:type="dxa" w:w="1500"/>
                  <w:shd w:fill="1F4FD8" w:color="auto" w:val="clear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Kategorie</w:t>
                  </w:r>
                </w:p>
              </w:tc>
              <w:tc>
                <w:tcPr>
                  <w:tcW w:type="dxa" w:w="560"/>
                  <w:shd w:fill="1F4FD8" w:color="auto" w:val="clear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Anteil</w:t>
                  </w:r>
                </w:p>
              </w:tc>
              <w:tc>
                <w:tcPr>
                  <w:tcW w:type="dxa" w:w="2880"/>
                  <w:shd w:fill="1F4FD8" w:color="auto" w:val="clear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Grundlage (Aktien)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Bewertung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25 %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KGV, Forward-KGV und EV/EBITDA ggü. Wettbewerbern und Historie, FCF-Rendite, Kursziele, fairer Wert (DCF), Reverse-DCF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Qualität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20 %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Margen, Kapitalrendite, Free Cashflow, Verschuldung, Piotroski F-Score, Gewinnqualität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Wachstum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15 %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Umsatz- und Gewinnwachstum, Umsatz- und Gewinnprognosen der Analysten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Risiko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10 %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Volatilität, Beta, Rückgänge, Altman Z-Score, Zinsdeckung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Charttechnik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10 %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Trend, GD 50/200, RSI, 52-Wochen-Spanne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Stimmung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10 %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Analystenkonsens, Gewinnrevisionen und -überraschungen, Insiderkäufe, News-Tonalität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30"/>
                    <w:left w:type="dxa" w:w="80"/>
                    <w:bottom w:type="dxa" w:w="30"/>
                    <w:right w:type="dxa" w:w="110"/>
                  </w:tcMar>
                </w:tcPr>
                <w:p>
                  <w:pPr>
                    <w:spacing w:after="0" w:before="0" w:line="252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7"/>
                      <w:szCs w:val="17"/>
                    </w:rPr>
                    <w:t xml:space="preserve">Dividende · Makro</w:t>
                  </w:r>
                </w:p>
              </w:tc>
              <w:tc>
                <w:tcPr>
                  <w:tcW w:type="dxa" w:w="560"/>
                  <w:tcMar>
                    <w:top w:type="dxa" w:w="30"/>
                    <w:left w:type="dxa" w:w="4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52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7"/>
                      <w:szCs w:val="17"/>
                    </w:rPr>
                    <w:t xml:space="preserve">je 5 %</w:t>
                  </w:r>
                </w:p>
              </w:tc>
              <w:tc>
                <w:tcPr>
                  <w:tcW w:type="dxa" w:w="2880"/>
                  <w:tcMar>
                    <w:top w:type="dxa" w:w="30"/>
                    <w:left w:type="dxa" w:w="80"/>
                    <w:bottom w:type="dxa" w:w="30"/>
                    <w:right w:type="dxa" w:w="6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75467"/>
                      <w:sz w:val="16"/>
                      <w:szCs w:val="16"/>
                    </w:rPr>
                    <w:t xml:space="preserve">Ausschüttung und Verlässlichkeit; Zinsen, Währungsrisiko, Konjunktur</w:t>
                  </w:r>
                </w:p>
              </w:tc>
            </w:tr>
          </w:tbl>
          <w:p>
            <w:pPr>
              <w:spacing w:after="0" w:before="50" w:line="252"/>
            </w:pPr>
            <w:r>
              <w:rPr>
                <w:rFonts w:ascii="Calibri" w:cs="Calibri" w:eastAsia="Calibri" w:hAnsi="Calibri"/>
                <w:i/>
                <w:iCs/>
                <w:color w:val="475467"/>
                <w:sz w:val="15"/>
                <w:szCs w:val="15"/>
              </w:rPr>
              <w:t xml:space="preserve">Branchenmodelle tauschen unpassende Kennzahlen aus (z. B. Banken: Kurs-Buchwert vs. Eigenkapitalrendite; Immobilien: Kurs/FFO, Beleihungsquote). ETFs: Kosten, Bewertung der Bestände, Rendite, Streuung. Krypto: Marktzyklus, Netzwerk, Angebot, Fear &amp; Greed.</w:t>
            </w:r>
          </w:p>
        </w:tc>
      </w:tr>
    </w:tbl>
    <w:p>
      <w:pPr>
        <w:pBdr>
          <w:bottom w:val="single" w:color="1F4FD8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FD8"/>
          <w:sz w:val="19"/>
          <w:szCs w:val="19"/>
        </w:rPr>
        <w:t xml:space="preserve">WARUM MAN ES NUTZEN SOLLTE</w:t>
      </w:r>
    </w:p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52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Spart Zeit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eine Analyse statt Recherche auf einem Dutzend Websites – der Screener findet Kandidaten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52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Objektiv &amp; verständlich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gleiche Regeln für jeden Wert, klare Sprache und Glossar statt Fachchinesisch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52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Bleibt dran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Alarme, Termine und der Wochenbericht melden sich von selbst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52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Überprüfbar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die Trefferquote zeigt, ob die Empfehlungen wirklich funktionieren</w:t>
            </w:r>
          </w:p>
        </w:tc>
      </w:tr>
    </w:tbl>
    <w:p>
      <w:pPr>
        <w:spacing w:after="60"/>
      </w:pPr>
    </w:p>
    <w:tbl>
      <w:tblPr>
        <w:tblW w:type="dxa" w:w="10546"/>
        <w:tblBorders>
          <w:top w:val="none" w:color="FFFFFF" w:sz="0"/>
          <w:left w:val="single" w:color="B5470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c>
          <w:tcPr>
            <w:tcW w:type="dxa" w:w="10546"/>
            <w:shd w:fill="FFFAEB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6"/>
                <w:szCs w:val="16"/>
              </w:rPr>
              <w:t xml:space="preserve">Wichtiger Hinweis: </w:t>
            </w:r>
            <w:r>
              <w:rPr>
                <w:rFonts w:ascii="Calibri" w:cs="Calibri" w:eastAsia="Calibri" w:hAnsi="Calibri"/>
                <w:color w:val="101828"/>
                <w:sz w:val="16"/>
                <w:szCs w:val="16"/>
              </w:rPr>
              <w:t xml:space="preserve">Aktien-Check erzeugt automatisierte Kauf- und Verkaufsempfehlungen aus öffentlich verfügbaren Daten. Das ist keine Anlageberatung; Daten können verzögert oder unvollständig sein. Anlageentscheidungen trifft jede Person eigenverantwortlich – bei Kryptowährungen ist ein Totalverlust möglich.</w:t>
            </w:r>
          </w:p>
        </w:tc>
      </w:tr>
    </w:tbl>
    <w:p>
      <w:pPr>
        <w:spacing w:after="0" w:before="70" w:line="252"/>
        <w:jc w:val="center"/>
      </w:pPr>
      <w:r>
        <w:rPr>
          <w:rFonts w:ascii="Calibri" w:cs="Calibri" w:eastAsia="Calibri" w:hAnsi="Calibri"/>
          <w:color w:val="475467"/>
          <w:sz w:val="15"/>
          <w:szCs w:val="15"/>
        </w:rPr>
        <w:t xml:space="preserve">Zugang: aktien-check.onrender.com  ·  Web-App für PC, Tablet und Smartphone  ·  Stand: Oktober 2026</w:t>
      </w:r>
    </w:p>
    <w:sectPr>
      <w:pgSz w:w="11906" w:h="16838" w:orient="portrait"/>
      <w:pgMar w:top="620" w:right="680" w:bottom="56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30" w:hanging="170"/>
      </w:pPr>
      <w:rPr>
        <w:color w:val="1F4F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Aktien-Check – One-Pager</dc:title>
  <dc:creator>Aktien-Check</dc:creator>
  <cp:lastModifiedBy>Un-named</cp:lastModifiedBy>
  <cp:revision>1</cp:revision>
  <dcterms:created xsi:type="dcterms:W3CDTF">2026-10-22T19:33:15.584Z</dcterms:created>
  <dcterms:modified xsi:type="dcterms:W3CDTF">2026-10-22T19:33:15.586Z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