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FD8"/>
          <w:sz w:val="52"/>
          <w:szCs w:val="52"/>
        </w:rPr>
        <w:t xml:space="preserve">Aktien-Check</w:t>
      </w:r>
      <w:r>
        <w:rPr>
          <w:rFonts w:ascii="Calibri" w:cs="Calibri" w:eastAsia="Calibri" w:hAnsi="Calibri"/>
          <w:color w:val="475467"/>
          <w:sz w:val="24"/>
          <w:szCs w:val="24"/>
        </w:rPr>
        <w:t xml:space="preserve">   Kaufen · Halten · Verkaufen</w:t>
      </w:r>
    </w:p>
    <w:p>
      <w:pPr>
        <w:spacing w:after="100" w:before="0" w:line="260"/>
      </w:pPr>
      <w:r>
        <w:rPr>
          <w:rFonts w:ascii="Calibri" w:cs="Calibri" w:eastAsia="Calibri" w:hAnsi="Calibri"/>
          <w:b/>
          <w:bCs/>
          <w:color w:val="101828"/>
          <w:sz w:val="20"/>
          <w:szCs w:val="20"/>
        </w:rPr>
        <w:t xml:space="preserve">Automatisierte Analyse für Aktien, ETFs und Kryptowährungen – </w:t>
      </w:r>
      <w:r>
        <w:rPr>
          <w:rFonts w:ascii="Calibri" w:cs="Calibri" w:eastAsia="Calibri" w:hAnsi="Calibri"/>
          <w:color w:val="475467"/>
          <w:sz w:val="18"/>
          <w:szCs w:val="18"/>
        </w:rPr>
        <w:t xml:space="preserve">Name, Kürzel oder ISIN eingeben, und das Tool liefert in Sekunden eine begründete Empfehlung. Ein regelbasiertes Modell verbindet Bewertung, Unternehmensqualität, Wachstum, Risiko, Charttechnik, Marktstimmung und Makro-Umfeld zu einem klaren Urteil – transparent, nachvollziehbar und mit allen Kennzahlen dahinter. Es läuft als Web-App im Browser und auf dem Handy.</w:t>
      </w:r>
    </w:p>
    <w:tbl>
      <w:tblPr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  <w:tblLayout w:type="fixed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fill="EEF3FF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8"/>
                <w:szCs w:val="28"/>
              </w:rPr>
              <w:t xml:space="preserve">14</w:t>
            </w:r>
          </w:p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6"/>
                <w:szCs w:val="16"/>
              </w:rPr>
              <w:t xml:space="preserve">Empfehlungsstufen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color w:val="475467"/>
                <w:sz w:val="14"/>
                <w:szCs w:val="14"/>
              </w:rPr>
              <w:t xml:space="preserve">Strong Buy bis Strong Sell</w:t>
            </w:r>
          </w:p>
        </w:tc>
        <w:tc>
          <w:tcPr>
            <w:tcW w:type="dxa" w:w="2109"/>
            <w:shd w:fill="EEF3FF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8"/>
                <w:szCs w:val="28"/>
              </w:rPr>
              <w:t xml:space="preserve">8</w:t>
            </w:r>
          </w:p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6"/>
                <w:szCs w:val="16"/>
              </w:rPr>
              <w:t xml:space="preserve">Kategorien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color w:val="475467"/>
                <w:sz w:val="14"/>
                <w:szCs w:val="14"/>
              </w:rPr>
              <w:t xml:space="preserve">je mit Begründung</w:t>
            </w:r>
          </w:p>
        </w:tc>
        <w:tc>
          <w:tcPr>
            <w:tcW w:type="dxa" w:w="2109"/>
            <w:shd w:fill="EEF3FF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8"/>
                <w:szCs w:val="28"/>
              </w:rPr>
              <w:t xml:space="preserve">7</w:t>
            </w:r>
          </w:p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6"/>
                <w:szCs w:val="16"/>
              </w:rPr>
              <w:t xml:space="preserve">Bewertungsmodelle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color w:val="475467"/>
                <w:sz w:val="14"/>
                <w:szCs w:val="14"/>
              </w:rPr>
              <w:t xml:space="preserve">passend zum Geschäftstyp</w:t>
            </w:r>
          </w:p>
        </w:tc>
        <w:tc>
          <w:tcPr>
            <w:tcW w:type="dxa" w:w="2109"/>
            <w:shd w:fill="EEF3FF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8"/>
                <w:szCs w:val="28"/>
              </w:rPr>
              <w:t xml:space="preserve">650+</w:t>
            </w:r>
          </w:p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6"/>
                <w:szCs w:val="16"/>
              </w:rPr>
              <w:t xml:space="preserve">Werte im Screener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color w:val="475467"/>
                <w:sz w:val="14"/>
                <w:szCs w:val="14"/>
              </w:rPr>
              <w:t xml:space="preserve">7 Indizes</w:t>
            </w:r>
          </w:p>
        </w:tc>
        <w:tc>
          <w:tcPr>
            <w:tcW w:type="dxa" w:w="2109"/>
            <w:shd w:fill="EEF3FF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8"/>
                <w:szCs w:val="28"/>
              </w:rPr>
              <w:t xml:space="preserve">4 + SEC</w:t>
            </w:r>
          </w:p>
          <w:p>
            <w:pPr>
              <w:spacing w:after="0" w:before="0" w:line="27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6"/>
                <w:szCs w:val="16"/>
              </w:rPr>
              <w:t xml:space="preserve">ETF-Datenquellen</w:t>
            </w:r>
          </w:p>
          <w:p>
            <w:pPr>
              <w:spacing w:after="0" w:before="0" w:line="220"/>
              <w:jc w:val="center"/>
            </w:pPr>
            <w:r>
              <w:rPr>
                <w:rFonts w:ascii="Calibri" w:cs="Calibri" w:eastAsia="Calibri" w:hAnsi="Calibri"/>
                <w:color w:val="475467"/>
                <w:sz w:val="14"/>
                <w:szCs w:val="14"/>
              </w:rPr>
              <w:t xml:space="preserve">alle Positionen direkt vom Anbieter</w:t>
            </w:r>
          </w:p>
        </w:tc>
      </w:tr>
    </w:tbl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53"/>
        <w:gridCol w:w="5393"/>
      </w:tblGrid>
      <w:tr>
        <w:tc>
          <w:tcPr>
            <w:tcW w:type="dxa" w:w="5153"/>
            <w:tcMar>
              <w:top w:type="dxa" w:w="0"/>
              <w:left w:type="dxa" w:w="0"/>
              <w:bottom w:type="dxa" w:w="60"/>
              <w:right w:type="dxa" w:w="140"/>
            </w:tcMar>
          </w:tcPr>
          <w:p>
            <w:pPr>
              <w:pBdr>
                <w:bottom w:val="single" w:color="1F4FD8" w:sz="6" w:space="2"/>
              </w:pBdr>
              <w:spacing w:after="80" w:before="23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WAS DAS TOOL KANN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Klare Empfehlung: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14 Stufen von Strong Buy bis Strong Sell, Score von −100 bis +100 und ein Gesamturteil wie „kaufenswert“.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8 Kategorien mit Begründung: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jede mit Adjektiv und den Kennzahlen dahinter; Fachbegriffe lassen sich antippen (Glossar mit über 75 Begriffen).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Geschäftsmodell: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kurze Beschreibung, womit das Unternehmen Geld verdient – direkt darunter seine Chancen und Risiken.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Fairer Wert: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drei Szenarien (vorsichtig, Basis, optimistisch) im Vergleich zum Kurs, dazu die Umsatz- und Gewinnprognosen der Analysten.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Stärken &amp; Warnsignale: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die wichtigsten Pluspunkte und Alarmzeichen auf einen Blick.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Screener: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DAX, MDAX, TecDAX, Euro Stoxx 50, Dow Jones, Nasdaq-100 oder S&amp;P 500 per Knopfdruck bewerten – Rangliste mit Filtern.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Watchlist, Alarme &amp; Wochenbericht: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Push aufs Handy bei Kursgrenzen, Empfehlungswechseln und Terminen; sonntags ein Wochenbericht.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Trefferquote: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misst, wie sich jede Empfehlung gegenüber DAX, S&amp;P 500 &amp; Co. tatsächlich entwickelt hat.</w:t>
            </w:r>
          </w:p>
        </w:tc>
        <w:tc>
          <w:tcPr>
            <w:tcW w:type="dxa" w:w="5393"/>
            <w:tcMar>
              <w:top w:type="dxa" w:w="0"/>
              <w:left w:type="dxa" w:w="140"/>
              <w:bottom w:type="dxa" w:w="60"/>
              <w:right w:type="dxa" w:w="0"/>
            </w:tcMar>
          </w:tcPr>
          <w:p>
            <w:pPr>
              <w:pBdr>
                <w:bottom w:val="single" w:color="1F4FD8" w:sz="6" w:space="2"/>
              </w:pBdr>
              <w:spacing w:after="80" w:before="23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WAS ES BESONDERS MACHT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Transparent statt Blackbox: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jede Einschätzung nennt ihre Kennzahlen; Pressemitteilungen zählen nur, wenn unabhängige Medien sie bestätigen.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Passende Maßstäbe je Geschäftstyp: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eigene Modelle für Banken, Versicherer, Immobilien, Verlust- und Vorumsatzfirmen, Zykliker, ETFs und Krypto.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Tiefe Bilanzprüfung: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Piotroski F-Score, Altman Z-Score, Zinsdeckung, Gewinnqualität; Aktienvergütung wird vom Free Cashflow abgezogen.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Blick nach vorn, aber kritisch: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Analystenprognosen werden mit der Historie gemischt; der faire Wert ist eine Spanne, keine Scheingenauigkeit.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Eingebaute Vorsicht: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teure oder schwache Aktien erhalten höchstens „Halten“, Firmen ohne Umsatz höchstens „Market Perform“.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Offizielle Originalquellen: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ETF-Bestände direkt vom Anbieter, bei US-Werten Pflichtmeldungen und Jahreszahlen der Börsenaufsicht SEC.</w:t>
            </w:r>
          </w:p>
        </w:tc>
      </w:tr>
    </w:tbl>
    <w:p>
      <w:pPr>
        <w:pBdr>
          <w:bottom w:val="single" w:color="1F4FD8" w:sz="6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4FD8"/>
          <w:sz w:val="19"/>
          <w:szCs w:val="19"/>
        </w:rPr>
        <w:t xml:space="preserve">WIE EINE ANALYSE ENTSTEHT</w:t>
      </w:r>
    </w:p>
    <w:tbl>
      <w:tblPr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  <w:tblLayout w:type="fixed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fill="EEF3FF" w:color="auto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spacing w:after="2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2"/>
                <w:szCs w:val="22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7"/>
                <w:szCs w:val="17"/>
              </w:rPr>
              <w:t xml:space="preserve">Daten sammeln</w:t>
            </w:r>
          </w:p>
          <w:p>
            <w:pPr>
              <w:spacing w:after="0" w:before="0" w:line="225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Kurse, Bilanzen, Prognosen, Nachrichten, Insider, Makro – aus vielen Quellen gleichzeitig</w:t>
            </w:r>
          </w:p>
        </w:tc>
        <w:tc>
          <w:tcPr>
            <w:tcW w:type="dxa" w:w="2109"/>
            <w:shd w:fill="EEF3FF" w:color="auto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spacing w:after="2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2"/>
                <w:szCs w:val="22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7"/>
                <w:szCs w:val="17"/>
              </w:rPr>
              <w:t xml:space="preserve">Geschäftstyp erkennen</w:t>
            </w:r>
          </w:p>
          <w:p>
            <w:pPr>
              <w:spacing w:after="0" w:before="0" w:line="225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Bank, Versicherer, Immobilien, Wachstum mit Verlust, Zykliker … bestimmt die Maßstäbe</w:t>
            </w:r>
          </w:p>
        </w:tc>
        <w:tc>
          <w:tcPr>
            <w:tcW w:type="dxa" w:w="2109"/>
            <w:shd w:fill="EEF3FF" w:color="auto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spacing w:after="2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2"/>
                <w:szCs w:val="22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7"/>
                <w:szCs w:val="17"/>
              </w:rPr>
              <w:t xml:space="preserve">8 Kategorien bewerten</w:t>
            </w:r>
          </w:p>
          <w:p>
            <w:pPr>
              <w:spacing w:after="0" w:before="0" w:line="225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jede Kennzahl ergibt einen Teilscore; Begründungen werden mitgeschrieben</w:t>
            </w:r>
          </w:p>
        </w:tc>
        <w:tc>
          <w:tcPr>
            <w:tcW w:type="dxa" w:w="2109"/>
            <w:shd w:fill="EEF3FF" w:color="auto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spacing w:after="2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2"/>
                <w:szCs w:val="22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7"/>
                <w:szCs w:val="17"/>
              </w:rPr>
              <w:t xml:space="preserve">Gewichten &amp; absichern</w:t>
            </w:r>
          </w:p>
          <w:p>
            <w:pPr>
              <w:spacing w:after="0" w:before="0" w:line="225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Gesamtscore mit Sicherheitsregeln (z. B. Deckel bei Überbewertung)</w:t>
            </w:r>
          </w:p>
        </w:tc>
        <w:tc>
          <w:tcPr>
            <w:tcW w:type="dxa" w:w="2109"/>
            <w:shd w:fill="EEF3FF" w:color="auto" w:val="clear"/>
            <w:tcMar>
              <w:top w:type="dxa" w:w="70"/>
              <w:left w:type="dxa" w:w="90"/>
              <w:bottom w:type="dxa" w:w="70"/>
              <w:right w:type="dxa" w:w="70"/>
            </w:tcMar>
          </w:tcPr>
          <w:p>
            <w:pPr>
              <w:spacing w:after="2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22"/>
                <w:szCs w:val="22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7"/>
                <w:szCs w:val="17"/>
              </w:rPr>
              <w:t xml:space="preserve">Urteil &amp; fairer Wert</w:t>
            </w:r>
          </w:p>
          <w:p>
            <w:pPr>
              <w:spacing w:after="0" w:before="0" w:line="225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eine von 14 Stufen, fairer Wert in 3 Szenarien, Chancen und Risiken</w:t>
            </w:r>
          </w:p>
        </w:tc>
      </w:tr>
    </w:tbl>
    <w:p>
      <w:pPr>
        <w:pBdr>
          <w:bottom w:val="single" w:color="1F4FD8" w:sz="6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4FD8"/>
          <w:sz w:val="19"/>
          <w:szCs w:val="19"/>
        </w:rPr>
        <w:t xml:space="preserve">SO SIEHT EIN ERGEBNIS AUS (BEISPIEL)</w:t>
      </w:r>
    </w:p>
    <w:tbl>
      <w:tblPr>
        <w:tblW w:type="dxa" w:w="10546"/>
        <w:tblBorders>
          <w:top w:val="single" w:color="D0D5DD" w:sz="6"/>
          <w:left w:val="single" w:color="D0D5DD" w:sz="6"/>
          <w:bottom w:val="single" w:color="D0D5DD" w:sz="6"/>
          <w:right w:val="single" w:color="D0D5DD" w:sz="6"/>
          <w:insideH w:val="none" w:color="FFFFFF" w:sz="0"/>
          <w:insideV w:val="single" w:color="D0D5DD" w:sz="6"/>
        </w:tblBorders>
        <w:tblLayout w:type="fixed"/>
      </w:tblPr>
      <w:tblGrid>
        <w:gridCol w:w="2300"/>
        <w:gridCol w:w="8246"/>
      </w:tblGrid>
      <w:tr>
        <w:tc>
          <w:tcPr>
            <w:tcW w:type="dxa" w:w="2300"/>
            <w:shd w:fill="EEF3FF" w:color="auto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pPr>
              <w:spacing w:after="20" w:before="0" w:line="270"/>
            </w:pPr>
            <w:r>
              <w:rPr>
                <w:rFonts w:ascii="Calibri" w:cs="Calibri" w:eastAsia="Calibri" w:hAnsi="Calibri"/>
                <w:b/>
                <w:bCs/>
                <w:color w:val="475467"/>
                <w:sz w:val="16"/>
                <w:szCs w:val="16"/>
              </w:rPr>
              <w:t xml:space="preserve">SAP SE · SAP.DE</w:t>
            </w:r>
          </w:p>
          <w:p>
            <w:pPr>
              <w:spacing w:after="0" w:before="0" w:line="270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30"/>
                <w:szCs w:val="30"/>
              </w:rPr>
              <w:t xml:space="preserve">Overweight</w:t>
            </w:r>
          </w:p>
          <w:p>
            <w:pPr>
              <w:spacing w:after="40" w:before="0" w:line="270"/>
            </w:pPr>
            <w:r>
              <w:rPr>
                <w:rFonts w:ascii="Calibri" w:cs="Calibri" w:eastAsia="Calibri" w:hAnsi="Calibri"/>
                <w:color w:val="101828"/>
                <w:sz w:val="16"/>
                <w:szCs w:val="16"/>
              </w:rPr>
              <w:t xml:space="preserve">Gruppe „Kaufen“ · Score +29,1</w:t>
            </w:r>
          </w:p>
          <w:p>
            <w:pPr>
              <w:spacing w:after="0" w:before="0" w:line="225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Umsatz 39,4 Mrd. EUR · operative Marge 30 % · Umsatz +8 % p. a.</w:t>
            </w:r>
          </w:p>
        </w:tc>
        <w:tc>
          <w:tcPr>
            <w:tcW w:type="dxa" w:w="8246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50" w:before="0" w:line="235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6"/>
                <w:szCs w:val="16"/>
              </w:rPr>
              <w:t xml:space="preserve">Geschäftsmodell: </w:t>
            </w: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SAP verkauft Anwendungssoftware und IT-Dienstleistungen an Unternehmen – zunehmend als Cloud-Abonnement.</w:t>
            </w:r>
          </w:p>
          <w:p>
            <w:pPr>
              <w:spacing w:after="40" w:before="0" w:line="235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16"/>
                <w:szCs w:val="16"/>
              </w:rPr>
              <w:t xml:space="preserve">+ Chancen: </w:t>
            </w: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hohe Bruttomarge (74 %) spricht für Preissetzungsmacht · sehr profitabel · Cloud-Abos erhöhen wiederkehrende Umsätze</w:t>
            </w:r>
          </w:p>
          <w:p>
            <w:pPr>
              <w:spacing w:after="0" w:before="0" w:line="235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6"/>
                <w:szCs w:val="16"/>
              </w:rPr>
              <w:t xml:space="preserve">− Risiken: </w:t>
            </w: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Kunden sparen in Abschwüngen zuerst an IT-Projekten · neue, günstigere Wettbewerber (auch KI-basiert)</w:t>
            </w:r>
          </w:p>
        </w:tc>
      </w:tr>
    </w:tbl>
    <w:p>
      <w:pPr>
        <w:pBdr>
          <w:bottom w:val="single" w:color="1F4FD8" w:sz="6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4FD8"/>
          <w:sz w:val="19"/>
          <w:szCs w:val="19"/>
        </w:rPr>
        <w:t xml:space="preserve">WARUM MAN ES NUTZEN SOLLTE</w:t>
      </w:r>
    </w:p>
    <w:tbl>
      <w:tblPr>
        <w:tblW w:type="dxa" w:w="105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0" w:before="0" w:line="270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Spart Zeit</w:t>
            </w:r>
          </w:p>
          <w:p>
            <w:pPr>
              <w:spacing w:after="0" w:before="0" w:line="235"/>
            </w:pP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eine Analyse statt Recherche auf einem Dutzend Websites – der Screener findet Kandidaten</w:t>
            </w:r>
          </w:p>
        </w:tc>
        <w:tc>
          <w:tcPr>
            <w:tcW w:type="dxa" w:w="2636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0" w:before="0" w:line="270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Objektiv &amp; verständlich</w:t>
            </w:r>
          </w:p>
          <w:p>
            <w:pPr>
              <w:spacing w:after="0" w:before="0" w:line="235"/>
            </w:pP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gleiche Regeln für jeden Wert, klare Sprache und Glossar statt Fachchinesisch</w:t>
            </w:r>
          </w:p>
        </w:tc>
        <w:tc>
          <w:tcPr>
            <w:tcW w:type="dxa" w:w="2636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0" w:before="0" w:line="270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Bleibt dran</w:t>
            </w:r>
          </w:p>
          <w:p>
            <w:pPr>
              <w:spacing w:after="0" w:before="0" w:line="235"/>
            </w:pP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Alarme, Termine und der Wochenbericht melden sich von selbst</w:t>
            </w:r>
          </w:p>
        </w:tc>
        <w:tc>
          <w:tcPr>
            <w:tcW w:type="dxa" w:w="2636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0" w:before="0" w:line="270"/>
            </w:pPr>
            <w:r>
              <w:rPr>
                <w:rFonts w:ascii="Calibri" w:cs="Calibri" w:eastAsia="Calibri" w:hAnsi="Calibri"/>
                <w:b/>
                <w:bCs/>
                <w:color w:val="067647"/>
                <w:sz w:val="18"/>
                <w:szCs w:val="18"/>
              </w:rPr>
              <w:t xml:space="preserve">✓ </w:t>
            </w: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Überprüfbar</w:t>
            </w:r>
          </w:p>
          <w:p>
            <w:pPr>
              <w:spacing w:after="0" w:before="0" w:line="235"/>
            </w:pPr>
            <w:r>
              <w:rPr>
                <w:rFonts w:ascii="Calibri" w:cs="Calibri" w:eastAsia="Calibri" w:hAnsi="Calibri"/>
                <w:color w:val="475467"/>
                <w:sz w:val="16"/>
                <w:szCs w:val="16"/>
              </w:rPr>
              <w:t xml:space="preserve">die Trefferquote zeigt, ob die Empfehlungen wirklich funktionieren</w:t>
            </w:r>
          </w:p>
        </w:tc>
      </w:tr>
    </w:tbl>
    <w:p>
      <w:pPr>
        <w:spacing w:after="0" w:before="70" w:line="270"/>
        <w:jc w:val="center"/>
      </w:pPr>
      <w:r>
        <w:rPr>
          <w:rFonts w:ascii="Calibri" w:cs="Calibri" w:eastAsia="Calibri" w:hAnsi="Calibri"/>
          <w:color w:val="475467"/>
          <w:sz w:val="15"/>
          <w:szCs w:val="15"/>
        </w:rPr>
        <w:t xml:space="preserve">Zugang: aktien-check.onrender.com  ·  Web-App für PC, Tablet und Smartphone  ·  Stand: Oktober 2026  ·  Seite 1 von 2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FD8"/>
          <w:sz w:val="34"/>
          <w:szCs w:val="34"/>
        </w:rPr>
        <w:t xml:space="preserve">Aktien-Check</w:t>
      </w:r>
      <w:r>
        <w:rPr>
          <w:rFonts w:ascii="Calibri" w:cs="Calibri" w:eastAsia="Calibri" w:hAnsi="Calibri"/>
          <w:color w:val="475467"/>
          <w:sz w:val="22"/>
          <w:szCs w:val="22"/>
        </w:rPr>
        <w:t xml:space="preserve">   im Detail</w:t>
      </w:r>
    </w:p>
    <w:p>
      <w:pPr>
        <w:pBdr>
          <w:bottom w:val="single" w:color="1F4FD8" w:sz="6" w:space="2"/>
        </w:pBdr>
        <w:spacing w:after="80" w:before="230"/>
      </w:pPr>
      <w:r>
        <w:rPr>
          <w:rFonts w:ascii="Calibri" w:cs="Calibri" w:eastAsia="Calibri" w:hAnsi="Calibri"/>
          <w:b/>
          <w:bCs/>
          <w:color w:val="1F4FD8"/>
          <w:sz w:val="19"/>
          <w:szCs w:val="19"/>
        </w:rPr>
        <w:t xml:space="preserve">FUNKTIONEN IM ÜBERBLICK</w:t>
      </w:r>
    </w:p>
    <w:tbl>
      <w:tblPr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16"/>
          <w:insideV w:val="single" w:color="FFFFFF" w:sz="16"/>
        </w:tblBorders>
        <w:tblLayout w:type="fixed"/>
      </w:tblPr>
      <w:tblGrid>
        <w:gridCol w:w="3515"/>
        <w:gridCol w:w="3515"/>
        <w:gridCol w:w="3515"/>
      </w:tblGrid>
      <w:tr>
        <w:tc>
          <w:tcPr>
            <w:tcW w:type="dxa" w:w="3515"/>
            <w:shd w:fill="EEF3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3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7"/>
                <w:szCs w:val="17"/>
              </w:rPr>
              <w:t xml:space="preserve">Analyse &amp; Bewertung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Empfehlung, Score und 8 Kategorien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Fairer Wert (DCF, Owner Earnings) in 3 Szenarien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Geschäftsmodell mit Chancen &amp; Risiken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Stärken &amp; Warnsignale, Glossar</w:t>
            </w:r>
          </w:p>
        </w:tc>
        <w:tc>
          <w:tcPr>
            <w:tcW w:type="dxa" w:w="3515"/>
            <w:shd w:fill="EEF3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3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7"/>
                <w:szCs w:val="17"/>
              </w:rPr>
              <w:t xml:space="preserve">Charts &amp; Technik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Linien- und Kerzenchart mit Kerzenmustern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GD/EMA, Bollinger, Ichimoku, Parabolic SAR, Volumenprofil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Erkannte Chartmuster (z. B. Doppelboden)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Technik-Fazit für Tag, Woche und Monat</w:t>
            </w:r>
          </w:p>
        </w:tc>
        <w:tc>
          <w:tcPr>
            <w:tcW w:type="dxa" w:w="3515"/>
            <w:shd w:fill="EEF3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3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7"/>
                <w:szCs w:val="17"/>
              </w:rPr>
              <w:t xml:space="preserve">Unternehmen &amp; Zahlen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Erfolgsrechnung jährlich/quartalsweise mit Margen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Bewertungs- und KGV-Verlauf, Kursziel-Spanne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Finanzgesundheit, Dividendenhistorie, Großaktionäre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Offizielle SEC-Meldungen und Jahreszahlen (US)</w:t>
            </w:r>
          </w:p>
        </w:tc>
      </w:tr>
      <w:tr>
        <w:tc>
          <w:tcPr>
            <w:tcW w:type="dxa" w:w="3515"/>
            <w:shd w:fill="EEF3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3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7"/>
                <w:szCs w:val="17"/>
              </w:rPr>
              <w:t xml:space="preserve">ETFs &amp; Krypto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Alle Positionen mit Suche, Länder- und Branchenmix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Anlageklassen, Konzentration, Bonität bei Anleihen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Kennzeichnung synthetischer (Swap-)ETFs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Krypto: Marktzyklus, Angebot, Fear &amp; Greed</w:t>
            </w:r>
          </w:p>
        </w:tc>
        <w:tc>
          <w:tcPr>
            <w:tcW w:type="dxa" w:w="3515"/>
            <w:shd w:fill="EEF3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3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7"/>
                <w:szCs w:val="17"/>
              </w:rPr>
              <w:t xml:space="preserve">Werkzeuge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Watchlist auf allen Geräten, Preisalarme per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Termin-Erinnerungen mit Kalender-Export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Sonntäglicher Wochenbericht, PDF-Export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Screener über 650 Werte, Trefferquote</w:t>
            </w:r>
          </w:p>
        </w:tc>
        <w:tc>
          <w:tcPr>
            <w:tcW w:type="dxa" w:w="3515"/>
            <w:shd w:fill="EEF3FF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30" w:before="0" w:line="27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7"/>
                <w:szCs w:val="17"/>
              </w:rPr>
              <w:t xml:space="preserve">Konto &amp; Betrieb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Eigene Konten, Abo für 2 € im Monat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Nachrichten an den Administrator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Admin-Dashboard: Nutzung, Speicher, Analyse-Leistung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line="230"/>
            </w:pPr>
            <w:r>
              <w:rPr>
                <w:rFonts w:ascii="Calibri" w:cs="Calibri" w:eastAsia="Calibri" w:hAnsi="Calibri"/>
                <w:color w:val="475467"/>
                <w:sz w:val="15"/>
                <w:szCs w:val="15"/>
              </w:rPr>
              <w:t xml:space="preserve">Benutzerverwaltung, Backups, Wartungsmodus</w:t>
            </w:r>
          </w:p>
        </w:tc>
      </w:tr>
    </w:tbl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53"/>
        <w:gridCol w:w="5393"/>
      </w:tblGrid>
      <w:tr>
        <w:tc>
          <w:tcPr>
            <w:tcW w:type="dxa" w:w="5153"/>
            <w:tcMar>
              <w:top w:type="dxa" w:w="0"/>
              <w:left w:type="dxa" w:w="0"/>
              <w:bottom w:type="dxa" w:w="60"/>
              <w:right w:type="dxa" w:w="140"/>
            </w:tcMar>
          </w:tcPr>
          <w:p>
            <w:pPr>
              <w:pBdr>
                <w:bottom w:val="single" w:color="1F4FD8" w:sz="6" w:space="2"/>
              </w:pBdr>
              <w:spacing w:after="80" w:before="23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GEWICHTUNG DER 8 KATEGORIEN</w:t>
            </w:r>
          </w:p>
          <w:tbl>
            <w:tblPr>
              <w:tblW w:type="dxa" w:w="515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D0D5DD" w:sz="4"/>
                <w:insideV w:val="none" w:color="FFFFFF" w:sz="0"/>
              </w:tblBorders>
              <w:tblLayout w:type="fixed"/>
            </w:tblPr>
            <w:tblGrid>
              <w:gridCol w:w="1500"/>
              <w:gridCol w:w="560"/>
              <w:gridCol w:w="3093"/>
            </w:tblGrid>
            <w:tr>
              <w:tc>
                <w:tcPr>
                  <w:tcW w:type="dxa" w:w="1500"/>
                  <w:shd w:fill="1F4FD8" w:color="auto" w:val="clear"/>
                  <w:tcMar>
                    <w:top w:type="dxa" w:w="28"/>
                    <w:left w:type="dxa" w:w="80"/>
                    <w:bottom w:type="dxa" w:w="28"/>
                    <w:right w:type="dxa" w:w="11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Kategorie</w:t>
                  </w:r>
                </w:p>
              </w:tc>
              <w:tc>
                <w:tcPr>
                  <w:tcW w:type="dxa" w:w="560"/>
                  <w:shd w:fill="1F4FD8" w:color="auto" w:val="clear"/>
                  <w:tcMar>
                    <w:top w:type="dxa" w:w="28"/>
                    <w:left w:type="dxa" w:w="40"/>
                    <w:bottom w:type="dxa" w:w="28"/>
                    <w:right w:type="dxa" w:w="60"/>
                  </w:tcMar>
                </w:tcPr>
                <w:p>
                  <w:pPr>
                    <w:spacing w:after="0" w:before="0" w:line="27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Anteil</w:t>
                  </w:r>
                </w:p>
              </w:tc>
              <w:tc>
                <w:tcPr>
                  <w:tcW w:type="dxa" w:w="3093"/>
                  <w:shd w:fill="1F4FD8" w:color="auto" w:val="clear"/>
                  <w:tcMar>
                    <w:top w:type="dxa" w:w="28"/>
                    <w:left w:type="dxa" w:w="80"/>
                    <w:bottom w:type="dxa" w:w="28"/>
                    <w:right w:type="dxa" w:w="40"/>
                  </w:tcMar>
                </w:tcPr>
                <w:p>
                  <w:pPr>
                    <w:spacing w:after="0" w:before="0" w:line="225"/>
                  </w:pPr>
                  <w:r>
                    <w:rPr>
                      <w:rFonts w:ascii="Calibri" w:cs="Calibri" w:eastAsia="Calibri" w:hAnsi="Calibri"/>
                      <w:color w:val="FFFFFF"/>
                      <w:sz w:val="15"/>
                      <w:szCs w:val="15"/>
                    </w:rPr>
                    <w:t xml:space="preserve">Grundlage (Aktien)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28"/>
                    <w:left w:type="dxa" w:w="80"/>
                    <w:bottom w:type="dxa" w:w="28"/>
                    <w:right w:type="dxa" w:w="11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6"/>
                      <w:szCs w:val="16"/>
                    </w:rPr>
                    <w:t xml:space="preserve">Bewertung</w:t>
                  </w:r>
                </w:p>
              </w:tc>
              <w:tc>
                <w:tcPr>
                  <w:tcW w:type="dxa" w:w="560"/>
                  <w:tcMar>
                    <w:top w:type="dxa" w:w="28"/>
                    <w:left w:type="dxa" w:w="40"/>
                    <w:bottom w:type="dxa" w:w="28"/>
                    <w:right w:type="dxa" w:w="60"/>
                  </w:tcMar>
                </w:tcPr>
                <w:p>
                  <w:pPr>
                    <w:spacing w:after="0" w:before="0" w:line="27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25 %</w:t>
                  </w:r>
                </w:p>
              </w:tc>
              <w:tc>
                <w:tcPr>
                  <w:tcW w:type="dxa" w:w="3093"/>
                  <w:tcMar>
                    <w:top w:type="dxa" w:w="28"/>
                    <w:left w:type="dxa" w:w="80"/>
                    <w:bottom w:type="dxa" w:w="28"/>
                    <w:right w:type="dxa" w:w="40"/>
                  </w:tcMar>
                </w:tcPr>
                <w:p>
                  <w:pPr>
                    <w:spacing w:after="0" w:before="0" w:line="225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KGV, Forward-KGV, EV/EBITDA ggü. Wettbewerbern und Historie, FCF-Rendite, Kursziele, fairer Wert (DCF)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28"/>
                    <w:left w:type="dxa" w:w="80"/>
                    <w:bottom w:type="dxa" w:w="28"/>
                    <w:right w:type="dxa" w:w="11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6"/>
                      <w:szCs w:val="16"/>
                    </w:rPr>
                    <w:t xml:space="preserve">Qualität</w:t>
                  </w:r>
                </w:p>
              </w:tc>
              <w:tc>
                <w:tcPr>
                  <w:tcW w:type="dxa" w:w="560"/>
                  <w:tcMar>
                    <w:top w:type="dxa" w:w="28"/>
                    <w:left w:type="dxa" w:w="40"/>
                    <w:bottom w:type="dxa" w:w="28"/>
                    <w:right w:type="dxa" w:w="60"/>
                  </w:tcMar>
                </w:tcPr>
                <w:p>
                  <w:pPr>
                    <w:spacing w:after="0" w:before="0" w:line="27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20 %</w:t>
                  </w:r>
                </w:p>
              </w:tc>
              <w:tc>
                <w:tcPr>
                  <w:tcW w:type="dxa" w:w="3093"/>
                  <w:tcMar>
                    <w:top w:type="dxa" w:w="28"/>
                    <w:left w:type="dxa" w:w="80"/>
                    <w:bottom w:type="dxa" w:w="28"/>
                    <w:right w:type="dxa" w:w="40"/>
                  </w:tcMar>
                </w:tcPr>
                <w:p>
                  <w:pPr>
                    <w:spacing w:after="0" w:before="0" w:line="225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Margen, Kapitalrendite, Free Cashflow, Verschuldung, Piotroski F-Score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28"/>
                    <w:left w:type="dxa" w:w="80"/>
                    <w:bottom w:type="dxa" w:w="28"/>
                    <w:right w:type="dxa" w:w="11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6"/>
                      <w:szCs w:val="16"/>
                    </w:rPr>
                    <w:t xml:space="preserve">Wachstum</w:t>
                  </w:r>
                </w:p>
              </w:tc>
              <w:tc>
                <w:tcPr>
                  <w:tcW w:type="dxa" w:w="560"/>
                  <w:tcMar>
                    <w:top w:type="dxa" w:w="28"/>
                    <w:left w:type="dxa" w:w="40"/>
                    <w:bottom w:type="dxa" w:w="28"/>
                    <w:right w:type="dxa" w:w="60"/>
                  </w:tcMar>
                </w:tcPr>
                <w:p>
                  <w:pPr>
                    <w:spacing w:after="0" w:before="0" w:line="27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15 %</w:t>
                  </w:r>
                </w:p>
              </w:tc>
              <w:tc>
                <w:tcPr>
                  <w:tcW w:type="dxa" w:w="3093"/>
                  <w:tcMar>
                    <w:top w:type="dxa" w:w="28"/>
                    <w:left w:type="dxa" w:w="80"/>
                    <w:bottom w:type="dxa" w:w="28"/>
                    <w:right w:type="dxa" w:w="40"/>
                  </w:tcMar>
                </w:tcPr>
                <w:p>
                  <w:pPr>
                    <w:spacing w:after="0" w:before="0" w:line="225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Umsatz- und Gewinnwachstum, Prognosen der Analysten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28"/>
                    <w:left w:type="dxa" w:w="80"/>
                    <w:bottom w:type="dxa" w:w="28"/>
                    <w:right w:type="dxa" w:w="11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6"/>
                      <w:szCs w:val="16"/>
                    </w:rPr>
                    <w:t xml:space="preserve">Risiko</w:t>
                  </w:r>
                </w:p>
              </w:tc>
              <w:tc>
                <w:tcPr>
                  <w:tcW w:type="dxa" w:w="560"/>
                  <w:tcMar>
                    <w:top w:type="dxa" w:w="28"/>
                    <w:left w:type="dxa" w:w="40"/>
                    <w:bottom w:type="dxa" w:w="28"/>
                    <w:right w:type="dxa" w:w="60"/>
                  </w:tcMar>
                </w:tcPr>
                <w:p>
                  <w:pPr>
                    <w:spacing w:after="0" w:before="0" w:line="27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10 %</w:t>
                  </w:r>
                </w:p>
              </w:tc>
              <w:tc>
                <w:tcPr>
                  <w:tcW w:type="dxa" w:w="3093"/>
                  <w:tcMar>
                    <w:top w:type="dxa" w:w="28"/>
                    <w:left w:type="dxa" w:w="80"/>
                    <w:bottom w:type="dxa" w:w="28"/>
                    <w:right w:type="dxa" w:w="40"/>
                  </w:tcMar>
                </w:tcPr>
                <w:p>
                  <w:pPr>
                    <w:spacing w:after="0" w:before="0" w:line="225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Volatilität, Beta, Rückgänge, Altman Z-Score, Zinsdeckung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28"/>
                    <w:left w:type="dxa" w:w="80"/>
                    <w:bottom w:type="dxa" w:w="28"/>
                    <w:right w:type="dxa" w:w="11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6"/>
                      <w:szCs w:val="16"/>
                    </w:rPr>
                    <w:t xml:space="preserve">Charttechnik</w:t>
                  </w:r>
                </w:p>
              </w:tc>
              <w:tc>
                <w:tcPr>
                  <w:tcW w:type="dxa" w:w="560"/>
                  <w:tcMar>
                    <w:top w:type="dxa" w:w="28"/>
                    <w:left w:type="dxa" w:w="40"/>
                    <w:bottom w:type="dxa" w:w="28"/>
                    <w:right w:type="dxa" w:w="60"/>
                  </w:tcMar>
                </w:tcPr>
                <w:p>
                  <w:pPr>
                    <w:spacing w:after="0" w:before="0" w:line="27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10 %</w:t>
                  </w:r>
                </w:p>
              </w:tc>
              <w:tc>
                <w:tcPr>
                  <w:tcW w:type="dxa" w:w="3093"/>
                  <w:tcMar>
                    <w:top w:type="dxa" w:w="28"/>
                    <w:left w:type="dxa" w:w="80"/>
                    <w:bottom w:type="dxa" w:w="28"/>
                    <w:right w:type="dxa" w:w="40"/>
                  </w:tcMar>
                </w:tcPr>
                <w:p>
                  <w:pPr>
                    <w:spacing w:after="0" w:before="0" w:line="225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Trend, GD 50/200, RSI, 52-Wochen-Spanne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28"/>
                    <w:left w:type="dxa" w:w="80"/>
                    <w:bottom w:type="dxa" w:w="28"/>
                    <w:right w:type="dxa" w:w="11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6"/>
                      <w:szCs w:val="16"/>
                    </w:rPr>
                    <w:t xml:space="preserve">Stimmung</w:t>
                  </w:r>
                </w:p>
              </w:tc>
              <w:tc>
                <w:tcPr>
                  <w:tcW w:type="dxa" w:w="560"/>
                  <w:tcMar>
                    <w:top w:type="dxa" w:w="28"/>
                    <w:left w:type="dxa" w:w="40"/>
                    <w:bottom w:type="dxa" w:w="28"/>
                    <w:right w:type="dxa" w:w="60"/>
                  </w:tcMar>
                </w:tcPr>
                <w:p>
                  <w:pPr>
                    <w:spacing w:after="0" w:before="0" w:line="27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10 %</w:t>
                  </w:r>
                </w:p>
              </w:tc>
              <w:tc>
                <w:tcPr>
                  <w:tcW w:type="dxa" w:w="3093"/>
                  <w:tcMar>
                    <w:top w:type="dxa" w:w="28"/>
                    <w:left w:type="dxa" w:w="80"/>
                    <w:bottom w:type="dxa" w:w="28"/>
                    <w:right w:type="dxa" w:w="40"/>
                  </w:tcMar>
                </w:tcPr>
                <w:p>
                  <w:pPr>
                    <w:spacing w:after="0" w:before="0" w:line="225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Analystenkonsens, Gewinnrevisionen, Insiderkäufe, News-Tonalität</w:t>
                  </w:r>
                </w:p>
              </w:tc>
            </w:tr>
            <w:tr>
              <w:tc>
                <w:tcPr>
                  <w:tcW w:type="dxa" w:w="1500"/>
                  <w:tcMar>
                    <w:top w:type="dxa" w:w="28"/>
                    <w:left w:type="dxa" w:w="80"/>
                    <w:bottom w:type="dxa" w:w="28"/>
                    <w:right w:type="dxa" w:w="11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01828"/>
                      <w:sz w:val="16"/>
                      <w:szCs w:val="16"/>
                    </w:rPr>
                    <w:t xml:space="preserve">Dividende · Makro</w:t>
                  </w:r>
                </w:p>
              </w:tc>
              <w:tc>
                <w:tcPr>
                  <w:tcW w:type="dxa" w:w="560"/>
                  <w:tcMar>
                    <w:top w:type="dxa" w:w="28"/>
                    <w:left w:type="dxa" w:w="40"/>
                    <w:bottom w:type="dxa" w:w="28"/>
                    <w:right w:type="dxa" w:w="60"/>
                  </w:tcMar>
                </w:tcPr>
                <w:p>
                  <w:pPr>
                    <w:spacing w:after="0" w:before="0" w:line="27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6"/>
                      <w:szCs w:val="16"/>
                    </w:rPr>
                    <w:t xml:space="preserve">je 5 %</w:t>
                  </w:r>
                </w:p>
              </w:tc>
              <w:tc>
                <w:tcPr>
                  <w:tcW w:type="dxa" w:w="3093"/>
                  <w:tcMar>
                    <w:top w:type="dxa" w:w="28"/>
                    <w:left w:type="dxa" w:w="80"/>
                    <w:bottom w:type="dxa" w:w="28"/>
                    <w:right w:type="dxa" w:w="40"/>
                  </w:tcMar>
                </w:tcPr>
                <w:p>
                  <w:pPr>
                    <w:spacing w:after="0" w:before="0" w:line="225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Ausschüttung und Verlässlichkeit; Zinsen, Währung, Konjunktur</w:t>
                  </w:r>
                </w:p>
              </w:tc>
            </w:tr>
          </w:tbl>
          <w:p>
            <w:pPr>
              <w:spacing w:after="0" w:before="50" w:line="225"/>
            </w:pPr>
            <w:r>
              <w:rPr>
                <w:rFonts w:ascii="Calibri" w:cs="Calibri" w:eastAsia="Calibri" w:hAnsi="Calibri"/>
                <w:i/>
                <w:iCs/>
                <w:color w:val="475467"/>
                <w:sz w:val="14"/>
                <w:szCs w:val="14"/>
              </w:rPr>
              <w:t xml:space="preserve">Branchenmodelle tauschen unpassende Kennzahlen aus (Banken: Kurs-Buchwert vs. Eigenkapitalrendite; Immobilien: Kurs/FFO). ETFs: Kosten, Bewertung der Bestände, Rendite, Streuung. Krypto: Marktzyklus, Netzwerk, Angebot.</w:t>
            </w:r>
          </w:p>
        </w:tc>
        <w:tc>
          <w:tcPr>
            <w:tcW w:type="dxa" w:w="5393"/>
            <w:tcMar>
              <w:top w:type="dxa" w:w="0"/>
              <w:left w:type="dxa" w:w="140"/>
              <w:bottom w:type="dxa" w:w="60"/>
              <w:right w:type="dxa" w:w="0"/>
            </w:tcMar>
          </w:tcPr>
          <w:p>
            <w:pPr>
              <w:pBdr>
                <w:bottom w:val="single" w:color="1F4FD8" w:sz="6" w:space="2"/>
              </w:pBdr>
              <w:spacing w:after="80" w:before="23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WOHER DIE DATEN KOMMEN</w:t>
            </w:r>
          </w:p>
          <w:tbl>
            <w:tblPr>
              <w:tblW w:type="dxa" w:w="5153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D0D5DD" w:sz="4"/>
                <w:insideV w:val="none" w:color="FFFFFF" w:sz="0"/>
              </w:tblBorders>
              <w:tblLayout w:type="fixed"/>
            </w:tblPr>
            <w:tblGrid>
              <w:gridCol w:w="1050"/>
              <w:gridCol w:w="4103"/>
            </w:tblGrid>
            <w:tr>
              <w:tc>
                <w:tcPr>
                  <w:tcW w:type="dxa" w:w="1050"/>
                  <w:shd w:fill="EEF3FF" w:color="auto" w:val="clear"/>
                  <w:tcMar>
                    <w:top w:type="dxa" w:w="36"/>
                    <w:left w:type="dxa" w:w="80"/>
                    <w:bottom w:type="dxa" w:w="36"/>
                    <w:right w:type="dxa" w:w="6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5"/>
                      <w:szCs w:val="15"/>
                    </w:rPr>
                    <w:t xml:space="preserve">Tier 1</w:t>
                  </w:r>
                </w:p>
              </w:tc>
              <w:tc>
                <w:tcPr>
                  <w:tcW w:type="dxa" w:w="4103"/>
                  <w:tcMar>
                    <w:top w:type="dxa" w:w="36"/>
                    <w:left w:type="dxa" w:w="90"/>
                    <w:bottom w:type="dxa" w:w="36"/>
                    <w:right w:type="dxa" w:w="40"/>
                  </w:tcMar>
                </w:tcPr>
                <w:p>
                  <w:pPr>
                    <w:spacing w:after="0" w:before="0" w:line="228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Originäre, sehr zuverlässige Quellen: Reuters, CNBC, MarketWatch, Yahoo Finance, finanzen.net, tagesschau</w:t>
                  </w:r>
                </w:p>
              </w:tc>
            </w:tr>
            <w:tr>
              <w:tc>
                <w:tcPr>
                  <w:tcW w:type="dxa" w:w="1050"/>
                  <w:shd w:fill="EEF3FF" w:color="auto" w:val="clear"/>
                  <w:tcMar>
                    <w:top w:type="dxa" w:w="36"/>
                    <w:left w:type="dxa" w:w="80"/>
                    <w:bottom w:type="dxa" w:w="36"/>
                    <w:right w:type="dxa" w:w="6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5"/>
                      <w:szCs w:val="15"/>
                    </w:rPr>
                    <w:t xml:space="preserve">Tier 2</w:t>
                  </w:r>
                </w:p>
              </w:tc>
              <w:tc>
                <w:tcPr>
                  <w:tcW w:type="dxa" w:w="4103"/>
                  <w:tcMar>
                    <w:top w:type="dxa" w:w="36"/>
                    <w:left w:type="dxa" w:w="90"/>
                    <w:bottom w:type="dxa" w:w="36"/>
                    <w:right w:type="dxa" w:w="40"/>
                  </w:tcMar>
                </w:tcPr>
                <w:p>
                  <w:pPr>
                    <w:spacing w:after="0" w:before="0" w:line="228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Glaubwürdige Medien mit (weicher) Paywall: Bloomberg, FT, WSJ, Handelsblatt, FAZ, Morningstar</w:t>
                  </w:r>
                </w:p>
              </w:tc>
            </w:tr>
            <w:tr>
              <w:tc>
                <w:tcPr>
                  <w:tcW w:type="dxa" w:w="1050"/>
                  <w:shd w:fill="EEF3FF" w:color="auto" w:val="clear"/>
                  <w:tcMar>
                    <w:top w:type="dxa" w:w="36"/>
                    <w:left w:type="dxa" w:w="80"/>
                    <w:bottom w:type="dxa" w:w="36"/>
                    <w:right w:type="dxa" w:w="6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5"/>
                      <w:szCs w:val="15"/>
                    </w:rPr>
                    <w:t xml:space="preserve">Tier 3</w:t>
                  </w:r>
                </w:p>
              </w:tc>
              <w:tc>
                <w:tcPr>
                  <w:tcW w:type="dxa" w:w="4103"/>
                  <w:tcMar>
                    <w:top w:type="dxa" w:w="36"/>
                    <w:left w:type="dxa" w:w="90"/>
                    <w:bottom w:type="dxa" w:w="36"/>
                    <w:right w:type="dxa" w:w="40"/>
                  </w:tcMar>
                </w:tcPr>
                <w:p>
                  <w:pPr>
                    <w:spacing w:after="0" w:before="0" w:line="228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Pressemitteilungen &amp; Unternehmensseiten – werden gegen Tier 1/2 geprüft</w:t>
                  </w:r>
                </w:p>
              </w:tc>
            </w:tr>
            <w:tr>
              <w:tc>
                <w:tcPr>
                  <w:tcW w:type="dxa" w:w="1050"/>
                  <w:shd w:fill="EEF3FF" w:color="auto" w:val="clear"/>
                  <w:tcMar>
                    <w:top w:type="dxa" w:w="36"/>
                    <w:left w:type="dxa" w:w="80"/>
                    <w:bottom w:type="dxa" w:w="36"/>
                    <w:right w:type="dxa" w:w="6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5"/>
                      <w:szCs w:val="15"/>
                    </w:rPr>
                    <w:t xml:space="preserve">Kennzahlen</w:t>
                  </w:r>
                </w:p>
              </w:tc>
              <w:tc>
                <w:tcPr>
                  <w:tcW w:type="dxa" w:w="4103"/>
                  <w:tcMar>
                    <w:top w:type="dxa" w:w="36"/>
                    <w:left w:type="dxa" w:w="90"/>
                    <w:bottom w:type="dxa" w:w="36"/>
                    <w:right w:type="dxa" w:w="40"/>
                  </w:tcMar>
                </w:tcPr>
                <w:p>
                  <w:pPr>
                    <w:spacing w:after="0" w:before="0" w:line="228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Yahoo Finance (Kurse, Bilanzen, Schätzungen, Insider, Termine), Finnhub (Analysten, Wettbewerber), CoinGecko, Fear &amp; Greed, Zinsen, Wechselkurse</w:t>
                  </w:r>
                </w:p>
              </w:tc>
            </w:tr>
            <w:tr>
              <w:tc>
                <w:tcPr>
                  <w:tcW w:type="dxa" w:w="1050"/>
                  <w:shd w:fill="EEF3FF" w:color="auto" w:val="clear"/>
                  <w:tcMar>
                    <w:top w:type="dxa" w:w="36"/>
                    <w:left w:type="dxa" w:w="80"/>
                    <w:bottom w:type="dxa" w:w="36"/>
                    <w:right w:type="dxa" w:w="6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5"/>
                      <w:szCs w:val="15"/>
                    </w:rPr>
                    <w:t xml:space="preserve">Amtlich</w:t>
                  </w:r>
                </w:p>
              </w:tc>
              <w:tc>
                <w:tcPr>
                  <w:tcW w:type="dxa" w:w="4103"/>
                  <w:tcMar>
                    <w:top w:type="dxa" w:w="36"/>
                    <w:left w:type="dxa" w:w="90"/>
                    <w:bottom w:type="dxa" w:w="36"/>
                    <w:right w:type="dxa" w:w="40"/>
                  </w:tcMar>
                </w:tcPr>
                <w:p>
                  <w:pPr>
                    <w:spacing w:after="0" w:before="0" w:line="228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SEC EDGAR: Pflichtmeldungen, XBRL-Jahreszahlen, Insider-Meldungen, Fondsbestände (N-PORT)</w:t>
                  </w:r>
                </w:p>
              </w:tc>
            </w:tr>
            <w:tr>
              <w:tc>
                <w:tcPr>
                  <w:tcW w:type="dxa" w:w="1050"/>
                  <w:shd w:fill="EEF3FF" w:color="auto" w:val="clear"/>
                  <w:tcMar>
                    <w:top w:type="dxa" w:w="36"/>
                    <w:left w:type="dxa" w:w="80"/>
                    <w:bottom w:type="dxa" w:w="36"/>
                    <w:right w:type="dxa" w:w="6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5"/>
                      <w:szCs w:val="15"/>
                    </w:rPr>
                    <w:t xml:space="preserve">ETF-Anbieter</w:t>
                  </w:r>
                </w:p>
              </w:tc>
              <w:tc>
                <w:tcPr>
                  <w:tcW w:type="dxa" w:w="4103"/>
                  <w:tcMar>
                    <w:top w:type="dxa" w:w="36"/>
                    <w:left w:type="dxa" w:w="90"/>
                    <w:bottom w:type="dxa" w:w="36"/>
                    <w:right w:type="dxa" w:w="40"/>
                  </w:tcMar>
                </w:tcPr>
                <w:p>
                  <w:pPr>
                    <w:spacing w:after="0" w:before="0" w:line="228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iShares, Xtrackers, Vanguard, Amundi – vollständige Bestandslisten</w:t>
                  </w:r>
                </w:p>
              </w:tc>
            </w:tr>
            <w:tr>
              <w:tc>
                <w:tcPr>
                  <w:tcW w:type="dxa" w:w="1050"/>
                  <w:shd w:fill="EEF3FF" w:color="auto" w:val="clear"/>
                  <w:tcMar>
                    <w:top w:type="dxa" w:w="36"/>
                    <w:left w:type="dxa" w:w="80"/>
                    <w:bottom w:type="dxa" w:w="36"/>
                    <w:right w:type="dxa" w:w="60"/>
                  </w:tcMar>
                </w:tcPr>
                <w:p>
                  <w:pPr>
                    <w:spacing w:after="0" w:before="0" w:line="27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FD8"/>
                      <w:sz w:val="15"/>
                      <w:szCs w:val="15"/>
                    </w:rPr>
                    <w:t xml:space="preserve">Stammdaten</w:t>
                  </w:r>
                </w:p>
              </w:tc>
              <w:tc>
                <w:tcPr>
                  <w:tcW w:type="dxa" w:w="4103"/>
                  <w:tcMar>
                    <w:top w:type="dxa" w:w="36"/>
                    <w:left w:type="dxa" w:w="90"/>
                    <w:bottom w:type="dxa" w:w="36"/>
                    <w:right w:type="dxa" w:w="40"/>
                  </w:tcMar>
                </w:tcPr>
                <w:p>
                  <w:pPr>
                    <w:spacing w:after="0" w:before="0" w:line="228"/>
                  </w:pPr>
                  <w:r>
                    <w:rPr>
                      <w:rFonts w:ascii="Calibri" w:cs="Calibri" w:eastAsia="Calibri" w:hAnsi="Calibri"/>
                      <w:color w:val="475467"/>
                      <w:sz w:val="15"/>
                      <w:szCs w:val="15"/>
                    </w:rPr>
                    <w:t xml:space="preserve">Wikidata, OpenFIGI (ISIN, FIGI, CEO, Sitz)</w:t>
                  </w:r>
                </w:p>
              </w:tc>
            </w:tr>
          </w:tbl>
          <w:p/>
        </w:tc>
      </w:tr>
    </w:tbl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53"/>
        <w:gridCol w:w="5393"/>
      </w:tblGrid>
      <w:tr>
        <w:tc>
          <w:tcPr>
            <w:tcW w:type="dxa" w:w="5153"/>
            <w:tcMar>
              <w:top w:type="dxa" w:w="0"/>
              <w:left w:type="dxa" w:w="0"/>
              <w:bottom w:type="dxa" w:w="60"/>
              <w:right w:type="dxa" w:w="140"/>
            </w:tcMar>
          </w:tcPr>
          <w:p>
            <w:pPr>
              <w:pBdr>
                <w:bottom w:val="single" w:color="1F4FD8" w:sz="6" w:space="2"/>
              </w:pBdr>
              <w:spacing w:after="80" w:before="23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FÜR WEN ES GEDACHT 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Privatanleger,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die Aktien und ETFs selbst auswählen und eine fundierte Zweitmeinung wollen.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Einsteiger,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die Kennzahlen verstehen lernen möchten – jede Zahl wird erklärt.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Erfahrene Anleger,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die schnell Kandidaten filtern und ihre Watchlist überwachen wollen.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ETF-Sparer,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die vor dem Sparplan sehen wollen, welche Länder, Branchen und Firmen wirklich im Fonds stecken.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Dividenden-Anleger,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die Ausschüttungshistorie, Ausschüttungsquote und Verlässlichkeit der Dividende prüfen.</w:t>
            </w:r>
          </w:p>
        </w:tc>
        <w:tc>
          <w:tcPr>
            <w:tcW w:type="dxa" w:w="5393"/>
            <w:tcMar>
              <w:top w:type="dxa" w:w="0"/>
              <w:left w:type="dxa" w:w="140"/>
              <w:bottom w:type="dxa" w:w="60"/>
              <w:right w:type="dxa" w:w="0"/>
            </w:tcMar>
          </w:tcPr>
          <w:p>
            <w:pPr>
              <w:pBdr>
                <w:bottom w:val="single" w:color="1F4FD8" w:sz="6" w:space="2"/>
              </w:pBdr>
              <w:spacing w:after="80" w:before="230"/>
            </w:pPr>
            <w:r>
              <w:rPr>
                <w:rFonts w:ascii="Calibri" w:cs="Calibri" w:eastAsia="Calibri" w:hAnsi="Calibri"/>
                <w:b/>
                <w:bCs/>
                <w:color w:val="1F4FD8"/>
                <w:sz w:val="19"/>
                <w:szCs w:val="19"/>
              </w:rPr>
              <w:t xml:space="preserve">TECHNIK &amp; SICHERHEIT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Web-App: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läuft im Browser auf PC, Tablet und Smartphone; als App auf dem Startbildschirm installierbar.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Schlanker Server: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Python, ohne Datenbank; Analysen werden parallel aus allen Quellen geladen und kurz zwischengespeichert.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Verschlüsselte Daten: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Konten, Watchlists, Alarme und Abos werden verschlüsselt gespeichert; wöchentliches Backup mit Versionsverlauf.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Sichere Anmeldung: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Passwörter gehasht, Schutz vor Durchprobieren, gesperrte Konten verlieren sofort alle Sitzungen.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Push ohne App-Store: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Benachrichtigungen über die kostenlose App ntfy.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8"/>
            </w:pPr>
            <w:r>
              <w:rPr>
                <w:rFonts w:ascii="Calibri" w:cs="Calibri" w:eastAsia="Calibri" w:hAnsi="Calibri"/>
                <w:b/>
                <w:bCs/>
                <w:color w:val="101828"/>
                <w:sz w:val="18"/>
                <w:szCs w:val="18"/>
              </w:rPr>
              <w:t xml:space="preserve">Überwacht:</w:t>
            </w:r>
            <w:r>
              <w:rPr>
                <w:rFonts w:ascii="Calibri" w:cs="Calibri" w:eastAsia="Calibri" w:hAnsi="Calibri"/>
                <w:color w:val="475467"/>
                <w:sz w:val="18"/>
                <w:szCs w:val="18"/>
              </w:rPr>
              <w:t xml:space="preserve"> Speicher- und Neustartverlauf, Fehlerquote und Antwortzeiten im Admin-Dashboard; rund 70 automatische Tests.</w:t>
            </w:r>
          </w:p>
        </w:tc>
      </w:tr>
    </w:tbl>
    <w:p>
      <w:pPr>
        <w:spacing w:after="80" w:line="120"/>
      </w:pPr>
    </w:p>
    <w:tbl>
      <w:tblPr>
        <w:tblW w:type="dxa" w:w="10546"/>
        <w:tblBorders>
          <w:top w:val="none" w:color="FFFFFF" w:sz="0"/>
          <w:left w:val="single" w:color="B5470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c>
          <w:tcPr>
            <w:tcW w:type="dxa" w:w="10546"/>
            <w:shd w:fill="FFFAEB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B54708"/>
                <w:sz w:val="16"/>
                <w:szCs w:val="16"/>
              </w:rPr>
              <w:t xml:space="preserve">Wichtiger Hinweis: </w:t>
            </w:r>
            <w:r>
              <w:rPr>
                <w:rFonts w:ascii="Calibri" w:cs="Calibri" w:eastAsia="Calibri" w:hAnsi="Calibri"/>
                <w:color w:val="101828"/>
                <w:sz w:val="16"/>
                <w:szCs w:val="16"/>
              </w:rPr>
              <w:t xml:space="preserve">Aktien-Check erzeugt automatisierte Kauf- und Verkaufsempfehlungen aus öffentlich verfügbaren Daten. Das ist keine Anlageberatung; Daten können verzögert oder unvollständig sein. Anlageentscheidungen trifft jede Person eigenverantwortlich – bei Kryptowährungen ist ein Totalverlust möglich.</w:t>
            </w:r>
          </w:p>
        </w:tc>
      </w:tr>
    </w:tbl>
    <w:p>
      <w:pPr>
        <w:spacing w:after="0" w:before="70" w:line="270"/>
        <w:jc w:val="center"/>
      </w:pPr>
      <w:r>
        <w:rPr>
          <w:rFonts w:ascii="Calibri" w:cs="Calibri" w:eastAsia="Calibri" w:hAnsi="Calibri"/>
          <w:color w:val="475467"/>
          <w:sz w:val="15"/>
          <w:szCs w:val="15"/>
        </w:rPr>
        <w:t xml:space="preserve">Zugang: aktien-check.onrender.com  ·  Web-App für PC, Tablet und Smartphone  ·  Stand: Oktober 2026  ·  Seite 2 von 2</w:t>
      </w:r>
    </w:p>
    <w:sectPr>
      <w:pgSz w:w="11906" w:h="16838" w:orient="portrait"/>
      <w:pgMar w:top="620" w:right="680" w:bottom="56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30" w:hanging="170"/>
      </w:pPr>
      <w:rPr>
        <w:color w:val="1F4FD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828"/>
        <w:sz w:val="18"/>
        <w:szCs w:val="1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Aktien-Check – Two-Pager</dc:title>
  <dc:creator>Aktien-Check</dc:creator>
  <cp:lastModifiedBy>Un-named</cp:lastModifiedBy>
  <cp:revision>1</cp:revision>
  <dcterms:created xsi:type="dcterms:W3CDTF">2026-10-25T11:46:48.845Z</dcterms:created>
  <dcterms:modified xsi:type="dcterms:W3CDTF">2026-10-25T11:46:48.847Z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