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68.png" ContentType="image/png"/>
  <Override PartName="/word/media/rId65.png" ContentType="image/png"/>
  <Override PartName="/word/media/rId6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p>
      <w:pPr>
        <w:pStyle w:val="BodyText"/>
      </w:pPr>
      <w:r>
        <w:t xml:space="preserve">There are also useful appendices at the end of the document (see the</w:t>
      </w:r>
      <w:r>
        <w:t xml:space="preserve"> </w:t>
      </w:r>
      <w:r>
        <w:t xml:space="preserve">table of contents)</w:t>
      </w:r>
    </w:p>
    <w:bookmarkEnd w:id="12"/>
    <w:bookmarkStart w:id="13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28 Aug 2026, 23:52 · bcba74b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Subdeacons and Altar Servers</w:t>
      </w:r>
      <w:r>
        <w:t xml:space="preserve"> </w:t>
      </w:r>
      <w:r>
        <w:t xml:space="preserve">C. A Note on the Spiritual role of Altar Servers</w:t>
      </w:r>
      <w:r>
        <w:t xml:space="preserve"> </w:t>
      </w:r>
      <w:r>
        <w:t xml:space="preserve">D. Serving with More or Less than Two Deacons</w:t>
      </w:r>
      <w:r>
        <w:t xml:space="preserve"> </w:t>
      </w:r>
      <w:r>
        <w:t xml:space="preserve">E. Pages to Cut Out and Add to the Liturgy Book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Start w:id="55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5"/>
    <w:bookmarkStart w:id="56" w:name="assigning-subdeacons-and-altar-servers"/>
    <w:p>
      <w:pPr>
        <w:pStyle w:val="Heading2"/>
      </w:pPr>
      <w:r>
        <w:t xml:space="preserve">Assigning Subdeacons and Altar Servers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Where there are no subdeacons, the two senior altar servers,</w:t>
      </w:r>
      <w:r>
        <w:t xml:space="preserve"> </w:t>
      </w:r>
      <w:r>
        <w:t xml:space="preserve">unless blessed to do so</w:t>
      </w:r>
      <w:r>
        <w:t xml:space="preserve"> </w:t>
      </w:r>
      <w:r>
        <w:t xml:space="preserve">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Optimally you will have at least two more adult servers who will carry</w:t>
      </w:r>
      <w:r>
        <w:t xml:space="preserve"> </w:t>
      </w:r>
      <w:r>
        <w:t xml:space="preserve">the fans, and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6"/>
    <w:bookmarkStart w:id="57" w:name="X02d85d90e144432385f01c7248d9422a4b17dd7"/>
    <w:p>
      <w:pPr>
        <w:pStyle w:val="Heading2"/>
      </w:pPr>
      <w:r>
        <w:t xml:space="preserve">A Note on the Spiritual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7"/>
    <w:bookmarkStart w:id="61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and video above have assumed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and second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rPr>
          <w:i/>
          <w:iCs/>
        </w:rPr>
        <w:t xml:space="preserve">Consult the Bishop or your</w:t>
      </w:r>
      <w:r>
        <w:t xml:space="preserve"> </w:t>
      </w:r>
      <w:r>
        <w:rPr>
          <w:i/>
          <w:iCs/>
        </w:rPr>
        <w:t xml:space="preserve">Dean to determine how to handle the</w:t>
      </w:r>
      <w:r>
        <w:rPr>
          <w:i/>
          <w:iCs/>
        </w:rPr>
        <w:t xml:space="preserve"> </w:t>
      </w:r>
      <w:r>
        <w:rPr>
          <w:i/>
          <w:iCs/>
        </w:rPr>
        <w:t xml:space="preserve">“washing of the hands”</w:t>
      </w:r>
      <w:r>
        <w:rPr>
          <w:i/>
          <w:iCs/>
        </w:rPr>
        <w:t xml:space="preserve">, and censing</w:t>
      </w:r>
      <w:r>
        <w:t xml:space="preserve"> </w:t>
      </w:r>
      <w:r>
        <w:rPr>
          <w:i/>
          <w:iCs/>
        </w:rPr>
        <w:t xml:space="preserve">during the Cherubic Hymn, which are normally done simultaneously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Deacon</w:t>
      </w:r>
    </w:p>
    <w:p>
      <w:pPr>
        <w:pStyle w:val="BodyText"/>
      </w:pPr>
      <w:r>
        <w:t xml:space="preserve">Where there are more than two deacons, the third and fourth deacons are given</w:t>
      </w:r>
      <w:r>
        <w:t xml:space="preserve"> </w:t>
      </w:r>
      <w:r>
        <w:t xml:space="preserve">some of the roles of the second deacon, and subdeacons as well.</w:t>
      </w:r>
    </w:p>
    <w:p>
      <w:pPr>
        <w:pStyle w:val="BodyText"/>
      </w:pPr>
      <w:r>
        <w:t xml:space="preserve">The following chart shows the typical roles for 2-8 Deacons serving at a</w:t>
      </w:r>
      <w:r>
        <w:t xml:space="preserve"> </w:t>
      </w:r>
      <w:r>
        <w:t xml:space="preserve">liturgy. Read across for each liturgical action, and stop at the column</w:t>
      </w:r>
      <w:r>
        <w:t xml:space="preserve"> </w:t>
      </w:r>
      <w:r>
        <w:t xml:space="preserve">for the number of deacons serving. That will determine which deacon(s)</w:t>
      </w:r>
      <w:r>
        <w:t xml:space="preserve"> </w:t>
      </w:r>
      <w:r>
        <w:t xml:space="preserve">perform that role.</w:t>
      </w:r>
    </w:p>
    <w:p>
      <w:pPr>
        <w:pStyle w:val="BodyText"/>
      </w:pPr>
      <w:r>
        <w:rPr>
          <w:i/>
          <w:iCs/>
        </w:rPr>
        <w:t xml:space="preserve">Note: If there are less than 4 deacons, the Trikiri and Dikiri are carried</w:t>
      </w:r>
      <w:r>
        <w:rPr>
          <w:i/>
          <w:iCs/>
        </w:rPr>
        <w:t xml:space="preserve"> </w:t>
      </w:r>
      <w:r>
        <w:rPr>
          <w:i/>
          <w:iCs/>
        </w:rPr>
        <w:t xml:space="preserve">by Subdeacons, and the Fans by either subdeacons or altar servers.</w:t>
      </w:r>
    </w:p>
    <w:p>
      <w:pPr>
        <w:pStyle w:val="BodyText"/>
      </w:pPr>
      <w:r>
        <w:t xml:space="preserve">A version sized to be cut out and kept in a service book is at the</w:t>
      </w:r>
      <w:r>
        <w:t xml:space="preserve"> </w:t>
      </w:r>
      <w:r>
        <w:t xml:space="preserve">end of this document, under</w:t>
      </w:r>
      <w:r>
        <w:t xml:space="preserve"> </w:t>
      </w:r>
      <w:r>
        <w:rPr>
          <w:b/>
          <w:bCs/>
        </w:rPr>
        <w:t xml:space="preserve">Pages to Cut Out</w:t>
      </w:r>
      <w:r>
        <w:t xml:space="preserve">.</w:t>
      </w:r>
    </w:p>
    <w:p>
      <w:pPr>
        <w:pStyle w:val="CaptionedFigure"/>
      </w:pPr>
      <w:r>
        <w:drawing>
          <wp:inline>
            <wp:extent cx="5334000" cy="8540750"/>
            <wp:effectExtent b="0" l="0" r="0" t="0"/>
            <wp:docPr descr="Roles for concelebrating deacons" title="card" id="59" name="Picture"/>
            <a:graphic>
              <a:graphicData uri="http://schemas.openxmlformats.org/drawingml/2006/picture">
                <pic:pic>
                  <pic:nvPicPr>
                    <pic:cNvPr descr="../art/roles_cha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4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Roles for concelebrating deacons</w:t>
      </w:r>
    </w:p>
    <w:bookmarkEnd w:id="61"/>
    <w:bookmarkStart w:id="71" w:name="Xeda5c1a04f610f08783f393c914971c996e3d7b"/>
    <w:p>
      <w:pPr>
        <w:pStyle w:val="Heading2"/>
      </w:pPr>
      <w:r>
        <w:t xml:space="preserve">Pages to Cut Out and Add to the Liturgy Book</w:t>
      </w:r>
    </w:p>
    <w:p>
      <w:pPr>
        <w:pStyle w:val="FirstParagraph"/>
      </w:pPr>
      <w:r>
        <w:rPr>
          <w:i/>
          <w:iCs/>
        </w:rPr>
        <w:t xml:space="preserve">Appendix E</w:t>
      </w:r>
    </w:p>
    <w:p>
      <w:pPr>
        <w:pStyle w:val="BodyText"/>
      </w:pPr>
      <w:r>
        <w:t xml:space="preserve">Where a hierarchical liturgy departs from the ordinary one, the difference</w:t>
      </w:r>
      <w:r>
        <w:t xml:space="preserve"> </w:t>
      </w:r>
      <w:r>
        <w:t xml:space="preserve">is easier to keep in the book than in the head. The pages below are set to</w:t>
      </w:r>
      <w:r>
        <w:t xml:space="preserve"> </w:t>
      </w:r>
      <w:r>
        <w:t xml:space="preserve">the size and type of the service book itself, so a printed one can take the</w:t>
      </w:r>
      <w:r>
        <w:t xml:space="preserve"> </w:t>
      </w:r>
      <w:r>
        <w:t xml:space="preserve">place of the handwritten note most of us end up making.</w:t>
      </w:r>
    </w:p>
    <w:p>
      <w:pPr>
        <w:pStyle w:val="BodyText"/>
      </w:pPr>
      <w:r>
        <w:t xml:space="preserve">Each is printed on one side only: paste the blank side over the page it</w:t>
      </w:r>
      <w:r>
        <w:t xml:space="preserve"> </w:t>
      </w:r>
      <w:r>
        <w:t xml:space="preserve">replaces, and where a piece spans two facing pages, fold it down the middle</w:t>
      </w:r>
      <w:r>
        <w:t xml:space="preserve"> </w:t>
      </w:r>
      <w:r>
        <w:t xml:space="preserve">into the gutter first.</w:t>
      </w:r>
    </w:p>
    <w:p>
      <w:pPr>
        <w:pStyle w:val="BodyText"/>
      </w:pPr>
      <w:r>
        <w:t xml:space="preserve">The sheets themselves are gathered at the end of this document,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Pages to Cut Out</w:t>
      </w:r>
      <w:r>
        <w:t xml:space="preserve">, each at the size it should be cut to.</w:t>
      </w:r>
    </w:p>
    <w:p>
      <w:pPr>
        <w:pStyle w:val="BodyText"/>
      </w:pPr>
      <w:r>
        <w:rPr>
          <w:b/>
          <w:bCs/>
        </w:rPr>
        <w:t xml:space="preserve">Page 56 — the completion of the vesting.</w:t>
      </w:r>
      <w:r>
        <w:t xml:space="preserve"> </w:t>
      </w:r>
      <w:r>
        <w:t xml:space="preserve">This page adds rubrics for the</w:t>
      </w:r>
      <w:r>
        <w:t xml:space="preserve"> </w:t>
      </w:r>
      <w:r>
        <w:t xml:space="preserve">completion of the vesting of the Bishop; it is pasted over page 56.</w:t>
      </w:r>
    </w:p>
    <w:p>
      <w:pPr>
        <w:pStyle w:val="CaptionedFigure"/>
      </w:pPr>
      <w:r>
        <w:drawing>
          <wp:inline>
            <wp:extent cx="5334000" cy="8644758"/>
            <wp:effectExtent b="0" l="0" r="0" t="0"/>
            <wp:docPr descr="Page 56, the completion of the vesting" title="card 3.625x5.875" id="63" name="Picture"/>
            <a:graphic>
              <a:graphicData uri="http://schemas.openxmlformats.org/drawingml/2006/picture">
                <pic:pic>
                  <pic:nvPicPr>
                    <pic:cNvPr descr="../art/page_56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44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 56, the completion of the vesting</w:t>
      </w:r>
    </w:p>
    <w:p>
      <w:pPr>
        <w:pStyle w:val="BodyText"/>
      </w:pPr>
      <w:r>
        <w:rPr>
          <w:b/>
          <w:bCs/>
        </w:rPr>
        <w:t xml:space="preserve">Pages 64–65 — the entrance prayers.</w:t>
      </w:r>
      <w:r>
        <w:t xml:space="preserve"> </w:t>
      </w:r>
      <w:r>
        <w:t xml:space="preserve">The ordinary entrance prayers, with</w:t>
      </w:r>
      <w:r>
        <w:t xml:space="preserve"> </w:t>
      </w:r>
      <w:r>
        <w:t xml:space="preserve">the hierarchical addition set where it belongs: after the priest’s prayer</w:t>
      </w:r>
      <w:r>
        <w:t xml:space="preserve"> </w:t>
      </w:r>
      <w:r>
        <w:t xml:space="preserve">the deacon and choir intone</w:t>
      </w:r>
      <w:r>
        <w:t xml:space="preserve"> </w:t>
      </w:r>
      <w:r>
        <w:rPr>
          <w:i/>
          <w:iCs/>
        </w:rPr>
        <w:t xml:space="preserve">Ton Despótēn</w:t>
      </w:r>
      <w:r>
        <w:t xml:space="preserve">, which is answered often and</w:t>
      </w:r>
      <w:r>
        <w:t xml:space="preserve"> </w:t>
      </w:r>
      <w:r>
        <w:t xml:space="preserve">mispronounced easily, so it is given here with its pronunciation. The</w:t>
      </w:r>
      <w:r>
        <w:t xml:space="preserve"> </w:t>
      </w:r>
      <w:r>
        <w:t xml:space="preserve">ordinary rite then resumes on page 65, undisturbed.</w:t>
      </w:r>
    </w:p>
    <w:p>
      <w:pPr>
        <w:pStyle w:val="CaptionedFigure"/>
      </w:pPr>
      <w:r>
        <w:drawing>
          <wp:inline>
            <wp:extent cx="5334000" cy="4322379"/>
            <wp:effectExtent b="0" l="0" r="0" t="0"/>
            <wp:docPr descr="Pages 64-65, the entrance prayers" title="card 7.25x5.875" id="66" name="Picture"/>
            <a:graphic>
              <a:graphicData uri="http://schemas.openxmlformats.org/drawingml/2006/picture">
                <pic:pic>
                  <pic:nvPicPr>
                    <pic:cNvPr descr="../art/insert_64_6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64-65, the entrance prayers</w:t>
      </w:r>
    </w:p>
    <w:p>
      <w:pPr>
        <w:pStyle w:val="BodyText"/>
      </w:pPr>
      <w:r>
        <w:rPr>
          <w:b/>
          <w:bCs/>
        </w:rPr>
        <w:t xml:space="preserve">Pages 136–137 — the great commemoration.</w:t>
      </w:r>
      <w:r>
        <w:t xml:space="preserve"> </w:t>
      </w:r>
      <w:r>
        <w:t xml:space="preserve">From the offering through</w:t>
      </w:r>
      <w:r>
        <w:t xml:space="preserve"> </w:t>
      </w:r>
      <w:r>
        <w:rPr>
          <w:i/>
          <w:iCs/>
        </w:rPr>
        <w:t xml:space="preserve">Is Polla Eti Despota</w:t>
      </w:r>
      <w:r>
        <w:t xml:space="preserve">. This one spans the open book, so it folds into the</w:t>
      </w:r>
      <w:r>
        <w:t xml:space="preserve"> </w:t>
      </w:r>
      <w:r>
        <w:t xml:space="preserve">gutter and is pasted over both facing pages.</w:t>
      </w:r>
    </w:p>
    <w:p>
      <w:pPr>
        <w:pStyle w:val="CaptionedFigure"/>
      </w:pPr>
      <w:r>
        <w:drawing>
          <wp:inline>
            <wp:extent cx="5334000" cy="4322379"/>
            <wp:effectExtent b="0" l="0" r="0" t="0"/>
            <wp:docPr descr="Pages 136-137 for a hierarchical liturgy" title="card 7.25x5.875" id="69" name="Picture"/>
            <a:graphic>
              <a:graphicData uri="http://schemas.openxmlformats.org/drawingml/2006/picture">
                <pic:pic>
                  <pic:nvPicPr>
                    <pic:cNvPr descr="../art/insert_136_13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136-137 for a hierarchical liturgy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68" Target="media/rId68.png" /><Relationship Type="http://schemas.openxmlformats.org/officeDocument/2006/relationships/image" Id="rId65" Target="media/rId65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2026-08-29T03:52:50Z</dcterms:created>
  <dcterms:modified xsi:type="dcterms:W3CDTF">2026-08-29T03:52:50Z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