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62.png" ContentType="image/png"/>
  <Override PartName="/word/media/rId6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28 Aug 2026, 10:38 · a4a0036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  <w:r>
        <w:t xml:space="preserve"> </w:t>
      </w:r>
      <w:r>
        <w:t xml:space="preserve">E. Pages to Cut Out and Add to the Liturgy Book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The chart follows on a page of its own, at the size it should be cut</w:t>
      </w:r>
      <w:r>
        <w:t xml:space="preserve"> </w:t>
      </w:r>
      <w:r>
        <w:t xml:space="preserve">to. The back of that sheet is blank, so it can be taken out and cut along</w:t>
      </w:r>
      <w:r>
        <w:t xml:space="preserve"> </w:t>
      </w:r>
      <w:r>
        <w:t xml:space="preserve">the dashed line without losing anything else.</w:t>
      </w:r>
    </w:p>
    <w:p>
      <w:pPr>
        <w:pStyle w:val="CaptionedFigure"/>
      </w:pPr>
      <w:r>
        <w:drawing>
          <wp:inline>
            <wp:extent cx="5334000" cy="8770937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Start w:id="68" w:name="Xeda5c1a04f610f08783f393c914971c996e3d7b"/>
    <w:p>
      <w:pPr>
        <w:pStyle w:val="Heading2"/>
      </w:pPr>
      <w:r>
        <w:t xml:space="preserve">Pages to Cut Out and Add to the Liturgy Book</w:t>
      </w:r>
    </w:p>
    <w:p>
      <w:pPr>
        <w:pStyle w:val="FirstParagraph"/>
      </w:pPr>
      <w:r>
        <w:rPr>
          <w:i/>
          <w:iCs/>
        </w:rPr>
        <w:t xml:space="preserve">Appendix E</w:t>
      </w:r>
    </w:p>
    <w:p>
      <w:pPr>
        <w:pStyle w:val="BodyText"/>
      </w:pPr>
      <w:r>
        <w:t xml:space="preserve">Where a hierarchical liturgy departs from the ordinary one, the difference</w:t>
      </w:r>
      <w:r>
        <w:t xml:space="preserve"> </w:t>
      </w:r>
      <w:r>
        <w:t xml:space="preserve">is easier to keep in the book than in the head. The pages below are set to</w:t>
      </w:r>
      <w:r>
        <w:t xml:space="preserve"> </w:t>
      </w:r>
      <w:r>
        <w:t xml:space="preserve">the size and type of the service book itself, so a printed one can take the</w:t>
      </w:r>
      <w:r>
        <w:t xml:space="preserve"> </w:t>
      </w:r>
      <w:r>
        <w:t xml:space="preserve">place of the handwritten note most of us end up making.</w:t>
      </w:r>
    </w:p>
    <w:p>
      <w:pPr>
        <w:pStyle w:val="BodyText"/>
      </w:pPr>
      <w:r>
        <w:t xml:space="preserve">Print at</w:t>
      </w:r>
      <w:r>
        <w:t xml:space="preserve"> </w:t>
      </w:r>
      <w:r>
        <w:rPr>
          <w:b/>
          <w:bCs/>
        </w:rPr>
        <w:t xml:space="preserve">100 percent</w:t>
      </w:r>
      <w:r>
        <w:t xml:space="preserve"> </w:t>
      </w:r>
      <w:r>
        <w:t xml:space="preserve">— not</w:t>
      </w:r>
      <w:r>
        <w:t xml:space="preserve"> </w:t>
      </w:r>
      <w:r>
        <w:t xml:space="preserve">“fit to page”</w:t>
      </w:r>
      <w:r>
        <w:t xml:space="preserve">, which shrinks it just enough</w:t>
      </w:r>
      <w:r>
        <w:t xml:space="preserve"> </w:t>
      </w:r>
      <w:r>
        <w:t xml:space="preserve">to be wrong — and cut on the dashed line. Each is a single sheet printed on</w:t>
      </w:r>
      <w:r>
        <w:t xml:space="preserve"> </w:t>
      </w:r>
      <w:r>
        <w:t xml:space="preserve">one side: fold it down the middle, and paste the blank side over the two</w:t>
      </w:r>
      <w:r>
        <w:t xml:space="preserve"> </w:t>
      </w:r>
      <w:r>
        <w:t xml:space="preserve">facing pages it replaces.</w:t>
      </w:r>
    </w:p>
    <w:p>
      <w:pPr>
        <w:pStyle w:val="BodyText"/>
      </w:pPr>
      <w:r>
        <w:rPr>
          <w:b/>
          <w:bCs/>
        </w:rPr>
        <w:t xml:space="preserve">Pages 136–137, at a hierarchical liturgy</w:t>
      </w:r>
      <w:r>
        <w:t xml:space="preserve"> </w:t>
      </w:r>
      <w:r>
        <w:t xml:space="preserve">— the great</w:t>
      </w:r>
      <w:r>
        <w:t xml:space="preserve"> </w:t>
      </w:r>
      <w:r>
        <w:t xml:space="preserve">commemoration, from the offering through</w:t>
      </w:r>
      <w:r>
        <w:t xml:space="preserve"> </w:t>
      </w:r>
      <w:r>
        <w:rPr>
          <w:i/>
          <w:iCs/>
        </w:rPr>
        <w:t xml:space="preserve">Is Polla Eti Despota</w:t>
      </w:r>
      <w:r>
        <w:t xml:space="preserve">. It is</w:t>
      </w:r>
      <w:r>
        <w:t xml:space="preserve"> </w:t>
      </w:r>
      <w:r>
        <w:t xml:space="preserve">overleaf, at the size it should be cut to.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136-137 for a hierarchical liturgy" title="card 7.25x5.875" id="63" name="Picture"/>
            <a:graphic>
              <a:graphicData uri="http://schemas.openxmlformats.org/drawingml/2006/picture">
                <pic:pic>
                  <pic:nvPicPr>
                    <pic:cNvPr descr="../art/insert_136_137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136-137 for a hierarchical liturgy</w:t>
      </w:r>
    </w:p>
    <w:p>
      <w:pPr>
        <w:pStyle w:val="BodyText"/>
      </w:pPr>
      <w:r>
        <w:rPr>
          <w:b/>
          <w:bCs/>
        </w:rPr>
        <w:t xml:space="preserve">The hierarch’s greeting, for page 65.</w:t>
      </w:r>
      <w:r>
        <w:t xml:space="preserve"> </w:t>
      </w:r>
      <w:r>
        <w:rPr>
          <w:i/>
          <w:iCs/>
        </w:rPr>
        <w:t xml:space="preserve">Ton Despótēn</w:t>
      </w:r>
      <w:r>
        <w:t xml:space="preserve"> </w:t>
      </w:r>
      <w:r>
        <w:t xml:space="preserve">is answered so</w:t>
      </w:r>
      <w:r>
        <w:t xml:space="preserve"> </w:t>
      </w:r>
      <w:r>
        <w:t xml:space="preserve">often, and mispronounced so easily, that it is worth having in front of</w:t>
      </w:r>
      <w:r>
        <w:t xml:space="preserve"> </w:t>
      </w:r>
      <w:r>
        <w:t xml:space="preserve">you rather than in memory. This one is a strip rather than a page</w:t>
      </w:r>
      <w:r>
        <w:t xml:space="preserve"> </w:t>
      </w:r>
      <w:r>
        <w:t xml:space="preserve">— and goes in the blank space at the foot of page 65.</w:t>
      </w:r>
    </w:p>
    <w:p>
      <w:pPr>
        <w:pStyle w:val="BodyText"/>
      </w:pPr>
      <w:r>
        <w:t xml:space="preserve">It is overleaf, at the size it should be cut to.</w:t>
      </w:r>
    </w:p>
    <w:p>
      <w:pPr>
        <w:pStyle w:val="CaptionedFigure"/>
      </w:pPr>
      <w:r>
        <w:drawing>
          <wp:inline>
            <wp:extent cx="5334000" cy="1839310"/>
            <wp:effectExtent b="0" l="0" r="0" t="0"/>
            <wp:docPr descr="The hierarch’s greeting, with its pronunciation" title="card 3.625x1.25" id="66" name="Picture"/>
            <a:graphic>
              <a:graphicData uri="http://schemas.openxmlformats.org/drawingml/2006/picture">
                <pic:pic>
                  <pic:nvPicPr>
                    <pic:cNvPr descr="../art/label_is_polla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hierarch’s greeting, with its pronunciation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2026-08-28T14:38:57Z</dcterms:created>
  <dcterms:modified xsi:type="dcterms:W3CDTF">2026-08-28T14:38:57Z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