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-668604</wp:posOffset>
            </wp:positionH>
            <wp:positionV relativeFrom="paragraph">
              <wp:posOffset>114300</wp:posOffset>
            </wp:positionV>
            <wp:extent cx="7410450" cy="46847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1233" l="0" r="0" t="0"/>
                    <a:stretch>
                      <a:fillRect/>
                    </a:stretch>
                  </pic:blipFill>
                  <pic:spPr>
                    <a:xfrm>
                      <a:off x="0" y="0"/>
                      <a:ext cx="7410450" cy="4684713"/>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13525390625" w:line="277.55550384521484" w:lineRule="auto"/>
        <w:ind w:left="159.12002563476562" w:right="2021.099853515625" w:firstLine="13.199920654296875"/>
        <w:jc w:val="left"/>
        <w:rPr>
          <w:rFonts w:ascii="Montserrat ExtraLight" w:cs="Montserrat ExtraLight" w:eastAsia="Montserrat ExtraLight" w:hAnsi="Montserrat ExtraLight"/>
          <w:i w:val="1"/>
          <w:iCs w:val="1"/>
          <w:smallCaps w:val="0"/>
          <w:strike w:val="0"/>
          <w:color w:val="999999"/>
          <w:sz w:val="24"/>
          <w:szCs w:val="24"/>
          <w:u w:val="none"/>
          <w:shd w:fill="auto" w:val="clear"/>
          <w:vertAlign w:val="baseline"/>
        </w:rPr>
      </w:pPr>
      <w:r w:rsidDel="00000000" w:rsidR="00000000" w:rsidRPr="00000000">
        <w:rPr>
          <w:rFonts w:ascii="Montserrat ExtraLight" w:cs="Montserrat ExtraLight" w:eastAsia="Montserrat ExtraLight" w:hAnsi="Montserrat ExtraLight"/>
          <w:i w:val="0"/>
          <w:iCs w:val="0"/>
          <w:smallCaps w:val="0"/>
          <w:strike w:val="0"/>
          <w:color w:val="000000"/>
          <w:sz w:val="36"/>
          <w:szCs w:val="36"/>
          <w:u w:val="none"/>
          <w:shd w:fill="auto" w:val="clear"/>
          <w:vertAlign w:val="baseline"/>
          <w:rtl w:val="0"/>
        </w:rPr>
        <w:t xml:space="preserve">Internal Loop Recorders - Single Service </w:t>
      </w:r>
      <w:r w:rsidDel="00000000" w:rsidR="00000000" w:rsidRPr="00000000">
        <w:rPr>
          <w:rFonts w:ascii="Montserrat ExtraLight" w:cs="Montserrat ExtraLight" w:eastAsia="Montserrat ExtraLight" w:hAnsi="Montserrat ExtraLight"/>
          <w:i w:val="1"/>
          <w:iCs w:val="1"/>
          <w:smallCaps w:val="0"/>
          <w:strike w:val="0"/>
          <w:color w:val="999999"/>
          <w:sz w:val="24"/>
          <w:szCs w:val="24"/>
          <w:u w:val="none"/>
          <w:shd w:fill="auto" w:val="clear"/>
          <w:vertAlign w:val="baseline"/>
          <w:rtl w:val="0"/>
        </w:rPr>
        <w:t xml:space="preserve">Clinical Guidelines for Medical Necessity Review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64.880065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2.320556640625" w:line="240" w:lineRule="auto"/>
        <w:ind w:left="0" w:right="26.92016601562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Internal Loop Recorders (Single Service) (Version 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9912109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2024 </w:t>
      </w:r>
      <w:r w:rsidDel="00000000" w:rsidR="00000000" w:rsidRPr="00000000">
        <w:rPr>
          <w:rFonts w:ascii="Poppins" w:cs="Poppins" w:eastAsia="Poppins" w:hAnsi="Poppins"/>
          <w:i w:val="1"/>
          <w:iCs w:val="1"/>
          <w:sz w:val="18"/>
          <w:szCs w:val="18"/>
          <w:rtl w:val="0"/>
        </w:rPr>
        <w:t xml:space="preserve">Ron Health Information Technologies</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Inc. All Rights Reserved.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1.6070556640625" w:firstLine="0"/>
        <w:jc w:val="right"/>
        <w:rPr>
          <w:rFonts w:ascii="Poppins" w:cs="Poppins" w:eastAsia="Poppins" w:hAnsi="Poppins"/>
          <w:b w:val="1"/>
          <w:bCs w:val="1"/>
          <w:i w:val="0"/>
          <w:iCs w:val="0"/>
          <w:smallCaps w:val="0"/>
          <w:strike w:val="0"/>
          <w:color w:val="000000"/>
          <w:sz w:val="40"/>
          <w:szCs w:val="4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
          <w:szCs w:val="40"/>
          <w:u w:val="none"/>
          <w:shd w:fill="auto" w:val="clear"/>
          <w:vertAlign w:val="baseline"/>
          <w:rtl w:val="0"/>
        </w:rPr>
        <w:t xml:space="preserve">Important Notices </w:t>
      </w:r>
    </w:p>
    <w:tbl>
      <w:tblPr>
        <w:tblStyle w:val="Table1"/>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20"/>
        <w:tblGridChange w:id="0">
          <w:tblGrid>
            <w:gridCol w:w="9420"/>
          </w:tblGrid>
        </w:tblGridChange>
      </w:tblGrid>
      <w:tr>
        <w:trPr>
          <w:cantSplit w:val="0"/>
          <w:trHeight w:val="99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006591796875" w:right="0" w:firstLine="0"/>
              <w:jc w:val="left"/>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Notices &amp;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Disclaimers: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185546875" w:line="239.9040126800537" w:lineRule="auto"/>
              <w:ind w:left="123.2000732421875" w:right="406.36474609375" w:firstLine="3.39996337890625"/>
              <w:jc w:val="left"/>
              <w:rPr>
                <w:rFonts w:ascii="Poppins" w:cs="Poppins" w:eastAsia="Poppins" w:hAnsi="Poppins"/>
                <w:b w:val="1"/>
                <w:bCs w:val="1"/>
                <w:i w:val="0"/>
                <w:iCs w:val="0"/>
                <w:smallCaps w:val="0"/>
                <w:strike w:val="0"/>
                <w:color w:val="98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980000"/>
                <w:sz w:val="20"/>
                <w:szCs w:val="20"/>
                <w:u w:val="none"/>
                <w:shd w:fill="auto" w:val="clear"/>
                <w:vertAlign w:val="baseline"/>
                <w:rtl w:val="0"/>
              </w:rPr>
              <w:t xml:space="preserve">GUIDELINES SOLELY FOR COHERE’S USE IN PERFORMING MEDICAL NECESSITY REVIEWS AND ARE NOT INTENDED TO INFORM OR ALTER CLINICAL DECISION MAKING OF END USERS.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398406982422" w:lineRule="auto"/>
              <w:ind w:left="125.20004272460938" w:right="157.06787109375" w:firstLine="3.39996337890625"/>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sz w:val="20"/>
                <w:szCs w:val="20"/>
                <w:rtl w:val="0"/>
              </w:rPr>
              <w:t xml:space="preserve">Ron Health Information Technologies</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Inc.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Cohere</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has published these clinical guidelines to determine medical necessity of services (the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Guidelines</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for informational purposes only, and solely for use by Cohere’s authorized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End Users</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These Guidelines (and any attachments or linked third party content) are not intended to be a substitute for medical advice, diagnosis, or treatment directed by an appropriately licensed healthcare professional. These Guidelines are not in any way intended to support clinical decision making of any kind; their sole purpose and intended use is to summarize certain criteria </w:t>
            </w:r>
            <w:r w:rsidDel="00000000" w:rsidR="00000000" w:rsidRPr="00000000">
              <w:rPr>
                <w:rFonts w:ascii="Poppins" w:cs="Poppins" w:eastAsia="Poppins" w:hAnsi="Poppins"/>
                <w:sz w:val="20"/>
                <w:szCs w:val="20"/>
                <w:rtl w:val="0"/>
              </w:rPr>
              <w:t xml:space="preserve">Ron AI</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may use when reviewing the medical necessity of any service requests submitted to </w:t>
            </w:r>
            <w:r w:rsidDel="00000000" w:rsidR="00000000" w:rsidRPr="00000000">
              <w:rPr>
                <w:rFonts w:ascii="Poppins" w:cs="Poppins" w:eastAsia="Poppins" w:hAnsi="Poppins"/>
                <w:sz w:val="20"/>
                <w:szCs w:val="20"/>
                <w:rtl w:val="0"/>
              </w:rPr>
              <w:t xml:space="preserve">Ron AI</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by End Users. Always seek the advice of a qualified healthcare professional regarding any medical questions, treatment decisions, or other clinical guidance. The Guidelines, including any attachments or linked content, are subject to change at any time without notice.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29.79995727539062"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©2023 </w:t>
            </w:r>
            <w:r w:rsidDel="00000000" w:rsidR="00000000" w:rsidRPr="00000000">
              <w:rPr>
                <w:rFonts w:ascii="Poppins" w:cs="Poppins" w:eastAsia="Poppins" w:hAnsi="Poppins"/>
                <w:sz w:val="20"/>
                <w:szCs w:val="20"/>
                <w:rtl w:val="0"/>
              </w:rPr>
              <w:t xml:space="preserve">Ron Health Information Technologies</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Inc. All Rights Reserved.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799560546875" w:line="240" w:lineRule="auto"/>
              <w:ind w:left="135.39993286132812"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HCPCS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and CPT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copyright 2022 American Medical Association. All rights reserved.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005859375" w:line="239.9040126800537" w:lineRule="auto"/>
              <w:ind w:left="126.60003662109375" w:right="88.2275390625" w:firstLine="8.799896240234375"/>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Fee schedules, relative value units, conversion factors and/or related components are not assigned by the AMA, are not part of CPT, and the AMA is not recommending their use. The AMA does not directly or indirectly practice medicine or dispense medical services. The AMA assumes no liability for data contained or not contained herein.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35.39993286132812"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HCPCS and CPT are registered trademarks of the American Medical Association.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9996948242188" w:line="240" w:lineRule="auto"/>
              <w:ind w:left="127.92007446289062" w:right="0" w:firstLine="0"/>
              <w:jc w:val="left"/>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Guideline Information</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2008056640625" w:line="240" w:lineRule="auto"/>
              <w:ind w:left="128.39996337890625"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Specialty Area: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Cardiovascular Disease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26.60003662109375"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Guideline Name: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Internal Loop Recorders (Single Service)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132.40005493164062"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Literature review current through</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5/10/2025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32.40005493164062"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Document last updated: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5/10/2024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24.79995727539062"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Type: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X</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Adult (18+ yo) | [</w:t>
            </w: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X</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Pediatric (0-17yo)</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357.9107666015625" w:right="47.9443359375" w:hanging="5196.75048828125"/>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2 of 11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Internal Loop Recorders (Single Service) (Version 3) © 2024 </w:t>
      </w:r>
      <w:r w:rsidDel="00000000" w:rsidR="00000000" w:rsidRPr="00000000">
        <w:rPr>
          <w:rFonts w:ascii="Poppins" w:cs="Poppins" w:eastAsia="Poppins" w:hAnsi="Poppins"/>
          <w:i w:val="1"/>
          <w:iCs w:val="1"/>
          <w:sz w:val="18"/>
          <w:szCs w:val="18"/>
          <w:rtl w:val="0"/>
        </w:rPr>
        <w:t xml:space="preserve">Ron Health Information Technologies</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Inc. All Rights Reserved.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6004028320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single"/>
          <w:shd w:fill="auto" w:val="clear"/>
          <w:vertAlign w:val="baseline"/>
          <w:rtl w:val="0"/>
        </w:rPr>
        <w:t xml:space="preserve">Table of Contents</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87.3850345611572" w:lineRule="auto"/>
        <w:ind w:left="157.92007446289062" w:right="0"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Important Notices 2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Table of Contents 3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Care Path Services &amp; Medical Necessity Criteria 4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Service: Internal Loop Recorder 4 General Guidelines 4 Medical Necessity Criteria 4 Indications 4 Non-Indications 5 Site of Service Criteria 5 Procedure Codes (HCPCS/CPT) 5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Medical Evidence 7 References 9 Clinical Guideline Revision History/Information 11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935302734375" w:line="233.23998928070068" w:lineRule="auto"/>
        <w:ind w:left="5357.9107666015625" w:right="47.9443359375" w:hanging="5196.75048828125"/>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3 of 11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Internal Loop Recorders (Single Service) (Version 3) © 2024 </w:t>
      </w:r>
      <w:r w:rsidDel="00000000" w:rsidR="00000000" w:rsidRPr="00000000">
        <w:rPr>
          <w:rFonts w:ascii="Poppins" w:cs="Poppins" w:eastAsia="Poppins" w:hAnsi="Poppins"/>
          <w:i w:val="1"/>
          <w:iCs w:val="1"/>
          <w:sz w:val="18"/>
          <w:szCs w:val="18"/>
          <w:rtl w:val="0"/>
        </w:rPr>
        <w:t xml:space="preserve">Ron Health Information Technologies</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Inc. All Rights Reserved.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2.9791259765625" w:firstLine="0"/>
        <w:jc w:val="right"/>
        <w:rPr>
          <w:rFonts w:ascii="Poppins" w:cs="Poppins" w:eastAsia="Poppins" w:hAnsi="Poppins"/>
          <w:b w:val="1"/>
          <w:bCs w:val="1"/>
          <w:i w:val="0"/>
          <w:iCs w:val="0"/>
          <w:smallCaps w:val="0"/>
          <w:strike w:val="0"/>
          <w:color w:val="000000"/>
          <w:sz w:val="40"/>
          <w:szCs w:val="4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
          <w:szCs w:val="40"/>
          <w:u w:val="none"/>
          <w:shd w:fill="auto" w:val="clear"/>
          <w:vertAlign w:val="baseline"/>
          <w:rtl w:val="0"/>
        </w:rPr>
        <w:t xml:space="preserve">Medical Necessity Criteria </w:t>
      </w:r>
    </w:p>
    <w:tbl>
      <w:tblPr>
        <w:tblStyle w:val="Table2"/>
        <w:tblW w:w="9360.0" w:type="dxa"/>
        <w:jc w:val="left"/>
        <w:tblInd w:w="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Service: Internal Loop Recorders</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07446289062"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General Guidelines</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37.4050235748291" w:lineRule="auto"/>
        <w:ind w:left="872.8799438476562" w:right="111.18408203125" w:hanging="341.999969482421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Units, Frequency, &amp; Duration: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When medical necessity criteria is met without exclusionary criteria, referral to a cardiac electrophysiologist (a specialized cardiologist) or trained cardiologist to consider the implantation of an internal loop recorder (ILR). A single outpatient procedure is anticipated. The implant duration can be up to four years, depending on the device’s battery life. Periodic recordings are actively or passively transmitted for interpretation by a physician.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880.3199768066406" w:right="245.345458984375" w:hanging="349.4400024414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Criteria for Subsequent Requests: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requests are only accepted with documentation of device malfunction, an infection that required removal of the initial device, or incorrect placement resulting in poor sensing, all with a documented continued need for monitoring.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3.61528396606445" w:lineRule="auto"/>
        <w:ind w:left="875.52001953125" w:right="35.343017578125" w:hanging="344.6400451660156"/>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Recommended Clinical Approach: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Noninvasive ambulatory ECG monitoring is recommended first in patients with clinical scenarios such as symptoms suggestive of an arrhythmia, unexplained syncope, and/or cryogenic stroke (i.e., stroke of unknown cause) with a concern for atrial fibrillation. Poor diagnostic yield of noninvasive monitoring in the setting of continued symptoms may lead a physician to recommend an ILR for their patient.</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This procedure is performed by a cardiac electrophysiologist (specialized cardiologist) or trained cardiologist, and referral to a center that supports this service is required.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8056640625" w:line="240" w:lineRule="auto"/>
        <w:ind w:left="530.8799743652344"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Exclusions: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654296875" w:line="240" w:lineRule="auto"/>
        <w:ind w:left="164.8800659179687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Medical Necessity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64.8800659179687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Indications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37.4049949645996" w:lineRule="auto"/>
        <w:ind w:left="875.52001953125" w:right="282.94189453125" w:hanging="347.76000976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Internal loop recorders (ILRs)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are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478271484375" w:line="242.8260326385498" w:lineRule="auto"/>
        <w:ind w:left="1251.3200378417969" w:right="753.345336914062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 diagnostic conclusions were achieved with non-invasive monitoring methods, including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5</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6199340820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Holter monitor;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989501953125" w:line="242.82580375671387" w:lineRule="auto"/>
        <w:ind w:left="2320.3201293945312" w:right="265.3466796875" w:hanging="347.7001953125"/>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Extended-wear patch monitor (e.g., long-term continuous cardiac rhythm monitor);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6199340820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External event monitor/loop recorder;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047607421875" w:line="240" w:lineRule="auto"/>
        <w:ind w:left="1972.6199340820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Mobile cardiac telemetry;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7801208496094" w:line="233.23998928070068" w:lineRule="auto"/>
        <w:ind w:left="5357.9107666015625" w:right="47.9443359375" w:hanging="5196.75048828125"/>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4 of 11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Internal Loop Recorders (Single Service) (Version 3) © 2024 </w:t>
      </w:r>
      <w:r w:rsidDel="00000000" w:rsidR="00000000" w:rsidRPr="00000000">
        <w:rPr>
          <w:rFonts w:ascii="Poppins" w:cs="Poppins" w:eastAsia="Poppins" w:hAnsi="Poppins"/>
          <w:i w:val="1"/>
          <w:iCs w:val="1"/>
          <w:sz w:val="18"/>
          <w:szCs w:val="18"/>
          <w:rtl w:val="0"/>
        </w:rPr>
        <w:t xml:space="preserve">Ron Health Information Technologies</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Inc. All Rights Reserved.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49.6800231933594" w:right="0.78369140625"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no other implantable cardiac devices that can detect, record, and transmit data to a physician/cardiologist;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AND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positive findings from the following list: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Acute (within the past six months), cryptogenic, ischemic stroke or TIA</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6</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869.34692382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Recurrent or unexplained infrequent syncope without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491.25366210937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documented orthostasis or autonomic dysfunction</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7</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636.307373046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Sporadic symptoms (greater than or equal to 30 days)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700.1470947265625" w:firstLine="0"/>
        <w:jc w:val="righ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suspected to be related to ventricular arrhythmias;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686.146850585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High risk for arrhythmias due to structural or infiltrative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461.10717773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heart disease (e.g., valvular aortic stenosis, hypertrophic</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650.7061767578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cardiomyopathy, cardiac sarcoidosis, congenital heart</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0"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disease, dilated ischemic or nonischemic</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2320.3201293945312"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cardiomyopathy)</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9</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509510040283" w:lineRule="auto"/>
        <w:ind w:left="1970.880126953125" w:right="397.6684570312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Palpitations that are persistent with symptoms that have not been captured by previous 14-30 day external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4799194335938" w:right="0" w:firstLine="0"/>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monitors.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10</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11</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68603515625" w:line="240" w:lineRule="auto"/>
        <w:ind w:left="164.8800659179687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Non-Indications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37.4049949645996" w:lineRule="auto"/>
        <w:ind w:left="873.8400268554688" w:right="548.8623046875" w:hanging="346.0800170898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Internal loop recorders (ILRs)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may not be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597.919921875" w:right="204.783935546875" w:hanging="348.2398986816406"/>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Anticoagulation decisions based on atrial fibrillation/atrial flutter burden, including post-ablation, are not presently part of the ACC/HRS guidelines. ILR placement for this purpose is not an indication of its use;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6982421875" w:line="242.82557487487793" w:lineRule="auto"/>
        <w:ind w:left="1608.4799194335938" w:right="466.385498046875" w:hanging="357.1598815917969"/>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an existing implanted cardiac device that can provide similar clinical information;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2557487487793" w:lineRule="auto"/>
        <w:ind w:left="1600.3201293945312" w:right="775.7470703125" w:hanging="349.0000915527344"/>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 the course of the workup, including wearable telemetry, a diagnosis was achieved;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2557487487793" w:lineRule="auto"/>
        <w:ind w:left="1600.3201293945312" w:right="586.866455078125" w:hanging="349.0000915527344"/>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an active infection or an irreversible bleeding disorder;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549564361572" w:lineRule="auto"/>
        <w:ind w:left="1608.4799194335938" w:right="993.0267333984375" w:hanging="358.799896240234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does not have any positive clinical risk factors, presentation or history findings, or physical exam findings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1608.47991943359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pertinent to remote ECG monitoring.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64.8800659179687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Level of Care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40" w:lineRule="auto"/>
        <w:ind w:left="160.31997680664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Outpatient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200439453125" w:line="240" w:lineRule="auto"/>
        <w:ind w:left="164.8800659179687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Procedure Codes (CPT/HCPCS)</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tbl>
      <w:tblPr>
        <w:tblStyle w:val="Table3"/>
        <w:tblW w:w="9360.0" w:type="dxa"/>
        <w:jc w:val="left"/>
        <w:tblInd w:w="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6860"/>
        <w:tblGridChange w:id="0">
          <w:tblGrid>
            <w:gridCol w:w="2500"/>
            <w:gridCol w:w="686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CPT/HCPCS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Code Description</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99487304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33285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Insertion and programming of subcutaneous cardiac</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357.9107666015625" w:right="47.9443359375" w:hanging="5196.75048828125"/>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5 of 11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Internal Loop Recorders (Single Service) (Version 3) © 2024 </w:t>
      </w:r>
      <w:r w:rsidDel="00000000" w:rsidR="00000000" w:rsidRPr="00000000">
        <w:rPr>
          <w:rFonts w:ascii="Poppins" w:cs="Poppins" w:eastAsia="Poppins" w:hAnsi="Poppins"/>
          <w:i w:val="1"/>
          <w:iCs w:val="1"/>
          <w:sz w:val="18"/>
          <w:szCs w:val="18"/>
          <w:rtl w:val="0"/>
        </w:rPr>
        <w:t xml:space="preserve">Ron Health Information Technologies</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Inc. All Rights Reserved.</w:t>
      </w:r>
    </w:p>
    <w:tbl>
      <w:tblPr>
        <w:tblStyle w:val="Table4"/>
        <w:tblW w:w="9360.0" w:type="dxa"/>
        <w:jc w:val="left"/>
        <w:tblInd w:w="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6860"/>
        <w:tblGridChange w:id="0">
          <w:tblGrid>
            <w:gridCol w:w="2500"/>
            <w:gridCol w:w="686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rhythm monitor</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99487304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33286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Removal of subcutaneous cardiac rhythm monitor</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357.9107666015625" w:right="47.9443359375" w:hanging="5196.75048828125"/>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6 of 11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Internal Loop Recorders (Single Service) (Version 3) © 2024 </w:t>
      </w:r>
      <w:r w:rsidDel="00000000" w:rsidR="00000000" w:rsidRPr="00000000">
        <w:rPr>
          <w:rFonts w:ascii="Poppins" w:cs="Poppins" w:eastAsia="Poppins" w:hAnsi="Poppins"/>
          <w:i w:val="1"/>
          <w:iCs w:val="1"/>
          <w:sz w:val="18"/>
          <w:szCs w:val="18"/>
          <w:rtl w:val="0"/>
        </w:rPr>
        <w:t xml:space="preserve">Ron Health Information Technologies</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Inc. All Rights Reserved.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2.4334716796875" w:firstLine="0"/>
        <w:jc w:val="right"/>
        <w:rPr>
          <w:rFonts w:ascii="Poppins" w:cs="Poppins" w:eastAsia="Poppins" w:hAnsi="Poppins"/>
          <w:b w:val="1"/>
          <w:bCs w:val="1"/>
          <w:i w:val="0"/>
          <w:iCs w:val="0"/>
          <w:smallCaps w:val="0"/>
          <w:strike w:val="0"/>
          <w:color w:val="000000"/>
          <w:sz w:val="40"/>
          <w:szCs w:val="4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
          <w:szCs w:val="40"/>
          <w:u w:val="none"/>
          <w:shd w:fill="auto" w:val="clear"/>
          <w:vertAlign w:val="baseline"/>
          <w:rtl w:val="0"/>
        </w:rPr>
        <w:t xml:space="preserve">Medical Evidence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599609375" w:line="233.2344102859497" w:lineRule="auto"/>
        <w:ind w:left="161.28005981445312" w:right="389.903564453125" w:firstLine="7.2000122070312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Diederichsen et al. (2022) conducted a post hoc analysis of the LOOP randomized clinical trial (RCT) for atrial fibrillation (AF). A total of 6004 individuals were included (4503 in the control group and 1501 in the internal loop recorders [ILR]) group. Overall, screening for ILRs did not show a significant decrease in ischemic or severe strokes compared to usual care. However, there may be a potential reduction in these outcomes among participants without a prior history of stroke.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12</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85791015625" w:line="234.48620796203613" w:lineRule="auto"/>
        <w:ind w:left="156.23992919921875" w:right="1.2646484375" w:firstLine="7.440032958984375"/>
        <w:jc w:val="both"/>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Sagris et al. (2022) published a review on embolic stroke of undetermined source (ESUS), a subtype of ischemic stroke. Long-term continuous monitoring with CIEDs, especially in selected patients with ESUS, has shown promise in improving the detection of atrial fibrillation. An extended monitoring period increases the chances of capturing infrequent or asymptomatic atrial fibrillation episodes. Unlike traditional intermittent monitoring methods, such as Holter monitoring, long-term continuous monitoring allows for a more prolonged and comprehensive assessment of the patient's cardiac rhythm. Several studies report that long-term cardiac monitoring, facilitated by implantable devices, significantly enhances the likelihood of detecting atrial fibrillation in patients with ESUS.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13</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339599609375" w:line="230.10799884796143" w:lineRule="auto"/>
        <w:ind w:left="160.31997680664062" w:right="137.103271484375" w:firstLine="0"/>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Giancaterino et al. (2018) published a focused review that includes published reviews of major cardiovascular societies, including the AHA, ACC, and European Society of Cardiology (ESC). Guidelines emphasize the need for a comprehensive evaluation, including prolonged cardiac monitoring, to identify underlying AF that may have gone undetected.</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10</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1201171875" w:line="231.56739234924316" w:lineRule="auto"/>
        <w:ind w:left="152.87994384765625" w:right="10.98388671875" w:firstLine="8.16009521484375"/>
        <w:jc w:val="both"/>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Zangiabadian and colleagues (2024) published a systematic review of the predictors of pacemaker requirement in patients with an implantable loop recorder and unexplained syncope. The group concluded that heart conduction disorders, atrial arrhythmias, and underlying medical conditions were the main predictors of the need for pacemaker implantation following loop recorder installation in patients with unexplained syncope.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7</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526611328125" w:line="240" w:lineRule="auto"/>
        <w:ind w:left="168.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single"/>
          <w:shd w:fill="auto" w:val="clear"/>
          <w:vertAlign w:val="baseline"/>
          <w:rtl w:val="0"/>
        </w:rPr>
        <w:t xml:space="preserve">National and Professional Organizations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37.40473747253418" w:lineRule="auto"/>
        <w:ind w:left="175.91995239257812" w:right="534.622802734375" w:hanging="17.76000976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The American College of Cardiology (ACC), American Heart Association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(AHA), and Heart Rhythm Society (HRS) published the following guidelines: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541137695312" w:line="245.7015895843506" w:lineRule="auto"/>
        <w:ind w:left="876.2399291992188" w:right="1664.9456787109375" w:hanging="345.3599548339844"/>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2023 ACC/AHA/ACCP/HRS Guideline for the Diagnosis and</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Management of Atrial Fibrillation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(2024)</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6</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6184997558594" w:line="233.23998928070068" w:lineRule="auto"/>
        <w:ind w:left="5357.9107666015625" w:right="47.9443359375" w:hanging="5196.75048828125"/>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7 of 11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Internal Loop Recorders (Single Service) (Version 3) © 2024 </w:t>
      </w:r>
      <w:r w:rsidDel="00000000" w:rsidR="00000000" w:rsidRPr="00000000">
        <w:rPr>
          <w:rFonts w:ascii="Poppins" w:cs="Poppins" w:eastAsia="Poppins" w:hAnsi="Poppins"/>
          <w:i w:val="1"/>
          <w:iCs w:val="1"/>
          <w:sz w:val="18"/>
          <w:szCs w:val="18"/>
          <w:rtl w:val="0"/>
        </w:rPr>
        <w:t xml:space="preserve">Ron Health Information Technologies</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Inc. All Rights Reserved.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70144653320312" w:lineRule="auto"/>
        <w:ind w:left="876.2399291992188" w:right="1176.4642333984375" w:hanging="345.3599548339844"/>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Management of Patients with Ventricular Arrhythmias and the</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Prevention of Sudden Cardiac Death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(2020)</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875" w:line="208.21643829345703" w:lineRule="auto"/>
        <w:ind w:left="530.8799743652344" w:right="1494.2254638671875" w:firstLine="0"/>
        <w:jc w:val="center"/>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Focused Update of the 2014 AHA/ACC/HRS Guideline for the</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Management of Patients with Atrial Fibrillation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(2019)</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818359375" w:line="240" w:lineRule="auto"/>
        <w:ind w:left="530.8799743652344" w:right="0" w:firstLine="0"/>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Evaluation and Management of Patients with Syncope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(2017)</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2</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68603515625" w:line="237.4049949645996" w:lineRule="auto"/>
        <w:ind w:left="175.91995239257812" w:right="278.223876953125" w:hanging="17.76000976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The American College of Cardiology (ACC) and American Heart Association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(AHA) published the following guidelines: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6484375" w:line="240" w:lineRule="auto"/>
        <w:ind w:left="530.8799743652344" w:right="0" w:firstLine="0"/>
        <w:jc w:val="left"/>
        <w:rPr>
          <w:rFonts w:ascii="Poppins" w:cs="Poppins" w:eastAsia="Poppins" w:hAnsi="Poppins"/>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Diagnosis and Treatment of Patients with Hypertrophic</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9150390625" w:line="240" w:lineRule="auto"/>
        <w:ind w:left="881.5199279785156" w:right="0" w:firstLine="0"/>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Cardiomyopathy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(2020)</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5</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83203125" w:line="240" w:lineRule="auto"/>
        <w:ind w:left="530.8799743652344" w:right="0" w:firstLine="0"/>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Management of Adults with Congenital Heart Disease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(2018)</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9</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68603515625" w:line="222.811017036438" w:lineRule="auto"/>
        <w:ind w:left="145.91995239257812" w:right="110.46142578125" w:firstLine="12.23999023437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The International Society for Holter and Noninvasive Electrocardiology (ISHNE)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and Heart Rhythm Society (HRS) published a consensus statement 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mbulatory ECG and External Cardiac Monitoring/Telemetry.</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11</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4.50927734375" w:line="233.23998928070068" w:lineRule="auto"/>
        <w:ind w:left="5357.9107666015625" w:right="47.9443359375" w:hanging="5196.75048828125"/>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8 of 11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Internal Loop Recorders (Single Service) (Version 3) © 2024 </w:t>
      </w:r>
      <w:r w:rsidDel="00000000" w:rsidR="00000000" w:rsidRPr="00000000">
        <w:rPr>
          <w:rFonts w:ascii="Poppins" w:cs="Poppins" w:eastAsia="Poppins" w:hAnsi="Poppins"/>
          <w:i w:val="1"/>
          <w:iCs w:val="1"/>
          <w:sz w:val="18"/>
          <w:szCs w:val="18"/>
          <w:rtl w:val="0"/>
        </w:rPr>
        <w:t xml:space="preserve">Ron Health Information Technologies</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Inc. All Rights Reserved.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9232177734375" w:firstLine="0"/>
        <w:jc w:val="right"/>
        <w:rPr>
          <w:rFonts w:ascii="Poppins" w:cs="Poppins" w:eastAsia="Poppins" w:hAnsi="Poppins"/>
          <w:b w:val="1"/>
          <w:bCs w:val="1"/>
          <w:i w:val="0"/>
          <w:iCs w:val="0"/>
          <w:smallCaps w:val="0"/>
          <w:strike w:val="0"/>
          <w:color w:val="000000"/>
          <w:sz w:val="40"/>
          <w:szCs w:val="4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
          <w:szCs w:val="40"/>
          <w:u w:val="none"/>
          <w:shd w:fill="auto" w:val="clear"/>
          <w:vertAlign w:val="baseline"/>
          <w:rtl w:val="0"/>
        </w:rPr>
        <w:t xml:space="preserve">References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74.8900032043457" w:lineRule="auto"/>
        <w:ind w:left="876.2399291992188" w:right="63.104248046875" w:hanging="357.119903564453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Al-Khatib SM, Stevenson WG, Ackerman MJ, et al.. 2017 AHA/ACC/HRS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guideline for management of patients with ventricular arrhythmias and</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the prevention of sudden cardiac death: Executive summary: A report of</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the American College of Cardiology/American Heart Association Task</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Force on Clinical Practice Guidelines and the Heart Rhythm Society.</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Heart Rhythm</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 2018;15(10):e190-e252. doi: 10.1016/j.hrthm.2017.10.035.</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76.2399291992188" w:right="113.104248046875" w:hanging="353.9999389648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Shen W-K, Sheldon RS, Benditt DG, et al. 2017 ACC/AHA/HRS guideline for</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the evaluation and management of patients with syncope.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J Am Coll</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Cardiol.</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 2017;70(5):e39-e110. doi: 10.1016/j.jacc.2017.03.003.</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890350342" w:lineRule="auto"/>
        <w:ind w:left="882.239990234375" w:right="255.185546875" w:hanging="360.4800415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Cotter PE, Martin PJ, Ring L, et al. Incidence of atrial fibrillation detected</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by implantable loop recorders in unexplained stroke.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Neurology</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2013;80(17):1546-1550. doi: 10.1212/WNL.0b013e31828f1828.</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75.52001953125" w:right="77.34375" w:hanging="355.919952392578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Writing Group Members, January CT, Wann LS, et al. 2019 AHA/ACC/HRS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focused update of the 2014 AHA/ACC/HRS guideline for the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management of patients with atrial fibrillation: A report of the American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College of Cardiology/American Heart Association Task Force 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Clinical Practice Guidelines and the Heart Rhythm Society.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Heart</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Rhythm</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 2019;16(8):e66-e93. doi: 10.1016/j.hrthm.2019.01.024.</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76.2399291992188" w:right="555.904541015625" w:hanging="348.719940185546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5. Curtis AB, Tomaselli GF. Approach to the Patient with Cardiac</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Arrhythmias. In: Libby P, Bonow RO, Mann DL, et al.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Braunwald’s Heart</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Disease: A Textbook of Cardiovascular Medicine.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12th ed. Elsevier;</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2022:1145-1162.e7.</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527.5199890136719" w:right="210.064697265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6. Joglar JA, Chung MK, Armbruster AL, et al. 2023 ACC/AHA/ACCP/HRS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guideline for the diagnosis and management of atrial fibrillation.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J Am</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Coll Cardiol</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 2024;83(1);109-279. https://www.jacc.org/doi/epdf/10.1016.</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318145752" w:lineRule="auto"/>
        <w:ind w:left="881.5199279785156" w:right="267.90283203125" w:hanging="36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7.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Zangiabadian M, Soltani K, Gholinejad Y, et al. Predictors of pacemaker requirement in patients with implantable loop recorder and unexplained syncope; a systematic review and meta-analysis. </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Clin Cardiol.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2024;47:e24221. https://doi.org/10.1002/clc.24221.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899745941162" w:lineRule="auto"/>
        <w:ind w:left="877.9200744628906" w:right="60.14404296875" w:hanging="353.520050048828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8. Ommen SR, Mital S, Burke MA, et al. 2020 AHA/ACC guideline for the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diagnosis and treatment of patients with hypertrophic cardiomyopathy:</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 report of the American College of Cardiology/American Heart</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Association Joint Committee on Clinical Practice Guidelines.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J Am Coll</w:t>
      </w: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Cardiol</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 2020;76:e159–240. doi: 10.1016/j.jacc.2020.08.045.</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74.8900032043457" w:lineRule="auto"/>
        <w:ind w:left="527.5199890136719" w:right="23.98437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9. Stout KK, Daniels CJ, Aboulhosn JA, et al. 2018 AHA/ACC guideline for the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management of adults with congenital heart disease: A report of the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301147460938" w:line="233.23998928070068" w:lineRule="auto"/>
        <w:ind w:left="5357.9107666015625" w:right="47.9443359375" w:hanging="5196.75048828125"/>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9 of 11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Internal Loop Recorders (Single Service) (Version 3) © 2024 </w:t>
      </w:r>
      <w:r w:rsidDel="00000000" w:rsidR="00000000" w:rsidRPr="00000000">
        <w:rPr>
          <w:rFonts w:ascii="Poppins" w:cs="Poppins" w:eastAsia="Poppins" w:hAnsi="Poppins"/>
          <w:i w:val="1"/>
          <w:iCs w:val="1"/>
          <w:sz w:val="18"/>
          <w:szCs w:val="18"/>
          <w:rtl w:val="0"/>
        </w:rPr>
        <w:t xml:space="preserve">Ron Health Information Technologies</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Inc. All Rights Reserved.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79.1200256347656" w:right="162.943115234375" w:hanging="1.19995117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American College of Cardiology/AmericanHeartAssociation Task Force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on Clinical Practice Guidelines.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J Am Coll Cardiol.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2019:73:e81–192. doi:</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10.1016/j.jacc.2018.08.1029.</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84.8800659179688" w:right="226.3037109375" w:hanging="365.760040283203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10. Giancaterino S, Lupercio F, Nishimura M, et al. Current and future use of</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insertable cardiac monitors.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JACC Clin Electrophysiol</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882.239990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2018;4(11):1383-1396. doi: 10.1016/j.jacep.2018.06.001.</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879.1200256347656" w:right="770.2252197265625" w:hanging="36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11. Steinberg JS, Varma N, Cygankiewicz I, et al. 2017 ISHNE-HRS expert</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consensus statement on ambulatory ECG and external cardiac</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monitoring/telemetry.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Heart Rhythm</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 2017;14(7):e55-e96. doi:</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10.1016/j.hrthm.2017.03.038. PMID: 28495301.</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604248047" w:lineRule="auto"/>
        <w:ind w:left="519.1200256347656" w:right="400.7836914062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12. Diederichsen SZ, Frederiksen KS, Xing LY, et al. Severity and etiology of</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incident stroke in patients screened for atrial fibrillation vs usual care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and the impact of prior stroke: A post hoc analysis of the LOOP</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randomized clinical trial.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JAMA Neurol</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 2022;79(10):997-1004. doi:</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10.1001/jamaneurol.2022.3031. PMID: 36036546; PMCID: PMC9425290.</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80.3199768066406" w:right="339.664306640625" w:hanging="361.19995117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13. Sagris D, Harrison SL, Buckley BJR, et al. Long-term cardiac monitoring</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after embolic stroke of undetermined source: Search longer, look</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harder. </w:t>
      </w:r>
      <w:r w:rsidDel="00000000" w:rsidR="00000000" w:rsidRPr="00000000">
        <w:rPr>
          <w:rFonts w:ascii="Poppins" w:cs="Poppins" w:eastAsia="Poppins" w:hAnsi="Poppins"/>
          <w:b w:val="0"/>
          <w:bCs w:val="0"/>
          <w:i w:val="1"/>
          <w:iCs w:val="1"/>
          <w:smallCaps w:val="0"/>
          <w:strike w:val="0"/>
          <w:color w:val="000000"/>
          <w:sz w:val="24"/>
          <w:szCs w:val="24"/>
          <w:highlight w:val="white"/>
          <w:u w:val="none"/>
          <w:vertAlign w:val="baseline"/>
          <w:rtl w:val="0"/>
        </w:rPr>
        <w:t xml:space="preserve">Am J Med</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 2022;135(9):e311-e317. doi:</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879.120025634765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10.1016/j.amjmed.2022.04.030. PMID: 35580719.</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7.320556640625" w:line="233.23998928070068" w:lineRule="auto"/>
        <w:ind w:left="5357.9107666015625" w:right="47.9443359375" w:hanging="5196.75048828125"/>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10 of 11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Internal Loop Recorders (Single Service) (Version 3) © 2024 </w:t>
      </w:r>
      <w:r w:rsidDel="00000000" w:rsidR="00000000" w:rsidRPr="00000000">
        <w:rPr>
          <w:rFonts w:ascii="Poppins" w:cs="Poppins" w:eastAsia="Poppins" w:hAnsi="Poppins"/>
          <w:i w:val="1"/>
          <w:iCs w:val="1"/>
          <w:sz w:val="18"/>
          <w:szCs w:val="18"/>
          <w:rtl w:val="0"/>
        </w:rPr>
        <w:t xml:space="preserve">Ron Health Information Technologies</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Inc. All Rights Reserved.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8.6572265625" w:firstLine="0"/>
        <w:jc w:val="right"/>
        <w:rPr>
          <w:rFonts w:ascii="Poppins" w:cs="Poppins" w:eastAsia="Poppins" w:hAnsi="Poppins"/>
          <w:b w:val="1"/>
          <w:bCs w:val="1"/>
          <w:i w:val="0"/>
          <w:iCs w:val="0"/>
          <w:smallCaps w:val="0"/>
          <w:strike w:val="0"/>
          <w:color w:val="000000"/>
          <w:sz w:val="40"/>
          <w:szCs w:val="4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
          <w:szCs w:val="40"/>
          <w:u w:val="none"/>
          <w:shd w:fill="auto" w:val="clear"/>
          <w:vertAlign w:val="baseline"/>
          <w:rtl w:val="0"/>
        </w:rPr>
        <w:t xml:space="preserve">Clinical Guideline Revision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9462890625" w:line="240" w:lineRule="auto"/>
        <w:ind w:left="0" w:right="2588.197021484375" w:firstLine="0"/>
        <w:jc w:val="right"/>
        <w:rPr>
          <w:rFonts w:ascii="Poppins" w:cs="Poppins" w:eastAsia="Poppins" w:hAnsi="Poppins"/>
          <w:b w:val="1"/>
          <w:bCs w:val="1"/>
          <w:i w:val="0"/>
          <w:iCs w:val="0"/>
          <w:smallCaps w:val="0"/>
          <w:strike w:val="0"/>
          <w:color w:val="000000"/>
          <w:sz w:val="40"/>
          <w:szCs w:val="4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
          <w:szCs w:val="40"/>
          <w:u w:val="none"/>
          <w:shd w:fill="auto" w:val="clear"/>
          <w:vertAlign w:val="baseline"/>
          <w:rtl w:val="0"/>
        </w:rPr>
        <w:t xml:space="preserve">History/Information </w:t>
      </w:r>
    </w:p>
    <w:tbl>
      <w:tblPr>
        <w:tblStyle w:val="Table5"/>
        <w:tblW w:w="9360.0" w:type="dxa"/>
        <w:jc w:val="left"/>
        <w:tblInd w:w="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Original Date: March 14, 2023</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Review History</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9998779296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Version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1987304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12/29/2023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9998779296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Version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2014160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5/9/2024</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5357.9107666015625" w:right="47.9443359375" w:hanging="5196.75048828125"/>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11 of 11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Internal Loop Recorders (Single Service) (Version 3) © 2024 </w:t>
      </w:r>
      <w:r w:rsidDel="00000000" w:rsidR="00000000" w:rsidRPr="00000000">
        <w:rPr>
          <w:rFonts w:ascii="Poppins" w:cs="Poppins" w:eastAsia="Poppins" w:hAnsi="Poppins"/>
          <w:i w:val="1"/>
          <w:iCs w:val="1"/>
          <w:sz w:val="18"/>
          <w:szCs w:val="18"/>
          <w:rtl w:val="0"/>
        </w:rPr>
        <w:t xml:space="preserve">Ron Health Information Technologies</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 Inc. All Rights Reserved.</w:t>
      </w:r>
    </w:p>
    <w:sectPr>
      <w:pgSz w:h="15840" w:w="12240" w:orient="portrait"/>
      <w:pgMar w:bottom="352.20001220703125" w:top="1430" w:left="1290" w:right="1385.84106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Extra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MontserratExtraLight-regular.ttf"/><Relationship Id="rId6" Type="http://schemas.openxmlformats.org/officeDocument/2006/relationships/font" Target="fonts/MontserratExtraLight-bold.ttf"/><Relationship Id="rId7" Type="http://schemas.openxmlformats.org/officeDocument/2006/relationships/font" Target="fonts/MontserratExtraLight-italic.ttf"/><Relationship Id="rId8" Type="http://schemas.openxmlformats.org/officeDocument/2006/relationships/font" Target="fonts/MontserratExtra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