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0"/>
        <w:ind w:firstLine="567"/>
        <w:jc w:val="center"/>
        <w:rPr>
          <w:rFonts w:ascii="Times New Roman" w:hAnsi="Times New Roman" w:cs="Times New Roman"/>
          <w:b/>
          <w:bCs/>
          <w:sz w:val="24"/>
          <w:szCs w:val="24"/>
        </w:rPr>
        <w:pStyle w:val="Title"/>
        <w:keepNext/>
        <w:widowControl/>
      </w:pPr>
      <w:r>
        <w:rPr>
          <w:rFonts w:ascii="Times New Roman" w:hAnsi="Times New Roman"/>
          <w:sz w:val="24"/>
          <w:color w:val="000000"/>
          <w:b/>
        </w:rPr>
        <w:t xml:space="preserve">Public offer for digital creative work</w:t>
      </w:r>
    </w:p>
    <w:p>
      <w:pPr>
        <w:spacing w:after="0"/>
        <w:ind w:firstLine="567"/>
        <w:jc w:val="center"/>
        <w:rPr>
          <w:rFonts w:ascii="Times New Roman" w:hAnsi="Times New Roman" w:cs="Times New Roman"/>
          <w:b/>
          <w:bCs/>
          <w:sz w:val="24"/>
          <w:szCs w:val="24"/>
        </w:rPr>
        <w:widowControl/>
      </w:pPr>
      <w:r>
        <w:rPr>
          <w:rFonts w:ascii="Times New Roman" w:hAnsi="Times New Roman"/>
          <w:sz w:val="24"/>
          <w:color w:val="000000"/>
          <w:b/>
        </w:rPr>
        <w:t xml:space="preserve">AMV GMV GFX LOGO VIDEO CLIPS</w:t>
      </w:r>
    </w:p>
    <w:p>
      <w:pPr>
        <w:spacing w:after="40"/>
        <w:ind w:firstLine="540"/>
        <w:jc w:val="both"/>
        <w:rPr>
          <w:rFonts w:ascii="Times New Roman" w:eastAsia="Times New Roman" w:hAnsi="Times New Roman" w:cs="Times New Roman"/>
          <w:sz w:val="24"/>
          <w:szCs w:val="24"/>
          <w:lang w:eastAsia="ru-RU"/>
        </w:rPr>
        <w:widowControl/>
      </w:pPr>
    </w:p>
    <w:p>
      <w:pPr>
        <w:pStyle w:val="a3"/>
        <w:spacing w:after="0"/>
        <w:ind w:left="0" w:firstLine="0"/>
        <w:jc w:val="center"/>
        <w:rPr>
          <w:rFonts w:ascii="Times New Roman" w:hAnsi="Times New Roman" w:cs="Times New Roman"/>
          <w:b/>
          <w:bCs/>
          <w:sz w:val="24"/>
          <w:szCs w:val="24"/>
        </w:rPr>
        <w:keepNext/>
        <w:widowControl/>
      </w:pPr>
      <w:r>
        <w:rPr>
          <w:rFonts w:ascii="Times New Roman" w:hAnsi="Times New Roman"/>
          <w:sz w:val="24"/>
          <w:color w:val="000000"/>
          <w:b/>
        </w:rPr>
        <w:t xml:space="preserve">1 General provisions</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1.1. Nikita Andreevich Vakhrushev (Вахрушев Никита Андреевич), Russian taxpayer identification number (INN) 183314051365, an individual entrepreneur (sole proprietor) registered in Russia, is the Provider. The Provider offers digital creative work under the RE:STATIC team name. The Client is the individual or organisation placing an order. RE:STATIC is a team name, not a separate contracting entity.</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1.2. These terms cover AMV, GMV, GFX, LOGO and VIDEO CLIPS, including the brief, payment, revisions, delivery and intellectual property rights. The rules applicable to the relevant creative work, services and intellectual property apply, including commissioned authorship where the Provider personally creates the work.</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1.3. Provider website: </w:t>
      </w:r>
      <w:r>
        <w:rPr>
          <w:rFonts w:ascii="Times New Roman" w:hAnsi="Times New Roman"/>
          <w:sz w:val="24"/>
          <w:color w:val="000000"/>
        </w:rPr>
        <w:t xml:space="preserve">https://restatic.team</w:t>
      </w:r>
      <w:r>
        <w:rPr>
          <w:rFonts w:ascii="Times New Roman" w:hAnsi="Times New Roman"/>
          <w:sz w:val="24"/>
          <w:color w:val="000000"/>
        </w:rPr>
        <w:t xml:space="preserve">. The client account is a secure website area for orders, files and messages, where available. Until it is launched, or when it is unavailable, the parties use the Provider’s email and the contact channels agreed in the order.</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1.4. The order and creative brief are the agreed specifications for a particular project: category, content, materials, deliverables, price, schedule and rights. These terms and the confirmed brief form the contract. Individually agreed order terms prevail, subject to mandatory law.</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1.5. The Client states their country of residence or registration and acts personally or as an authorised representative. Where required by applicable law, a minor must place an order through or with the consent of a legal representative.</w:t>
      </w:r>
    </w:p>
    <w:p>
      <w:pPr>
        <w:pStyle w:val="a3"/>
        <w:spacing w:after="0"/>
        <w:ind w:left="0" w:firstLine="0"/>
        <w:jc w:val="center"/>
        <w:rPr>
          <w:rFonts w:ascii="Times New Roman" w:hAnsi="Times New Roman" w:cs="Times New Roman"/>
          <w:b/>
          <w:bCs/>
          <w:sz w:val="24"/>
          <w:szCs w:val="24"/>
        </w:rPr>
        <w:keepNext/>
        <w:widowControl/>
      </w:pPr>
      <w:r>
        <w:rPr>
          <w:rFonts w:ascii="Times New Roman" w:hAnsi="Times New Roman"/>
          <w:sz w:val="24"/>
          <w:color w:val="000000"/>
          <w:b/>
        </w:rPr>
        <w:t xml:space="preserve">2 Scope and order formation</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2.1. AMV means video editing using animation footage; GMV means editing using game footage; GFX means digital graphic design; LOGO means logo design; VIDEO CLIPS means video clip editing and post-production. The brief defines the actual scope.</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2.2. Filming, original music, voice recording, 3D work, extra versions, licence purchases, trademark registration and editable project files are included only if expressly agreed. Portfolio examples and references indicate a creative direction and do not promise a copy of another person’s work.</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2.3. The Client selects a category and available package, or requests a quote, completes the brief and supplies materials. Before payment, the Provider confirms feasibility, the final price, schedule and deliverables. Account registration, an enquiry or preliminary messages alone do not accept a paid order.</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2.4. Acceptance occurs when the Client pays the agreed price or advance for a confirmed order after receiving the brief and these terms. If no advance is required, the parties first agree an unambiguous electronic confirmation method that expressly creates an obligation to pay. All essential terms must be agreed before acceptance.</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2.5. The Provider sends the order confirmation and accepted version of these terms by email or as a downloadable account file. The order records its reference, date, parties, brief version and agreed changes.</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2.6. Work starts after receipt of the agreed materials and any required advance. The order states the start date, delivery date or period, milestones and time zone. If client materials or feedback are late, the Provider explains the effect on the schedule and agrees a revised deadline; deadlines may not be changed arbitrarily.</w:t>
      </w:r>
    </w:p>
    <w:p>
      <w:pPr>
        <w:pStyle w:val="a3"/>
        <w:spacing w:after="0"/>
        <w:ind w:left="0" w:firstLine="0"/>
        <w:jc w:val="center"/>
        <w:rPr>
          <w:rFonts w:ascii="Times New Roman" w:hAnsi="Times New Roman" w:cs="Times New Roman"/>
          <w:b/>
          <w:bCs/>
          <w:sz w:val="24"/>
          <w:szCs w:val="24"/>
        </w:rPr>
        <w:keepNext/>
        <w:widowControl/>
      </w:pPr>
      <w:r>
        <w:rPr>
          <w:rFonts w:ascii="Times New Roman" w:hAnsi="Times New Roman"/>
          <w:sz w:val="24"/>
          <w:color w:val="000000"/>
          <w:b/>
        </w:rPr>
        <w:t xml:space="preserve">3 Performance and acceptance</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3.1. The Provider may work personally and/or engage independent team members and contractors, remaining responsible for their performance to the Client. The Provider obtains the rights needed to use their contributions and transfer the agreed rights to the Client.</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3.2. The Client supplies usable files, requirements, text and references, confirms the necessary rights to client-supplied materials, and provides timely feedback. The Provider identifies known material issues and agrees replacements or scope changes.</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b w:val="0"/>
          <w:sz w:val="24"/>
        </w:rPr>
        <w:t>3.3. The order price includes two revision rounds within the agreed brief. One round is one consolidated set of comments on a submitted version. Changes to concept, music, materials or scope outside the brief require a separate application with an agreed price and schedule.</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3.4. Corrections required to meet the agreed brief are included at no extra charge and do not use the creative revision allowance. Revision limits do not restrict statutory remedies for defects or non-conformity.</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3.5. The Provider supplies previews for review and final files in the formats, scope and payment sequence specified in the order. Previews may be watermarked or reduced in resolution. After full payment, the Client receives the agreed final files without preview restrictions.</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3.6. The Client confirms acceptance through the account or agreed messages, or identifies specific issues against the brief. Silence alone does not waive quality claims or constitute automatic acceptance. Download availability and project-file retention are agreed in the order; the Client should save delivered files.</w:t>
      </w:r>
    </w:p>
    <w:p>
      <w:pPr>
        <w:pStyle w:val="a3"/>
        <w:spacing w:after="0"/>
        <w:ind w:left="0" w:firstLine="0"/>
        <w:jc w:val="center"/>
        <w:rPr>
          <w:rFonts w:ascii="Times New Roman" w:hAnsi="Times New Roman" w:cs="Times New Roman"/>
          <w:b/>
          <w:bCs/>
          <w:sz w:val="24"/>
          <w:szCs w:val="24"/>
        </w:rPr>
        <w:keepNext/>
        <w:widowControl/>
      </w:pPr>
      <w:r>
        <w:rPr>
          <w:rFonts w:ascii="Times New Roman" w:hAnsi="Times New Roman"/>
          <w:sz w:val="24"/>
          <w:color w:val="000000"/>
          <w:b/>
        </w:rPr>
        <w:t xml:space="preserve">4 Price and payment</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4.1. Prices for AMV, GMV, GFX, LOGO and VIDEO CLIPS are set in published packages or an individual quote. Until packages are published, pricing is agreed per order. A missing price does not mean the work is free; payment is not requested until the total is agreed.</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b w:val="0"/>
          <w:sz w:val="24"/>
        </w:rPr>
        <w:t>4.2. The account uses 100% advance payment in Russian rubles after the Client expressly confirms the saved quote containing the brief, price, deliverables, performer and deadline. Payment is made through Robokassa. The payment service displays applicable payment-method and conversion information before payment. An accepted order price cannot change without the Client’s agreement.</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4.3. Payments are cashless through a lawful method available to both parties. The Provider issues payment documents, including a fiscal receipt, where and within the time limits required by law. Applicable taxes, including VAT where chargeable, are included in the agreed total price; VAT treatment is stated in the order and payment documents as required by law. If payment is unavailable, the parties agree another lawful method or cancellation and settlement, subject to the Client’s mandatory rights.</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4.4. The consideration for assigning exclusive rights in original elements is included in the total price. Its amount or calculation method must be separately identified in the order before acceptance. The price of an accepted order cannot change without the Client’s agreement.</w:t>
      </w:r>
    </w:p>
    <w:p>
      <w:pPr>
        <w:pStyle w:val="a3"/>
        <w:spacing w:after="0"/>
        <w:ind w:left="0" w:firstLine="0"/>
        <w:jc w:val="center"/>
        <w:rPr>
          <w:rFonts w:ascii="Times New Roman" w:hAnsi="Times New Roman" w:cs="Times New Roman"/>
          <w:b/>
          <w:bCs/>
          <w:sz w:val="24"/>
          <w:szCs w:val="24"/>
        </w:rPr>
        <w:keepNext/>
        <w:widowControl/>
      </w:pPr>
      <w:r>
        <w:rPr>
          <w:rFonts w:ascii="Times New Roman" w:hAnsi="Times New Roman"/>
          <w:sz w:val="24"/>
          <w:color w:val="000000"/>
          <w:b/>
        </w:rPr>
        <w:t xml:space="preserve">5 Intellectual property</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5.1. Upon full payment and delivery of the final work, the Provider assigns to the Client all exclusive economic rights held by the Provider in the original elements created specifically for the order and identified in the deliverables list. The assignment covers the full duration of those rights and all territories in which they are protected, to the extent permitted by applicable law.</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5.2. Within the assigned rights, the Client may publish, reproduce, distribute, adapt and commercially exploit the work and dispose of the assigned rights. Authors retain moral rights that cannot lawfully be transferred. Attribution arrangements must respect the rights of the relevant authors.</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5.3. Rights in third-party music, recordings, animation, films, game footage, fonts, stock assets, plugins and other third-party items are not assigned under these terms. They may be used only within valid licences or another lawful basis. Before acceptance, the parties identify who obtains and pays for licences and verifies permitted platforms, territory, duration and commercial use.</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5.4. Client supply, online availability or attribution alone does not establish permission to use an asset. If necessary rights are missing, the Provider proposes a replacement or declines that part of the order. The Provider is responsible for lawful use of materials independently selected by the Provider.</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5.5. Pre-existing Provider tools and materials are not exclusively assigned. They may be included only after agreeing an asset list and rights sufficient for the Client to use the deliverable. Rejected concepts and working files are excluded unless expressly included in the order; this does not limit rights in the paid final work.</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5.6. The team may display the work, the Client’s name or brand in its portfolio or social media only with separate client permission and the necessary third-party rights. Portfolio permission is not a condition of ordering. LOGO work does not include trademark clearance or registration unless separately agreed.</w:t>
      </w:r>
    </w:p>
    <w:p>
      <w:pPr>
        <w:pStyle w:val="a3"/>
        <w:spacing w:after="0"/>
        <w:ind w:left="0" w:firstLine="0"/>
        <w:jc w:val="center"/>
        <w:rPr>
          <w:rFonts w:ascii="Times New Roman" w:hAnsi="Times New Roman" w:cs="Times New Roman"/>
          <w:b/>
          <w:bCs/>
          <w:sz w:val="24"/>
          <w:szCs w:val="24"/>
        </w:rPr>
        <w:keepNext/>
        <w:widowControl/>
      </w:pPr>
      <w:r>
        <w:rPr>
          <w:rFonts w:ascii="Times New Roman" w:hAnsi="Times New Roman"/>
          <w:sz w:val="24"/>
          <w:color w:val="000000"/>
          <w:b/>
        </w:rPr>
        <w:t xml:space="preserve">6 Confidentiality and client account</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6.1. The parties keep unpublished assets, briefs, messages, payment information and access credentials confidential. Exceptions cover public information, lawfully obtained information, authorised disclosure and disclosure required by law.</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6.2. The Provider gives team members and contractors only information needed for the order and requires appropriate protection. Personal data processing is described in a separate privacy notice: </w:t>
      </w:r>
      <w:r>
        <w:rPr>
          <w:rFonts w:ascii="Times New Roman" w:hAnsi="Times New Roman"/>
          <w:sz w:val="24"/>
          <w:color w:val="000000"/>
        </w:rPr>
        <w:t xml:space="preserve">https://restatic.team/en/privacy/</w:t>
      </w:r>
      <w:r>
        <w:rPr>
          <w:rFonts w:ascii="Times New Roman" w:hAnsi="Times New Roman"/>
          <w:sz w:val="24"/>
          <w:color w:val="000000"/>
        </w:rPr>
        <w:t xml:space="preserve">. These terms do not replace separate consent where required; marketing or public-disclosure consent is not bundled with order acceptance.</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6.3. The Client protects account access and reports unauthorised access. Contractual approvals are recorded in the account or through verified contact channels that allow the sender to be identified and the message retained. An account outage does not prevent either party from using email.</w:t>
      </w:r>
    </w:p>
    <w:p>
      <w:pPr>
        <w:pStyle w:val="a3"/>
        <w:spacing w:after="0"/>
        <w:ind w:left="0" w:firstLine="0"/>
        <w:jc w:val="center"/>
        <w:rPr>
          <w:rFonts w:ascii="Times New Roman" w:hAnsi="Times New Roman" w:cs="Times New Roman"/>
          <w:b/>
          <w:bCs/>
          <w:sz w:val="24"/>
          <w:szCs w:val="24"/>
        </w:rPr>
        <w:keepNext/>
        <w:widowControl/>
      </w:pPr>
      <w:r>
        <w:rPr>
          <w:rFonts w:ascii="Times New Roman" w:hAnsi="Times New Roman"/>
          <w:sz w:val="24"/>
          <w:color w:val="000000"/>
          <w:b/>
        </w:rPr>
        <w:t xml:space="preserve">7 Cancellation and refunds</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7.1. The Client may cancel by contacting the Provider or using the account. For Russian consumer transactions, applicable law permits cancellation subject only to actual, substantiated performance-related expenses where legally allowed. For other clients, settlement follows applicable law and agreed terms, without double charging the same amounts.</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7.2. The Provider supplies an itemised settlement and refunds the balance within the applicable legal deadline. An advance is not automatically non-refundable. Statutory remedies for defects or delay, including correction, price reduction, termination and refund where available, remain unaffected.</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7.3. International consumers retain mandatory withdrawal periods and conditions under the law applicable to them. In particular, where EU/EEA distance-contract withdrawal rules apply, the statutory 14-day period and lawful exceptions must be respected. A digital work being customised does not by itself automatically remove withdrawal rights.</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7.4. Before performance starts during an applicable withdrawal period, the Provider obtains the Client’s separate express request or consent and any legally required acknowledgements, and supplies the required withdrawal information. Accepting these terms alone does not replace those steps. Without the required consents, work starts after the relevant period expires.</w:t>
      </w:r>
    </w:p>
    <w:p>
      <w:pPr>
        <w:pStyle w:val="a3"/>
        <w:spacing w:after="0"/>
        <w:ind w:left="0" w:firstLine="0"/>
        <w:jc w:val="center"/>
        <w:rPr>
          <w:rFonts w:ascii="Times New Roman" w:hAnsi="Times New Roman" w:cs="Times New Roman"/>
          <w:b/>
          <w:bCs/>
          <w:sz w:val="24"/>
          <w:szCs w:val="24"/>
        </w:rPr>
        <w:keepNext/>
        <w:widowControl/>
      </w:pPr>
      <w:r>
        <w:rPr>
          <w:rFonts w:ascii="Times New Roman" w:hAnsi="Times New Roman"/>
          <w:sz w:val="24"/>
          <w:color w:val="000000"/>
          <w:b/>
        </w:rPr>
        <w:t xml:space="preserve">8 Force majeure and liability</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8.1. The parties are liable under applicable law. Force majeure relief requires extraordinary, unavoidable circumstances and a demonstrated causal link to non-performance. Ordinary workload, lack of funds or routine technical failures do not alone qualify.</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8.2. The affected party promptly explains the obstacle, expected duration and mitigation measures. If performance remains impossible, the parties arrange termination and settlement subject to mandatory client rights; force majeure does not justify retaining payment for unperformed work without a lawful basis.</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8.3. The Provider does not promise particular views, revenue, monetisation or third-party platform decisions. This does not exclude responsibility for conformity with the brief, the Provider’s asset-rights obligations or other contractual breaches. Mandatory liability is not excluded or limited by these terms.</w:t>
      </w:r>
    </w:p>
    <w:p>
      <w:pPr>
        <w:pStyle w:val="a3"/>
        <w:spacing w:after="0"/>
        <w:ind w:left="0" w:firstLine="0"/>
        <w:jc w:val="center"/>
        <w:rPr>
          <w:rFonts w:ascii="Times New Roman" w:hAnsi="Times New Roman" w:cs="Times New Roman"/>
          <w:b/>
          <w:bCs/>
          <w:sz w:val="24"/>
          <w:szCs w:val="24"/>
        </w:rPr>
        <w:keepNext/>
        <w:widowControl/>
      </w:pPr>
      <w:r>
        <w:rPr>
          <w:rFonts w:ascii="Times New Roman" w:hAnsi="Times New Roman"/>
          <w:sz w:val="24"/>
          <w:color w:val="000000"/>
          <w:b/>
        </w:rPr>
        <w:t xml:space="preserve">9 Duration and changes</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b w:val="0"/>
          <w:sz w:val="24"/>
        </w:rPr>
        <w:t>9.1. This version, dated 3 October 2026, takes effect on publication. Each order contract runs from acceptance until obligations are fulfilled; rights, confidentiality and liability provisions survive where relevant.</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9.2. A new version applies only to new orders. Website, price or terms updates do not alter an accepted order. Changes to an existing order require both parties’ agreement in a retainable electronic form. Withdrawal of these terms does not end existing contracts.</w:t>
      </w:r>
    </w:p>
    <w:p>
      <w:pPr>
        <w:pStyle w:val="a3"/>
        <w:spacing w:after="0"/>
        <w:ind w:left="0" w:firstLine="0"/>
        <w:jc w:val="center"/>
        <w:rPr>
          <w:rFonts w:ascii="Times New Roman" w:hAnsi="Times New Roman" w:cs="Times New Roman"/>
          <w:b/>
          <w:bCs/>
          <w:sz w:val="24"/>
          <w:szCs w:val="24"/>
        </w:rPr>
        <w:keepNext/>
        <w:widowControl/>
      </w:pPr>
      <w:r>
        <w:rPr>
          <w:rFonts w:ascii="Times New Roman" w:hAnsi="Times New Roman"/>
          <w:sz w:val="24"/>
          <w:color w:val="000000"/>
          <w:b/>
        </w:rPr>
        <w:t xml:space="preserve">10 Governing law and disputes</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10.1. The contract is governed by Russian law. This choice does not deprive a consumer of mandatory protections of the law of their habitual residence where those protections apply. Mandatory rules on contract form and rights transfers remain applicable regardless of this choice.</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10.2. Complaints may be sent to the Provider’s email with the order reference and requested remedy. The Provider responds and fulfils valid claims within applicable legal time limits. Access to courts and jurisdiction are determined by law; these terms impose no exclusive venue or mandatory pre-action procedure that restricts consumer rights.</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10.3. Russian and English versions are available for order formation. The order identifies the agreed contract and communication language. In case of differences, the version agreed by the parties applies, subject to mandatory rights to clear and understandable information. Other language or country-specific requirements must be addressed before acceptance.</w:t>
      </w:r>
    </w:p>
    <w:p>
      <w:pPr>
        <w:pStyle w:val="a3"/>
        <w:spacing w:after="0"/>
        <w:ind w:left="0" w:firstLine="0"/>
        <w:jc w:val="center"/>
        <w:rPr>
          <w:rFonts w:ascii="Times New Roman" w:hAnsi="Times New Roman" w:cs="Times New Roman"/>
          <w:b/>
          <w:bCs/>
          <w:sz w:val="24"/>
          <w:szCs w:val="24"/>
        </w:rPr>
        <w:keepNext/>
        <w:widowControl/>
      </w:pPr>
      <w:r>
        <w:rPr>
          <w:rFonts w:ascii="Times New Roman" w:hAnsi="Times New Roman"/>
          <w:sz w:val="24"/>
          <w:color w:val="000000"/>
          <w:b/>
        </w:rPr>
        <w:t xml:space="preserve">11 Provider details</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Full name: Nikita Andreevich Vakhrushev (Вахрушев Никита Андреевич).</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Status: individual entrepreneur (sole proprietor) registered in Russia. Tax regime: Russian simplified taxation system (USN), income basis.</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Russian taxpayer identification number (INN): 183314051365. State registration number (OGRNIP): 326180000093242.</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Phone: +7 967 443-77-67. Email: hikeru1@icloud.com.</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sz w:val="24"/>
          <w:color w:val="000000"/>
        </w:rPr>
        <w:t xml:space="preserve">Website: </w:t>
      </w:r>
      <w:r>
        <w:rPr>
          <w:rFonts w:ascii="Times New Roman" w:hAnsi="Times New Roman"/>
          <w:sz w:val="24"/>
          <w:color w:val="000000"/>
        </w:rPr>
        <w:t xml:space="preserve">https://restatic.team</w:t>
      </w:r>
      <w:r>
        <w:rPr>
          <w:rFonts w:ascii="Times New Roman" w:hAnsi="Times New Roman"/>
          <w:sz w:val="24"/>
          <w:color w:val="000000"/>
        </w:rPr>
        <w:t xml:space="preserve">. Payment details are provided in the confirmed order or invoice.</w:t>
      </w:r>
    </w:p>
    <w:p>
      <w:pPr>
        <w:pStyle w:val="a3"/>
        <w:spacing w:after="0"/>
        <w:ind w:left="0" w:firstLine="0"/>
        <w:jc w:val="center"/>
        <w:rPr>
          <w:rFonts w:ascii="Times New Roman" w:hAnsi="Times New Roman" w:cs="Times New Roman"/>
          <w:b/>
          <w:bCs/>
          <w:sz w:val="24"/>
          <w:szCs w:val="24"/>
        </w:rPr>
        <w:keepNext/>
        <w:widowControl/>
      </w:pPr>
      <w:r>
        <w:rPr>
          <w:rFonts w:ascii="Times New Roman" w:hAnsi="Times New Roman"/>
          <w:b/>
          <w:sz w:val="24"/>
        </w:rPr>
        <w:t>12 Working through the account</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b w:val="0"/>
          <w:sz w:val="24"/>
        </w:rPr>
        <w:t>12.1. An application contains a description, brief, work type, music where needed, materials and an optional preferred performer. A moderator agrees the terms. Without a preference, the system suggests a random available member with a matching specialization; OTHER is assigned by a moderator. The performer confirms the assignment before payment is offered. The Client agrees any replacement of a preferred performer.</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b w:val="0"/>
          <w:sz w:val="24"/>
        </w:rPr>
        <w:t>12.2. A performer invitation is valid for 24 hours and a client quote for 7 days. After expiry, terms and performer availability must be confirmed again. The Client communicates with moderators before payment; the performer joins the shared chat after confirmed payment. Previews, finals, revisions and agreed changes are recorded in the account. The accepted terms version and quote are retained for the order.</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b w:val="0"/>
          <w:sz w:val="24"/>
        </w:rPr>
        <w:t>12.3. The Client accepts the final in the account or submits specific comments. If the Client does not respond, reminders are sent and the administrator reviews the situation individually, recording the reason for the order-status decision. Silence does not become automatic acceptance or remove mandatory client remedies. Completion does not authorize portfolio publication.</w:t>
      </w:r>
    </w:p>
    <w:p>
      <w:pPr>
        <w:pStyle w:val="a3"/>
        <w:autoSpaceDE w:val="0"/>
        <w:autoSpaceDN w:val="0"/>
        <w:adjustRightInd w:val="0"/>
        <w:spacing w:after="40" w:line="240" w:lineRule="auto"/>
        <w:ind w:left="0" w:firstLine="0"/>
        <w:jc w:val="both"/>
        <w:rPr>
          <w:rFonts w:ascii="Times New Roman" w:hAnsi="Times New Roman"/>
          <w:sz w:val="24"/>
          <w:szCs w:val="24"/>
          <w:lang w:eastAsia="ru-RU"/>
        </w:rPr>
        <w:widowControl/>
      </w:pPr>
      <w:r>
        <w:rPr>
          <w:rFonts w:ascii="Times New Roman" w:hAnsi="Times New Roman"/>
          <w:b w:val="0"/>
          <w:sz w:val="24"/>
        </w:rPr>
        <w:t>12.4. Performers access only their assigned orders. A moderator proposes changes to the agreed brief or deadline and the Client confirms them. Cancellation and refund requests are reviewed individually; an account refund record reflects a refund actually performed through the payment service. Robokassa test mode verifies system behavior and does not establish receipt of real money.</w:t>
      </w:r>
    </w:p>
    <w:sectPr w:rsidR="000437DE" w:rsidRPr="00CE0F75">
      <w:footerReference w:type="default" r:id="rId7"/>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545587" w14:textId="77777777" w:rsidR="00D0690B" w:rsidRDefault="00D0690B" w:rsidP="00490E7A">
      <w:pPr>
        <w:spacing w:after="0" w:line="240" w:lineRule="auto"/>
      </w:pPr>
      <w:r>
        <w:separator/>
      </w:r>
    </w:p>
  </w:endnote>
  <w:endnote w:type="continuationSeparator" w:id="0">
    <w:p w14:paraId="2208FD73" w14:textId="77777777" w:rsidR="00D0690B" w:rsidRDefault="00D0690B" w:rsidP="00490E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82698448"/>
      <w:docPartObj>
        <w:docPartGallery w:val="Page Numbers (Bottom of Page)"/>
        <w:docPartUnique/>
      </w:docPartObj>
    </w:sdtPr>
    <w:sdtContent>
      <w:p w14:paraId="08E0CFCD" w14:textId="31F22945" w:rsidR="00490E7A" w:rsidRDefault="00490E7A">
        <w:pPr>
          <w:pStyle w:val="ad"/>
          <w:jc w:val="center"/>
        </w:pPr>
        <w:r>
          <w:fldChar w:fldCharType="begin"/>
        </w:r>
        <w:r>
          <w:instrText>PAGE   \* MERGEFORMAT</w:instrText>
        </w:r>
        <w:r>
          <w:fldChar w:fldCharType="separate"/>
        </w:r>
        <w:r>
          <w:t>2</w:t>
        </w:r>
        <w:r>
          <w:fldChar w:fldCharType="end"/>
        </w:r>
      </w:p>
    </w:sdtContent>
  </w:sdt>
  <w:p w14:paraId="3453F7D0" w14:textId="77777777" w:rsidR="00490E7A" w:rsidRDefault="00490E7A">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5272E0" w14:textId="77777777" w:rsidR="00D0690B" w:rsidRDefault="00D0690B" w:rsidP="00490E7A">
      <w:pPr>
        <w:spacing w:after="0" w:line="240" w:lineRule="auto"/>
      </w:pPr>
      <w:r>
        <w:separator/>
      </w:r>
    </w:p>
  </w:footnote>
  <w:footnote w:type="continuationSeparator" w:id="0">
    <w:p w14:paraId="17804A43" w14:textId="77777777" w:rsidR="00D0690B" w:rsidRDefault="00D0690B" w:rsidP="00490E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D3673D"/>
    <w:multiLevelType w:val="multilevel"/>
    <w:tmpl w:val="4EF0A63E"/>
    <w:lvl w:ilvl="0">
      <w:start w:val="1"/>
      <w:numFmt w:val="decimal"/>
      <w:lvlText w:val="%1."/>
      <w:lvlJc w:val="left"/>
      <w:pPr>
        <w:ind w:left="720" w:hanging="360"/>
      </w:pPr>
      <w:rPr>
        <w:rFonts w:hint="default"/>
        <w:b/>
        <w:bCs/>
      </w:rPr>
    </w:lvl>
    <w:lvl w:ilvl="1">
      <w:start w:val="1"/>
      <w:numFmt w:val="decimal"/>
      <w:isLgl/>
      <w:lvlText w:val="%1.%2."/>
      <w:lvlJc w:val="left"/>
      <w:pPr>
        <w:ind w:left="720" w:hanging="360"/>
      </w:pPr>
      <w:rPr>
        <w:rFonts w:hint="default"/>
        <w:b w:val="0"/>
        <w:bCs w:val="0"/>
      </w:rPr>
    </w:lvl>
    <w:lvl w:ilvl="2">
      <w:start w:val="1"/>
      <w:numFmt w:val="decimal"/>
      <w:isLgl/>
      <w:lvlText w:val="%1.%2.%3."/>
      <w:lvlJc w:val="left"/>
      <w:pPr>
        <w:ind w:left="4973" w:hanging="720"/>
      </w:pPr>
      <w:rPr>
        <w:rFonts w:hint="default"/>
        <w:b w:val="0"/>
        <w:bCs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31CD32B0"/>
    <w:multiLevelType w:val="hybridMultilevel"/>
    <w:tmpl w:val="55CE4F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7C8F4F67"/>
    <w:multiLevelType w:val="hybridMultilevel"/>
    <w:tmpl w:val="E2962E56"/>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num w:numId="1" w16cid:durableId="956570329">
    <w:abstractNumId w:val="0"/>
  </w:num>
  <w:num w:numId="2" w16cid:durableId="497817407">
    <w:abstractNumId w:val="2"/>
  </w:num>
  <w:num w:numId="3" w16cid:durableId="21416549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65A"/>
    <w:rsid w:val="0004324B"/>
    <w:rsid w:val="000437DE"/>
    <w:rsid w:val="00067E73"/>
    <w:rsid w:val="000B3136"/>
    <w:rsid w:val="001352F9"/>
    <w:rsid w:val="00140630"/>
    <w:rsid w:val="001467EC"/>
    <w:rsid w:val="00175E15"/>
    <w:rsid w:val="001A2D69"/>
    <w:rsid w:val="00233A65"/>
    <w:rsid w:val="0024227F"/>
    <w:rsid w:val="00242D20"/>
    <w:rsid w:val="00245A76"/>
    <w:rsid w:val="002800FE"/>
    <w:rsid w:val="00283353"/>
    <w:rsid w:val="002B3625"/>
    <w:rsid w:val="002F10D8"/>
    <w:rsid w:val="00313E7A"/>
    <w:rsid w:val="0032159B"/>
    <w:rsid w:val="003D63B0"/>
    <w:rsid w:val="00434695"/>
    <w:rsid w:val="00444F7E"/>
    <w:rsid w:val="00490E7A"/>
    <w:rsid w:val="00492FD0"/>
    <w:rsid w:val="004B0EE3"/>
    <w:rsid w:val="004C04D4"/>
    <w:rsid w:val="004D08BB"/>
    <w:rsid w:val="004E3A41"/>
    <w:rsid w:val="004E3D60"/>
    <w:rsid w:val="005356B6"/>
    <w:rsid w:val="00541F01"/>
    <w:rsid w:val="00546132"/>
    <w:rsid w:val="00572D59"/>
    <w:rsid w:val="00577F47"/>
    <w:rsid w:val="005A1021"/>
    <w:rsid w:val="005B5549"/>
    <w:rsid w:val="005F0096"/>
    <w:rsid w:val="005F6063"/>
    <w:rsid w:val="00603C4C"/>
    <w:rsid w:val="00633473"/>
    <w:rsid w:val="006508D0"/>
    <w:rsid w:val="00654DF6"/>
    <w:rsid w:val="00687C20"/>
    <w:rsid w:val="006926D9"/>
    <w:rsid w:val="006D1CB7"/>
    <w:rsid w:val="0071556D"/>
    <w:rsid w:val="00736BE9"/>
    <w:rsid w:val="007377EA"/>
    <w:rsid w:val="00744A3B"/>
    <w:rsid w:val="00751FBB"/>
    <w:rsid w:val="00760F2B"/>
    <w:rsid w:val="00781750"/>
    <w:rsid w:val="007A03EC"/>
    <w:rsid w:val="007E53BC"/>
    <w:rsid w:val="007F0FC7"/>
    <w:rsid w:val="00820A6D"/>
    <w:rsid w:val="00850B9B"/>
    <w:rsid w:val="00856D91"/>
    <w:rsid w:val="008674D4"/>
    <w:rsid w:val="00890E7F"/>
    <w:rsid w:val="008C765A"/>
    <w:rsid w:val="00900594"/>
    <w:rsid w:val="00911DA7"/>
    <w:rsid w:val="00914741"/>
    <w:rsid w:val="00940498"/>
    <w:rsid w:val="00956A7C"/>
    <w:rsid w:val="00971682"/>
    <w:rsid w:val="009F6E0F"/>
    <w:rsid w:val="00A16141"/>
    <w:rsid w:val="00A35E6F"/>
    <w:rsid w:val="00A67580"/>
    <w:rsid w:val="00AA18E3"/>
    <w:rsid w:val="00AD1FF1"/>
    <w:rsid w:val="00B15ABC"/>
    <w:rsid w:val="00B66ED7"/>
    <w:rsid w:val="00B91AE5"/>
    <w:rsid w:val="00C22077"/>
    <w:rsid w:val="00C405A1"/>
    <w:rsid w:val="00C523B8"/>
    <w:rsid w:val="00C8544B"/>
    <w:rsid w:val="00CA3A83"/>
    <w:rsid w:val="00CA5BA1"/>
    <w:rsid w:val="00CD6A61"/>
    <w:rsid w:val="00CE0F75"/>
    <w:rsid w:val="00D0690B"/>
    <w:rsid w:val="00D136C6"/>
    <w:rsid w:val="00D30561"/>
    <w:rsid w:val="00D31518"/>
    <w:rsid w:val="00D510F6"/>
    <w:rsid w:val="00D65377"/>
    <w:rsid w:val="00D837A1"/>
    <w:rsid w:val="00D92470"/>
    <w:rsid w:val="00D95977"/>
    <w:rsid w:val="00E821EC"/>
    <w:rsid w:val="00E91232"/>
    <w:rsid w:val="00E951AB"/>
    <w:rsid w:val="00EA517B"/>
    <w:rsid w:val="00EB247B"/>
    <w:rsid w:val="00EC76AE"/>
    <w:rsid w:val="00EE16A1"/>
    <w:rsid w:val="00EE3180"/>
    <w:rsid w:val="00FC44AF"/>
    <w:rsid w:val="00FD6358"/>
    <w:rsid w:val="00FE022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174D"/>
  <w15:chartTrackingRefBased/>
  <w15:docId w15:val="{E45E5792-006D-4CC3-85B6-7C51406A3AF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1556D"/>
    <w:pPr>
      <w:ind w:left="720"/>
      <w:contextualSpacing/>
    </w:pPr>
  </w:style>
  <w:style w:type="character" w:styleId="a4">
    <w:name w:val="Hyperlink"/>
    <w:basedOn w:val="a0"/>
    <w:uiPriority w:val="99"/>
    <w:semiHidden/>
    <w:unhideWhenUsed/>
    <w:rsid w:val="00067E73"/>
    <w:rPr>
      <w:color w:val="0000FF"/>
      <w:u w:val="single"/>
    </w:rPr>
  </w:style>
  <w:style w:type="paragraph" w:styleId="a5">
    <w:name w:val="Revision"/>
    <w:hidden/>
    <w:uiPriority w:val="99"/>
    <w:semiHidden/>
    <w:rsid w:val="005F0096"/>
    <w:pPr>
      <w:spacing w:after="0" w:line="240" w:lineRule="auto"/>
    </w:pPr>
  </w:style>
  <w:style w:type="character" w:styleId="a6">
    <w:name w:val="annotation reference"/>
    <w:basedOn w:val="a0"/>
    <w:uiPriority w:val="99"/>
    <w:semiHidden/>
    <w:unhideWhenUsed/>
    <w:rsid w:val="005F0096"/>
    <w:rPr>
      <w:sz w:val="16"/>
      <w:szCs w:val="16"/>
    </w:rPr>
  </w:style>
  <w:style w:type="paragraph" w:styleId="a7">
    <w:name w:val="annotation text"/>
    <w:basedOn w:val="a"/>
    <w:link w:val="a8"/>
    <w:uiPriority w:val="99"/>
    <w:semiHidden/>
    <w:unhideWhenUsed/>
    <w:rsid w:val="005F0096"/>
    <w:pPr>
      <w:spacing w:line="240" w:lineRule="auto"/>
    </w:pPr>
    <w:rPr>
      <w:sz w:val="20"/>
      <w:szCs w:val="20"/>
    </w:rPr>
  </w:style>
  <w:style w:type="character" w:customStyle="1" w:styleId="a8">
    <w:name w:val="Текст примечания Знак"/>
    <w:basedOn w:val="a0"/>
    <w:link w:val="a7"/>
    <w:uiPriority w:val="99"/>
    <w:semiHidden/>
    <w:rsid w:val="005F0096"/>
    <w:rPr>
      <w:sz w:val="20"/>
      <w:szCs w:val="20"/>
    </w:rPr>
  </w:style>
  <w:style w:type="paragraph" w:styleId="a9">
    <w:name w:val="annotation subject"/>
    <w:basedOn w:val="a7"/>
    <w:next w:val="a7"/>
    <w:link w:val="aa"/>
    <w:uiPriority w:val="99"/>
    <w:semiHidden/>
    <w:unhideWhenUsed/>
    <w:rsid w:val="005F0096"/>
    <w:rPr>
      <w:b/>
      <w:bCs/>
    </w:rPr>
  </w:style>
  <w:style w:type="character" w:customStyle="1" w:styleId="aa">
    <w:name w:val="Тема примечания Знак"/>
    <w:basedOn w:val="a8"/>
    <w:link w:val="a9"/>
    <w:uiPriority w:val="99"/>
    <w:semiHidden/>
    <w:rsid w:val="005F0096"/>
    <w:rPr>
      <w:b/>
      <w:bCs/>
      <w:sz w:val="20"/>
      <w:szCs w:val="20"/>
    </w:rPr>
  </w:style>
  <w:style w:type="paragraph" w:styleId="ab">
    <w:name w:val="header"/>
    <w:basedOn w:val="a"/>
    <w:link w:val="ac"/>
    <w:uiPriority w:val="99"/>
    <w:unhideWhenUsed/>
    <w:rsid w:val="00490E7A"/>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490E7A"/>
  </w:style>
  <w:style w:type="paragraph" w:styleId="ad">
    <w:name w:val="footer"/>
    <w:basedOn w:val="a"/>
    <w:link w:val="ae"/>
    <w:uiPriority w:val="99"/>
    <w:unhideWhenUsed/>
    <w:rsid w:val="00490E7A"/>
    <w:pPr>
      <w:tabs>
        <w:tab w:val="center" w:pos="4677"/>
        <w:tab w:val="right" w:pos="9355"/>
      </w:tabs>
      <w:spacing w:after="0" w:line="240" w:lineRule="auto"/>
    </w:pPr>
  </w:style>
  <w:style w:type="character" w:customStyle="1" w:styleId="ae">
    <w:name w:val="Нижний колонтитул Знак"/>
    <w:basedOn w:val="a0"/>
    <w:link w:val="ad"/>
    <w:uiPriority w:val="99"/>
    <w:rsid w:val="00490E7A"/>
  </w:style>
  <w:style w:type="paragraph" w:styleId="Title">
    <w:name w:val="Title"/>
    <w:basedOn w:val="a"/>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6549187">
      <w:bodyDiv w:val="1"/>
      <w:marLeft w:val="0"/>
      <w:marRight w:val="0"/>
      <w:marTop w:val="0"/>
      <w:marBottom w:val="0"/>
      <w:divBdr>
        <w:top w:val="none" w:sz="0" w:space="0" w:color="auto"/>
        <w:left w:val="none" w:sz="0" w:space="0" w:color="auto"/>
        <w:bottom w:val="none" w:sz="0" w:space="0" w:color="auto"/>
        <w:right w:val="none" w:sz="0" w:space="0" w:color="auto"/>
      </w:divBdr>
    </w:div>
    <w:div w:id="205265837">
      <w:bodyDiv w:val="1"/>
      <w:marLeft w:val="0"/>
      <w:marRight w:val="0"/>
      <w:marTop w:val="0"/>
      <w:marBottom w:val="0"/>
      <w:divBdr>
        <w:top w:val="none" w:sz="0" w:space="0" w:color="auto"/>
        <w:left w:val="none" w:sz="0" w:space="0" w:color="auto"/>
        <w:bottom w:val="none" w:sz="0" w:space="0" w:color="auto"/>
        <w:right w:val="none" w:sz="0" w:space="0" w:color="auto"/>
      </w:divBdr>
    </w:div>
    <w:div w:id="213930830">
      <w:bodyDiv w:val="1"/>
      <w:marLeft w:val="0"/>
      <w:marRight w:val="0"/>
      <w:marTop w:val="0"/>
      <w:marBottom w:val="0"/>
      <w:divBdr>
        <w:top w:val="none" w:sz="0" w:space="0" w:color="auto"/>
        <w:left w:val="none" w:sz="0" w:space="0" w:color="auto"/>
        <w:bottom w:val="none" w:sz="0" w:space="0" w:color="auto"/>
        <w:right w:val="none" w:sz="0" w:space="0" w:color="auto"/>
      </w:divBdr>
    </w:div>
    <w:div w:id="530848291">
      <w:bodyDiv w:val="1"/>
      <w:marLeft w:val="0"/>
      <w:marRight w:val="0"/>
      <w:marTop w:val="0"/>
      <w:marBottom w:val="0"/>
      <w:divBdr>
        <w:top w:val="none" w:sz="0" w:space="0" w:color="auto"/>
        <w:left w:val="none" w:sz="0" w:space="0" w:color="auto"/>
        <w:bottom w:val="none" w:sz="0" w:space="0" w:color="auto"/>
        <w:right w:val="none" w:sz="0" w:space="0" w:color="auto"/>
      </w:divBdr>
    </w:div>
    <w:div w:id="543950514">
      <w:bodyDiv w:val="1"/>
      <w:marLeft w:val="0"/>
      <w:marRight w:val="0"/>
      <w:marTop w:val="0"/>
      <w:marBottom w:val="0"/>
      <w:divBdr>
        <w:top w:val="none" w:sz="0" w:space="0" w:color="auto"/>
        <w:left w:val="none" w:sz="0" w:space="0" w:color="auto"/>
        <w:bottom w:val="none" w:sz="0" w:space="0" w:color="auto"/>
        <w:right w:val="none" w:sz="0" w:space="0" w:color="auto"/>
      </w:divBdr>
    </w:div>
    <w:div w:id="738097295">
      <w:bodyDiv w:val="1"/>
      <w:marLeft w:val="0"/>
      <w:marRight w:val="0"/>
      <w:marTop w:val="0"/>
      <w:marBottom w:val="0"/>
      <w:divBdr>
        <w:top w:val="none" w:sz="0" w:space="0" w:color="auto"/>
        <w:left w:val="none" w:sz="0" w:space="0" w:color="auto"/>
        <w:bottom w:val="none" w:sz="0" w:space="0" w:color="auto"/>
        <w:right w:val="none" w:sz="0" w:space="0" w:color="auto"/>
      </w:divBdr>
    </w:div>
    <w:div w:id="953948880">
      <w:bodyDiv w:val="1"/>
      <w:marLeft w:val="0"/>
      <w:marRight w:val="0"/>
      <w:marTop w:val="0"/>
      <w:marBottom w:val="0"/>
      <w:divBdr>
        <w:top w:val="none" w:sz="0" w:space="0" w:color="auto"/>
        <w:left w:val="none" w:sz="0" w:space="0" w:color="auto"/>
        <w:bottom w:val="none" w:sz="0" w:space="0" w:color="auto"/>
        <w:right w:val="none" w:sz="0" w:space="0" w:color="auto"/>
      </w:divBdr>
    </w:div>
    <w:div w:id="1178815283">
      <w:bodyDiv w:val="1"/>
      <w:marLeft w:val="0"/>
      <w:marRight w:val="0"/>
      <w:marTop w:val="0"/>
      <w:marBottom w:val="0"/>
      <w:divBdr>
        <w:top w:val="none" w:sz="0" w:space="0" w:color="auto"/>
        <w:left w:val="none" w:sz="0" w:space="0" w:color="auto"/>
        <w:bottom w:val="none" w:sz="0" w:space="0" w:color="auto"/>
        <w:right w:val="none" w:sz="0" w:space="0" w:color="auto"/>
      </w:divBdr>
    </w:div>
    <w:div w:id="1265922080">
      <w:bodyDiv w:val="1"/>
      <w:marLeft w:val="0"/>
      <w:marRight w:val="0"/>
      <w:marTop w:val="0"/>
      <w:marBottom w:val="0"/>
      <w:divBdr>
        <w:top w:val="none" w:sz="0" w:space="0" w:color="auto"/>
        <w:left w:val="none" w:sz="0" w:space="0" w:color="auto"/>
        <w:bottom w:val="none" w:sz="0" w:space="0" w:color="auto"/>
        <w:right w:val="none" w:sz="0" w:space="0" w:color="auto"/>
      </w:divBdr>
    </w:div>
    <w:div w:id="1333218731">
      <w:bodyDiv w:val="1"/>
      <w:marLeft w:val="0"/>
      <w:marRight w:val="0"/>
      <w:marTop w:val="0"/>
      <w:marBottom w:val="0"/>
      <w:divBdr>
        <w:top w:val="none" w:sz="0" w:space="0" w:color="auto"/>
        <w:left w:val="none" w:sz="0" w:space="0" w:color="auto"/>
        <w:bottom w:val="none" w:sz="0" w:space="0" w:color="auto"/>
        <w:right w:val="none" w:sz="0" w:space="0" w:color="auto"/>
      </w:divBdr>
    </w:div>
    <w:div w:id="1597060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1641</Words>
  <Characters>9354</Characters>
  <Application>Microsoft Office Word</Application>
  <DocSecurity>0</DocSecurity>
  <Lines>77</Lines>
  <Paragraphs>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Andrey Elfimov</dc:creator>
  <cp:keywords/>
  <dc:description/>
  <cp:lastModifiedBy>Egor Shramov</cp:lastModifiedBy>
  <cp:revision>6</cp:revision>
  <dcterms:created xsi:type="dcterms:W3CDTF">2023-08-21T16:26:00Z</dcterms:created>
  <dcterms:modified xsi:type="dcterms:W3CDTF">2023-10-02T07:29:00Z</dcterms:modified>
</cp:coreProperties>
</file>