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0"/>
        <w:ind w:firstLine="567"/>
        <w:jc w:val="center"/>
        <w:rPr>
          <w:rFonts w:ascii="Times New Roman" w:hAnsi="Times New Roman" w:cs="Times New Roman"/>
          <w:b/>
          <w:bCs/>
          <w:sz w:val="24"/>
          <w:szCs w:val="24"/>
        </w:rPr>
        <w:pStyle w:val="Title"/>
        <w:keepNext/>
        <w:widowControl/>
      </w:pPr>
      <w:r>
        <w:rPr>
          <w:rFonts w:ascii="Times New Roman" w:hAnsi="Times New Roman"/>
          <w:sz w:val="24"/>
          <w:color w:val="000000"/>
          <w:b/>
        </w:rPr>
        <w:t xml:space="preserve">Public offer for digital creative work</w:t>
      </w:r>
    </w:p>
    <w:p>
      <w:pPr>
        <w:spacing w:after="0"/>
        <w:ind w:firstLine="567"/>
        <w:jc w:val="center"/>
        <w:rPr>
          <w:rFonts w:ascii="Times New Roman" w:hAnsi="Times New Roman" w:cs="Times New Roman"/>
          <w:b/>
          <w:bCs/>
          <w:sz w:val="24"/>
          <w:szCs w:val="24"/>
        </w:rPr>
        <w:widowControl/>
      </w:pPr>
      <w:r>
        <w:rPr>
          <w:rFonts w:ascii="Times New Roman" w:hAnsi="Times New Roman"/>
          <w:sz w:val="24"/>
          <w:color w:val="000000"/>
          <w:b/>
        </w:rPr>
        <w:t xml:space="preserve">AMV GMV GFX LOGO VIDEO CLIPS</w:t>
      </w:r>
    </w:p>
    <w:p>
      <w:pPr>
        <w:spacing w:after="40"/>
        <w:ind w:firstLine="540"/>
        <w:jc w:val="both"/>
        <w:rPr>
          <w:rFonts w:ascii="Times New Roman" w:eastAsia="Times New Roman" w:hAnsi="Times New Roman" w:cs="Times New Roman"/>
          <w:sz w:val="24"/>
          <w:szCs w:val="24"/>
          <w:lang w:eastAsia="ru-RU"/>
        </w:rPr>
        <w:widowControl/>
      </w:pPr>
    </w:p>
    <w:p>
      <w:pPr>
        <w:pStyle w:val="a3"/>
        <w:spacing w:after="0"/>
        <w:ind w:left="0" w:firstLine="0"/>
        <w:jc w:val="center"/>
        <w:rPr>
          <w:rFonts w:ascii="Times New Roman" w:hAnsi="Times New Roman" w:cs="Times New Roman"/>
          <w:b/>
          <w:bCs/>
          <w:sz w:val="24"/>
          <w:szCs w:val="24"/>
        </w:rPr>
        <w:keepNext/>
        <w:widowControl/>
      </w:pPr>
      <w:r>
        <w:rPr>
          <w:rFonts w:ascii="Times New Roman" w:hAnsi="Times New Roman"/>
          <w:sz w:val="24"/>
          <w:color w:val="000000"/>
          <w:b/>
        </w:rPr>
        <w:t xml:space="preserve">1 General provisions</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1.1. Nikita Andreevich Vakhrushev (Вахрушев Никита Андреевич), Russian taxpayer identification number (INN) 183314051365, an individual entrepreneur (sole proprietor) registered in Russia, is the Provider. The Provider offers digital creative work under the RE:STATIC team name. The Client is the individual or organisation placing an order. RE:STATIC is a team name, not a separate contracting entity.</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1.2. These terms cover AMV, GMV, GFX, LOGO and VIDEO CLIPS, including the brief, payment, revisions, delivery and intellectual property rights. The rules applicable to the relevant creative work, services and intellectual property apply, including commissioned authorship where the Provider personally creates the work.</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1.3. Provider website: </w:t>
      </w:r>
      <w:r>
        <w:rPr>
          <w:rFonts w:ascii="Times New Roman" w:hAnsi="Times New Roman"/>
          <w:sz w:val="24"/>
          <w:color w:val="000000"/>
        </w:rPr>
        <w:t xml:space="preserve">https://restatic.team</w:t>
      </w:r>
      <w:r>
        <w:rPr>
          <w:rFonts w:ascii="Times New Roman" w:hAnsi="Times New Roman"/>
          <w:sz w:val="24"/>
          <w:color w:val="000000"/>
        </w:rPr>
        <w:t xml:space="preserve">. The client account is a secure website area for orders, files and messages, where available. Until it is launched, or when it is unavailable, the parties use the Provider’s email and the contact channels agreed in the order.</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1.4. The order and creative brief are the agreed specifications for a particular project: category, content, materials, deliverables, price, schedule and rights. These terms and the confirmed brief form the contract. Individually agreed order terms prevail, subject to mandatory law.</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1.5. The Client states their country of residence or registration and acts personally or as an authorised representative. Where required by applicable law, a minor must place an order through or with the consent of a legal representative.</w:t>
      </w:r>
    </w:p>
    <w:p>
      <w:pPr>
        <w:pStyle w:val="a3"/>
        <w:spacing w:after="0"/>
        <w:ind w:left="0" w:firstLine="0"/>
        <w:jc w:val="center"/>
        <w:rPr>
          <w:rFonts w:ascii="Times New Roman" w:hAnsi="Times New Roman" w:cs="Times New Roman"/>
          <w:b/>
          <w:bCs/>
          <w:sz w:val="24"/>
          <w:szCs w:val="24"/>
        </w:rPr>
        <w:keepNext/>
        <w:widowControl/>
      </w:pPr>
      <w:r>
        <w:rPr>
          <w:rFonts w:ascii="Times New Roman" w:hAnsi="Times New Roman"/>
          <w:sz w:val="24"/>
          <w:color w:val="000000"/>
          <w:b/>
        </w:rPr>
        <w:t xml:space="preserve">2 Scope and order formation</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2.1. AMV means video editing using animation footage; GMV means editing using game footage; GFX means digital graphic design; LOGO means logo design; VIDEO CLIPS means video clip editing and post-production. The brief defines the actual scope.</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2.2. Filming, original music, voice recording, 3D work, extra versions, licence purchases, trademark registration and editable project files are included only if expressly agreed. Portfolio examples and references indicate a creative direction and do not promise a copy of another person’s work.</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2.3. The Client selects a category and available package, or requests a quote, completes the brief and supplies materials. Before payment, the Provider confirms feasibility, the final price, schedule and deliverables. Account registration, an enquiry or preliminary messages alone do not accept a paid order.</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2.4. Acceptance occurs when the Client pays the agreed price or advance for a confirmed order after receiving the brief and these terms. If no advance is required, the parties first agree an unambiguous electronic confirmation method that expressly creates an obligation to pay. All essential terms must be agreed before acceptance.</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2.5. The Provider sends the order confirmation and accepted version of these terms by email or as a downloadable account file. The order records its reference, date, parties, brief version and agreed changes.</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2.6. Work starts after receipt of the agreed materials and any required advance. The order states the start date, delivery date or period, milestones and time zone. If client materials or feedback are late, the Provider explains the effect on the schedule and agrees a revised deadline; deadlines may not be changed arbitrarily.</w:t>
      </w:r>
    </w:p>
    <w:p>
      <w:pPr>
        <w:pStyle w:val="a3"/>
        <w:spacing w:after="0"/>
        <w:ind w:left="0" w:firstLine="0"/>
        <w:jc w:val="center"/>
        <w:rPr>
          <w:rFonts w:ascii="Times New Roman" w:hAnsi="Times New Roman" w:cs="Times New Roman"/>
          <w:b/>
          <w:bCs/>
          <w:sz w:val="24"/>
          <w:szCs w:val="24"/>
        </w:rPr>
        <w:keepNext/>
        <w:widowControl/>
      </w:pPr>
      <w:r>
        <w:rPr>
          <w:rFonts w:ascii="Times New Roman" w:hAnsi="Times New Roman"/>
          <w:sz w:val="24"/>
          <w:color w:val="000000"/>
          <w:b/>
        </w:rPr>
        <w:t xml:space="preserve">3 Performance and acceptance</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3.1. The Provider may work personally and/or engage independent team members and contractors, remaining responsible for their performance to the Client. The Provider obtains the rights needed to use their contributions and transfer the agreed rights to the Client.</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3.2. The Client supplies usable files, requirements, text and references, confirms the necessary rights to client-supplied materials, and provides timely feedback. The Provider identifies known material issues and agrees replacements or scope changes.</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3.3. The order states the number of concepts, included revision rounds and feedback period before acceptance. A revision round is one consolidated set of comments on a submitted version. Changes to concept, music, materials or scope outside the brief require separate agreement on price and timing.</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3.4. Corrections required to meet the agreed brief are included at no extra charge and do not use the creative revision allowance. Revision limits do not restrict statutory remedies for defects or non-conformity.</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3.5. The Provider supplies previews for review and final files in the formats, scope and payment sequence specified in the order. Previews may be watermarked or reduced in resolution. After full payment, the Client receives the agreed final files without preview restrictions.</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3.6. The Client confirms acceptance through the account or agreed messages, or identifies specific issues against the brief. Silence alone does not waive quality claims or constitute automatic acceptance. Download availability and project-file retention are agreed in the order; the Client should save delivered files.</w:t>
      </w:r>
    </w:p>
    <w:p>
      <w:pPr>
        <w:pStyle w:val="a3"/>
        <w:spacing w:after="0"/>
        <w:ind w:left="0" w:firstLine="0"/>
        <w:jc w:val="center"/>
        <w:rPr>
          <w:rFonts w:ascii="Times New Roman" w:hAnsi="Times New Roman" w:cs="Times New Roman"/>
          <w:b/>
          <w:bCs/>
          <w:sz w:val="24"/>
          <w:szCs w:val="24"/>
        </w:rPr>
        <w:keepNext/>
        <w:widowControl/>
      </w:pPr>
      <w:r>
        <w:rPr>
          <w:rFonts w:ascii="Times New Roman" w:hAnsi="Times New Roman"/>
          <w:sz w:val="24"/>
          <w:color w:val="000000"/>
          <w:b/>
        </w:rPr>
        <w:t xml:space="preserve">4 Price and payment</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4.1. Prices for AMV, GMV, GFX, LOGO and VIDEO CLIPS are set in published packages or an individual quote. Until packages are published, pricing is agreed per order. A missing price does not mean the work is free; payment is not requested until the total is agreed.</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4.2. Before acceptance, the order states the total, quote and payment currencies, advance, payment milestones, applicable taxes and known fees. Any currency conversion must specify its rate source and fixing date. Additional work or expenses require separate approval.</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4.3. Payments are cashless through a lawful method available to both parties. The Provider issues payment documents, including a fiscal receipt, where and within the time limits required by law. Applicable taxes, including VAT where chargeable, are included in the agreed total price; VAT treatment is stated in the order and payment documents as required by law. If payment is unavailable, the parties agree another lawful method or cancellation and settlement, subject to the Client’s mandatory rights.</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4.4. The consideration for assigning exclusive rights in original elements is included in the total price. Its amount or calculation method must be separately identified in the order before acceptance. The price of an accepted order cannot change without the Client’s agreement.</w:t>
      </w:r>
    </w:p>
    <w:p>
      <w:pPr>
        <w:pStyle w:val="a3"/>
        <w:spacing w:after="0"/>
        <w:ind w:left="0" w:firstLine="0"/>
        <w:jc w:val="center"/>
        <w:rPr>
          <w:rFonts w:ascii="Times New Roman" w:hAnsi="Times New Roman" w:cs="Times New Roman"/>
          <w:b/>
          <w:bCs/>
          <w:sz w:val="24"/>
          <w:szCs w:val="24"/>
        </w:rPr>
        <w:keepNext/>
        <w:widowControl/>
      </w:pPr>
      <w:r>
        <w:rPr>
          <w:rFonts w:ascii="Times New Roman" w:hAnsi="Times New Roman"/>
          <w:sz w:val="24"/>
          <w:color w:val="000000"/>
          <w:b/>
        </w:rPr>
        <w:t xml:space="preserve">5 Intellectual property</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5.1. Upon full payment and delivery of the final work, the Provider assigns to the Client all exclusive economic rights held by the Provider in the original elements created specifically for the order and identified in the deliverables list. The assignment covers the full duration of those rights and all territories in which they are protected, to the extent permitted by applicable law.</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5.2. Within the assigned rights, the Client may publish, reproduce, distribute, adapt and commercially exploit the work and dispose of the assigned rights. Authors retain moral rights that cannot lawfully be transferred. Attribution arrangements must respect the rights of the relevant authors.</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5.3. Rights in third-party music, recordings, animation, films, game footage, fonts, stock assets, plugins and other third-party items are not assigned under these terms. They may be used only within valid licences or another lawful basis. Before acceptance, the parties identify who obtains and pays for licences and verifies permitted platforms, territory, duration and commercial use.</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5.4. Client supply, online availability or attribution alone does not establish permission to use an asset. If necessary rights are missing, the Provider proposes a replacement or declines that part of the order. The Provider is responsible for lawful use of materials independently selected by the Provider.</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5.5. Pre-existing Provider tools and materials are not exclusively assigned. They may be included only after agreeing an asset list and rights sufficient for the Client to use the deliverable. Rejected concepts and working files are excluded unless expressly included in the order; this does not limit rights in the paid final work.</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5.6. The team may display the work, the Client’s name or brand in its portfolio or social media only with separate client permission and the necessary third-party rights. Portfolio permission is not a condition of ordering. LOGO work does not include trademark clearance or registration unless separately agreed.</w:t>
      </w:r>
    </w:p>
    <w:p>
      <w:pPr>
        <w:pStyle w:val="a3"/>
        <w:spacing w:after="0"/>
        <w:ind w:left="0" w:firstLine="0"/>
        <w:jc w:val="center"/>
        <w:rPr>
          <w:rFonts w:ascii="Times New Roman" w:hAnsi="Times New Roman" w:cs="Times New Roman"/>
          <w:b/>
          <w:bCs/>
          <w:sz w:val="24"/>
          <w:szCs w:val="24"/>
        </w:rPr>
        <w:keepNext/>
        <w:widowControl/>
      </w:pPr>
      <w:r>
        <w:rPr>
          <w:rFonts w:ascii="Times New Roman" w:hAnsi="Times New Roman"/>
          <w:sz w:val="24"/>
          <w:color w:val="000000"/>
          <w:b/>
        </w:rPr>
        <w:t xml:space="preserve">6 Confidentiality and client account</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6.1. The parties keep unpublished assets, briefs, messages, payment information and access credentials confidential. Exceptions cover public information, lawfully obtained information, authorised disclosure and disclosure required by law.</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6.2. The Provider gives team members and contractors only information needed for the order and requires appropriate protection. Personal data processing is described in a separate privacy notice: </w:t>
      </w:r>
      <w:r>
        <w:rPr>
          <w:rFonts w:ascii="Times New Roman" w:hAnsi="Times New Roman"/>
          <w:sz w:val="24"/>
          <w:color w:val="000000"/>
        </w:rPr>
        <w:t xml:space="preserve">https://restatic.team/en/privacy/</w:t>
      </w:r>
      <w:r>
        <w:rPr>
          <w:rFonts w:ascii="Times New Roman" w:hAnsi="Times New Roman"/>
          <w:sz w:val="24"/>
          <w:color w:val="000000"/>
        </w:rPr>
        <w:t xml:space="preserve">. These terms do not replace separate consent where required; marketing or public-disclosure consent is not bundled with order acceptance.</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6.3. The Client protects account access and reports unauthorised access. Contractual approvals are recorded in the account or through verified contact channels that allow the sender to be identified and the message retained. An account outage does not prevent either party from using email.</w:t>
      </w:r>
    </w:p>
    <w:p>
      <w:pPr>
        <w:pStyle w:val="a3"/>
        <w:spacing w:after="0"/>
        <w:ind w:left="0" w:firstLine="0"/>
        <w:jc w:val="center"/>
        <w:rPr>
          <w:rFonts w:ascii="Times New Roman" w:hAnsi="Times New Roman" w:cs="Times New Roman"/>
          <w:b/>
          <w:bCs/>
          <w:sz w:val="24"/>
          <w:szCs w:val="24"/>
        </w:rPr>
        <w:keepNext/>
        <w:widowControl/>
      </w:pPr>
      <w:r>
        <w:rPr>
          <w:rFonts w:ascii="Times New Roman" w:hAnsi="Times New Roman"/>
          <w:sz w:val="24"/>
          <w:color w:val="000000"/>
          <w:b/>
        </w:rPr>
        <w:t xml:space="preserve">7 Cancellation and refunds</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7.1. The Client may cancel by contacting the Provider or using the account. For Russian consumer transactions, applicable law permits cancellation subject only to actual, substantiated performance-related expenses where legally allowed. For other clients, settlement follows applicable law and agreed terms, without double charging the same amounts.</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7.2. The Provider supplies an itemised settlement and refunds the balance within the applicable legal deadline. An advance is not automatically non-refundable. Statutory remedies for defects or delay, including correction, price reduction, termination and refund where available, remain unaffected.</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7.3. International consumers retain mandatory withdrawal periods and conditions under the law applicable to them. In particular, where EU/EEA distance-contract withdrawal rules apply, the statutory 14-day period and lawful exceptions must be respected. A digital work being customised does not by itself automatically remove withdrawal rights.</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7.4. Before performance starts during an applicable withdrawal period, the Provider obtains the Client’s separate express request or consent and any legally required acknowledgements, and supplies the required withdrawal information. Accepting these terms alone does not replace those steps. Without the required consents, work starts after the relevant period expires.</w:t>
      </w:r>
    </w:p>
    <w:p>
      <w:pPr>
        <w:pStyle w:val="a3"/>
        <w:spacing w:after="0"/>
        <w:ind w:left="0" w:firstLine="0"/>
        <w:jc w:val="center"/>
        <w:rPr>
          <w:rFonts w:ascii="Times New Roman" w:hAnsi="Times New Roman" w:cs="Times New Roman"/>
          <w:b/>
          <w:bCs/>
          <w:sz w:val="24"/>
          <w:szCs w:val="24"/>
        </w:rPr>
        <w:keepNext/>
        <w:widowControl/>
      </w:pPr>
      <w:r>
        <w:rPr>
          <w:rFonts w:ascii="Times New Roman" w:hAnsi="Times New Roman"/>
          <w:sz w:val="24"/>
          <w:color w:val="000000"/>
          <w:b/>
        </w:rPr>
        <w:t xml:space="preserve">8 Force majeure and liability</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8.1. The parties are liable under applicable law. Force majeure relief requires extraordinary, unavoidable circumstances and a demonstrated causal link to non-performance. Ordinary workload, lack of funds or routine technical failures do not alone qualify.</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8.2. The affected party promptly explains the obstacle, expected duration and mitigation measures. If performance remains impossible, the parties arrange termination and settlement subject to mandatory client rights; force majeure does not justify retaining payment for unperformed work without a lawful basis.</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8.3. The Provider does not promise particular views, revenue, monetisation or third-party platform decisions. This does not exclude responsibility for conformity with the brief, the Provider’s asset-rights obligations or other contractual breaches. Mandatory liability is not excluded or limited by these terms.</w:t>
      </w:r>
    </w:p>
    <w:p>
      <w:pPr>
        <w:pStyle w:val="a3"/>
        <w:spacing w:after="0"/>
        <w:ind w:left="0" w:firstLine="0"/>
        <w:jc w:val="center"/>
        <w:rPr>
          <w:rFonts w:ascii="Times New Roman" w:hAnsi="Times New Roman" w:cs="Times New Roman"/>
          <w:b/>
          <w:bCs/>
          <w:sz w:val="24"/>
          <w:szCs w:val="24"/>
        </w:rPr>
        <w:keepNext/>
        <w:widowControl/>
      </w:pPr>
      <w:r>
        <w:rPr>
          <w:rFonts w:ascii="Times New Roman" w:hAnsi="Times New Roman"/>
          <w:sz w:val="24"/>
          <w:color w:val="000000"/>
          <w:b/>
        </w:rPr>
        <w:t xml:space="preserve">9 Duration and changes</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9.1. This version, dated 2 October 2026, takes effect on publication. Each order contract runs from acceptance until obligations are fulfilled; rights, confidentiality and liability provisions survive where relevant.</w:t>
      </w:r>
      <w:r>
        <w:rPr>
          <w:rFonts w:ascii="Times New Roman" w:hAnsi="Times New Roman"/>
          <w:sz w:val="24"/>
          <w:color w:val="000000"/>
        </w:rPr>
        <w:t xml:space="preserve"/>
      </w:r>
      <w:r>
        <w:rPr>
          <w:rFonts w:ascii="Times New Roman" w:hAnsi="Times New Roman"/>
          <w:sz w:val="24"/>
          <w:color w:val="000000"/>
        </w:rPr>
        <w:t xml:space="preserve"/>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9.2. A new version applies only to new orders. Website, price or terms updates do not alter an accepted order. Changes to an existing order require both parties’ agreement in a retainable electronic form. Withdrawal of these terms does not end existing contracts.</w:t>
      </w:r>
    </w:p>
    <w:p>
      <w:pPr>
        <w:pStyle w:val="a3"/>
        <w:spacing w:after="0"/>
        <w:ind w:left="0" w:firstLine="0"/>
        <w:jc w:val="center"/>
        <w:rPr>
          <w:rFonts w:ascii="Times New Roman" w:hAnsi="Times New Roman" w:cs="Times New Roman"/>
          <w:b/>
          <w:bCs/>
          <w:sz w:val="24"/>
          <w:szCs w:val="24"/>
        </w:rPr>
        <w:keepNext/>
        <w:widowControl/>
      </w:pPr>
      <w:r>
        <w:rPr>
          <w:rFonts w:ascii="Times New Roman" w:hAnsi="Times New Roman"/>
          <w:sz w:val="24"/>
          <w:color w:val="000000"/>
          <w:b/>
        </w:rPr>
        <w:t xml:space="preserve">10 Governing law and disputes</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10.1. The contract is governed by Russian law. This choice does not deprive a consumer of mandatory protections of the law of their habitual residence where those protections apply. Mandatory rules on contract form and rights transfers remain applicable regardless of this choice.</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10.2. Complaints may be sent to the Provider’s email with the order reference and requested remedy. The Provider responds and fulfils valid claims within applicable legal time limits. Access to courts and jurisdiction are determined by law; these terms impose no exclusive venue or mandatory pre-action procedure that restricts consumer rights.</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10.3. Russian and English versions are available for order formation. The order identifies the agreed contract and communication language. In case of differences, the version agreed by the parties applies, subject to mandatory rights to clear and understandable information. Other language or country-specific requirements must be addressed before acceptance.</w:t>
      </w:r>
    </w:p>
    <w:p>
      <w:pPr>
        <w:pStyle w:val="a3"/>
        <w:spacing w:after="0"/>
        <w:ind w:left="0" w:firstLine="0"/>
        <w:jc w:val="center"/>
        <w:rPr>
          <w:rFonts w:ascii="Times New Roman" w:hAnsi="Times New Roman" w:cs="Times New Roman"/>
          <w:b/>
          <w:bCs/>
          <w:sz w:val="24"/>
          <w:szCs w:val="24"/>
        </w:rPr>
        <w:keepNext/>
        <w:widowControl/>
      </w:pPr>
      <w:r>
        <w:rPr>
          <w:rFonts w:ascii="Times New Roman" w:hAnsi="Times New Roman"/>
          <w:sz w:val="24"/>
          <w:color w:val="000000"/>
          <w:b/>
        </w:rPr>
        <w:t xml:space="preserve">11 Provider details</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Full name: Nikita Andreevich Vakhrushev (Вахрушев Никита Андреевич).</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Status: individual entrepreneur (sole proprietor) registered in Russia. Tax regime: Russian simplified taxation system (USN), income basis.</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Russian taxpayer identification number (INN): 183314051365. State registration number (OGRNIP): 326180000093242.</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Phone: +7 967 443-77-67. Email: hikeru1@icloud.com.</w:t>
      </w:r>
    </w:p>
    <w:p>
      <w:pPr>
        <w:pStyle w:val="a3"/>
        <w:autoSpaceDE w:val="0"/>
        <w:autoSpaceDN w:val="0"/>
        <w:adjustRightInd w:val="0"/>
        <w:spacing w:after="40" w:line="240" w:lineRule="auto"/>
        <w:ind w:left="0" w:firstLine="0"/>
        <w:jc w:val="both"/>
        <w:rPr>
          <w:rFonts w:ascii="Times New Roman" w:hAnsi="Times New Roman"/>
          <w:sz w:val="24"/>
          <w:szCs w:val="24"/>
          <w:lang w:eastAsia="ru-RU"/>
        </w:rPr>
        <w:widowControl/>
      </w:pPr>
      <w:r>
        <w:rPr>
          <w:rFonts w:ascii="Times New Roman" w:hAnsi="Times New Roman"/>
          <w:sz w:val="24"/>
          <w:color w:val="000000"/>
        </w:rPr>
        <w:t xml:space="preserve">Website: </w:t>
      </w:r>
      <w:r>
        <w:rPr>
          <w:rFonts w:ascii="Times New Roman" w:hAnsi="Times New Roman"/>
          <w:sz w:val="24"/>
          <w:color w:val="000000"/>
        </w:rPr>
        <w:t xml:space="preserve">https://restatic.team</w:t>
      </w:r>
      <w:r>
        <w:rPr>
          <w:rFonts w:ascii="Times New Roman" w:hAnsi="Times New Roman"/>
          <w:sz w:val="24"/>
          <w:color w:val="000000"/>
        </w:rPr>
        <w:t xml:space="preserve">. Payment details are provided in the confirmed order or invoice.</w:t>
      </w:r>
    </w:p>
    <w:sectPr w:rsidR="000437DE" w:rsidRPr="00CE0F75">
      <w:footerReference w:type="default" r:id="rId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545587" w14:textId="77777777" w:rsidR="00D0690B" w:rsidRDefault="00D0690B" w:rsidP="00490E7A">
      <w:pPr>
        <w:spacing w:after="0" w:line="240" w:lineRule="auto"/>
      </w:pPr>
      <w:r>
        <w:separator/>
      </w:r>
    </w:p>
  </w:endnote>
  <w:endnote w:type="continuationSeparator" w:id="0">
    <w:p w14:paraId="2208FD73" w14:textId="77777777" w:rsidR="00D0690B" w:rsidRDefault="00D0690B" w:rsidP="00490E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2698448"/>
      <w:docPartObj>
        <w:docPartGallery w:val="Page Numbers (Bottom of Page)"/>
        <w:docPartUnique/>
      </w:docPartObj>
    </w:sdtPr>
    <w:sdtContent>
      <w:p w14:paraId="08E0CFCD" w14:textId="31F22945" w:rsidR="00490E7A" w:rsidRDefault="00490E7A">
        <w:pPr>
          <w:pStyle w:val="ad"/>
          <w:jc w:val="center"/>
        </w:pPr>
        <w:r>
          <w:fldChar w:fldCharType="begin"/>
        </w:r>
        <w:r>
          <w:instrText>PAGE   \* MERGEFORMAT</w:instrText>
        </w:r>
        <w:r>
          <w:fldChar w:fldCharType="separate"/>
        </w:r>
        <w:r>
          <w:t>2</w:t>
        </w:r>
        <w:r>
          <w:fldChar w:fldCharType="end"/>
        </w:r>
      </w:p>
    </w:sdtContent>
  </w:sdt>
  <w:p w14:paraId="3453F7D0" w14:textId="77777777" w:rsidR="00490E7A" w:rsidRDefault="00490E7A">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5272E0" w14:textId="77777777" w:rsidR="00D0690B" w:rsidRDefault="00D0690B" w:rsidP="00490E7A">
      <w:pPr>
        <w:spacing w:after="0" w:line="240" w:lineRule="auto"/>
      </w:pPr>
      <w:r>
        <w:separator/>
      </w:r>
    </w:p>
  </w:footnote>
  <w:footnote w:type="continuationSeparator" w:id="0">
    <w:p w14:paraId="17804A43" w14:textId="77777777" w:rsidR="00D0690B" w:rsidRDefault="00D0690B" w:rsidP="00490E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D3673D"/>
    <w:multiLevelType w:val="multilevel"/>
    <w:tmpl w:val="4EF0A63E"/>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b w:val="0"/>
        <w:bCs w:val="0"/>
      </w:rPr>
    </w:lvl>
    <w:lvl w:ilvl="2">
      <w:start w:val="1"/>
      <w:numFmt w:val="decimal"/>
      <w:isLgl/>
      <w:lvlText w:val="%1.%2.%3."/>
      <w:lvlJc w:val="left"/>
      <w:pPr>
        <w:ind w:left="4973" w:hanging="720"/>
      </w:pPr>
      <w:rPr>
        <w:rFonts w:hint="default"/>
        <w:b w:val="0"/>
        <w:b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31CD32B0"/>
    <w:multiLevelType w:val="hybridMultilevel"/>
    <w:tmpl w:val="55CE4F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7C8F4F67"/>
    <w:multiLevelType w:val="hybridMultilevel"/>
    <w:tmpl w:val="E2962E56"/>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num w:numId="1" w16cid:durableId="956570329">
    <w:abstractNumId w:val="0"/>
  </w:num>
  <w:num w:numId="2" w16cid:durableId="497817407">
    <w:abstractNumId w:val="2"/>
  </w:num>
  <w:num w:numId="3" w16cid:durableId="21416549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65A"/>
    <w:rsid w:val="0004324B"/>
    <w:rsid w:val="000437DE"/>
    <w:rsid w:val="00067E73"/>
    <w:rsid w:val="000B3136"/>
    <w:rsid w:val="001352F9"/>
    <w:rsid w:val="00140630"/>
    <w:rsid w:val="001467EC"/>
    <w:rsid w:val="00175E15"/>
    <w:rsid w:val="001A2D69"/>
    <w:rsid w:val="00233A65"/>
    <w:rsid w:val="0024227F"/>
    <w:rsid w:val="00242D20"/>
    <w:rsid w:val="00245A76"/>
    <w:rsid w:val="002800FE"/>
    <w:rsid w:val="00283353"/>
    <w:rsid w:val="002B3625"/>
    <w:rsid w:val="002F10D8"/>
    <w:rsid w:val="00313E7A"/>
    <w:rsid w:val="0032159B"/>
    <w:rsid w:val="003D63B0"/>
    <w:rsid w:val="00434695"/>
    <w:rsid w:val="00444F7E"/>
    <w:rsid w:val="00490E7A"/>
    <w:rsid w:val="00492FD0"/>
    <w:rsid w:val="004B0EE3"/>
    <w:rsid w:val="004C04D4"/>
    <w:rsid w:val="004D08BB"/>
    <w:rsid w:val="004E3A41"/>
    <w:rsid w:val="004E3D60"/>
    <w:rsid w:val="005356B6"/>
    <w:rsid w:val="00541F01"/>
    <w:rsid w:val="00546132"/>
    <w:rsid w:val="00572D59"/>
    <w:rsid w:val="00577F47"/>
    <w:rsid w:val="005A1021"/>
    <w:rsid w:val="005B5549"/>
    <w:rsid w:val="005F0096"/>
    <w:rsid w:val="005F6063"/>
    <w:rsid w:val="00603C4C"/>
    <w:rsid w:val="00633473"/>
    <w:rsid w:val="006508D0"/>
    <w:rsid w:val="00654DF6"/>
    <w:rsid w:val="00687C20"/>
    <w:rsid w:val="006926D9"/>
    <w:rsid w:val="006D1CB7"/>
    <w:rsid w:val="0071556D"/>
    <w:rsid w:val="00736BE9"/>
    <w:rsid w:val="007377EA"/>
    <w:rsid w:val="00744A3B"/>
    <w:rsid w:val="00751FBB"/>
    <w:rsid w:val="00760F2B"/>
    <w:rsid w:val="00781750"/>
    <w:rsid w:val="007A03EC"/>
    <w:rsid w:val="007E53BC"/>
    <w:rsid w:val="007F0FC7"/>
    <w:rsid w:val="00820A6D"/>
    <w:rsid w:val="00850B9B"/>
    <w:rsid w:val="00856D91"/>
    <w:rsid w:val="008674D4"/>
    <w:rsid w:val="00890E7F"/>
    <w:rsid w:val="008C765A"/>
    <w:rsid w:val="00900594"/>
    <w:rsid w:val="00911DA7"/>
    <w:rsid w:val="00914741"/>
    <w:rsid w:val="00940498"/>
    <w:rsid w:val="00956A7C"/>
    <w:rsid w:val="00971682"/>
    <w:rsid w:val="009F6E0F"/>
    <w:rsid w:val="00A16141"/>
    <w:rsid w:val="00A35E6F"/>
    <w:rsid w:val="00A67580"/>
    <w:rsid w:val="00AA18E3"/>
    <w:rsid w:val="00AD1FF1"/>
    <w:rsid w:val="00B15ABC"/>
    <w:rsid w:val="00B66ED7"/>
    <w:rsid w:val="00B91AE5"/>
    <w:rsid w:val="00C22077"/>
    <w:rsid w:val="00C405A1"/>
    <w:rsid w:val="00C523B8"/>
    <w:rsid w:val="00C8544B"/>
    <w:rsid w:val="00CA3A83"/>
    <w:rsid w:val="00CA5BA1"/>
    <w:rsid w:val="00CD6A61"/>
    <w:rsid w:val="00CE0F75"/>
    <w:rsid w:val="00D0690B"/>
    <w:rsid w:val="00D136C6"/>
    <w:rsid w:val="00D30561"/>
    <w:rsid w:val="00D31518"/>
    <w:rsid w:val="00D510F6"/>
    <w:rsid w:val="00D65377"/>
    <w:rsid w:val="00D837A1"/>
    <w:rsid w:val="00D92470"/>
    <w:rsid w:val="00D95977"/>
    <w:rsid w:val="00E821EC"/>
    <w:rsid w:val="00E91232"/>
    <w:rsid w:val="00E951AB"/>
    <w:rsid w:val="00EA517B"/>
    <w:rsid w:val="00EB247B"/>
    <w:rsid w:val="00EC76AE"/>
    <w:rsid w:val="00EE16A1"/>
    <w:rsid w:val="00EE3180"/>
    <w:rsid w:val="00FC44AF"/>
    <w:rsid w:val="00FD6358"/>
    <w:rsid w:val="00FE022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D174D"/>
  <w15:chartTrackingRefBased/>
  <w15:docId w15:val="{E45E5792-006D-4CC3-85B6-7C51406A3AF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1556D"/>
    <w:pPr>
      <w:ind w:left="720"/>
      <w:contextualSpacing/>
    </w:pPr>
  </w:style>
  <w:style w:type="character" w:styleId="a4">
    <w:name w:val="Hyperlink"/>
    <w:basedOn w:val="a0"/>
    <w:uiPriority w:val="99"/>
    <w:semiHidden/>
    <w:unhideWhenUsed/>
    <w:rsid w:val="00067E73"/>
    <w:rPr>
      <w:color w:val="0000FF"/>
      <w:u w:val="single"/>
    </w:rPr>
  </w:style>
  <w:style w:type="paragraph" w:styleId="a5">
    <w:name w:val="Revision"/>
    <w:hidden/>
    <w:uiPriority w:val="99"/>
    <w:semiHidden/>
    <w:rsid w:val="005F0096"/>
    <w:pPr>
      <w:spacing w:after="0" w:line="240" w:lineRule="auto"/>
    </w:pPr>
  </w:style>
  <w:style w:type="character" w:styleId="a6">
    <w:name w:val="annotation reference"/>
    <w:basedOn w:val="a0"/>
    <w:uiPriority w:val="99"/>
    <w:semiHidden/>
    <w:unhideWhenUsed/>
    <w:rsid w:val="005F0096"/>
    <w:rPr>
      <w:sz w:val="16"/>
      <w:szCs w:val="16"/>
    </w:rPr>
  </w:style>
  <w:style w:type="paragraph" w:styleId="a7">
    <w:name w:val="annotation text"/>
    <w:basedOn w:val="a"/>
    <w:link w:val="a8"/>
    <w:uiPriority w:val="99"/>
    <w:semiHidden/>
    <w:unhideWhenUsed/>
    <w:rsid w:val="005F0096"/>
    <w:pPr>
      <w:spacing w:line="240" w:lineRule="auto"/>
    </w:pPr>
    <w:rPr>
      <w:sz w:val="20"/>
      <w:szCs w:val="20"/>
    </w:rPr>
  </w:style>
  <w:style w:type="character" w:customStyle="1" w:styleId="a8">
    <w:name w:val="Текст примечания Знак"/>
    <w:basedOn w:val="a0"/>
    <w:link w:val="a7"/>
    <w:uiPriority w:val="99"/>
    <w:semiHidden/>
    <w:rsid w:val="005F0096"/>
    <w:rPr>
      <w:sz w:val="20"/>
      <w:szCs w:val="20"/>
    </w:rPr>
  </w:style>
  <w:style w:type="paragraph" w:styleId="a9">
    <w:name w:val="annotation subject"/>
    <w:basedOn w:val="a7"/>
    <w:next w:val="a7"/>
    <w:link w:val="aa"/>
    <w:uiPriority w:val="99"/>
    <w:semiHidden/>
    <w:unhideWhenUsed/>
    <w:rsid w:val="005F0096"/>
    <w:rPr>
      <w:b/>
      <w:bCs/>
    </w:rPr>
  </w:style>
  <w:style w:type="character" w:customStyle="1" w:styleId="aa">
    <w:name w:val="Тема примечания Знак"/>
    <w:basedOn w:val="a8"/>
    <w:link w:val="a9"/>
    <w:uiPriority w:val="99"/>
    <w:semiHidden/>
    <w:rsid w:val="005F0096"/>
    <w:rPr>
      <w:b/>
      <w:bCs/>
      <w:sz w:val="20"/>
      <w:szCs w:val="20"/>
    </w:rPr>
  </w:style>
  <w:style w:type="paragraph" w:styleId="ab">
    <w:name w:val="header"/>
    <w:basedOn w:val="a"/>
    <w:link w:val="ac"/>
    <w:uiPriority w:val="99"/>
    <w:unhideWhenUsed/>
    <w:rsid w:val="00490E7A"/>
    <w:pPr>
      <w:tabs>
        <w:tab w:val="center" w:pos="4677"/>
        <w:tab w:val="right" w:pos="9355"/>
      </w:tabs>
      <w:spacing w:after="0" w:line="240" w:lineRule="auto"/>
    </w:pPr>
  </w:style>
  <w:style w:type="character" w:customStyle="1" w:styleId="ac">
    <w:name w:val="Верхний колонтитул Знак"/>
    <w:basedOn w:val="a0"/>
    <w:link w:val="ab"/>
    <w:uiPriority w:val="99"/>
    <w:rsid w:val="00490E7A"/>
  </w:style>
  <w:style w:type="paragraph" w:styleId="ad">
    <w:name w:val="footer"/>
    <w:basedOn w:val="a"/>
    <w:link w:val="ae"/>
    <w:uiPriority w:val="99"/>
    <w:unhideWhenUsed/>
    <w:rsid w:val="00490E7A"/>
    <w:pPr>
      <w:tabs>
        <w:tab w:val="center" w:pos="4677"/>
        <w:tab w:val="right" w:pos="9355"/>
      </w:tabs>
      <w:spacing w:after="0" w:line="240" w:lineRule="auto"/>
    </w:pPr>
  </w:style>
  <w:style w:type="character" w:customStyle="1" w:styleId="ae">
    <w:name w:val="Нижний колонтитул Знак"/>
    <w:basedOn w:val="a0"/>
    <w:link w:val="ad"/>
    <w:uiPriority w:val="99"/>
    <w:rsid w:val="00490E7A"/>
  </w:style>
  <w:style w:type="paragraph" w:styleId="Title">
    <w:name w:val="Title"/>
    <w:basedOn w:val="a"/>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549187">
      <w:bodyDiv w:val="1"/>
      <w:marLeft w:val="0"/>
      <w:marRight w:val="0"/>
      <w:marTop w:val="0"/>
      <w:marBottom w:val="0"/>
      <w:divBdr>
        <w:top w:val="none" w:sz="0" w:space="0" w:color="auto"/>
        <w:left w:val="none" w:sz="0" w:space="0" w:color="auto"/>
        <w:bottom w:val="none" w:sz="0" w:space="0" w:color="auto"/>
        <w:right w:val="none" w:sz="0" w:space="0" w:color="auto"/>
      </w:divBdr>
    </w:div>
    <w:div w:id="205265837">
      <w:bodyDiv w:val="1"/>
      <w:marLeft w:val="0"/>
      <w:marRight w:val="0"/>
      <w:marTop w:val="0"/>
      <w:marBottom w:val="0"/>
      <w:divBdr>
        <w:top w:val="none" w:sz="0" w:space="0" w:color="auto"/>
        <w:left w:val="none" w:sz="0" w:space="0" w:color="auto"/>
        <w:bottom w:val="none" w:sz="0" w:space="0" w:color="auto"/>
        <w:right w:val="none" w:sz="0" w:space="0" w:color="auto"/>
      </w:divBdr>
    </w:div>
    <w:div w:id="213930830">
      <w:bodyDiv w:val="1"/>
      <w:marLeft w:val="0"/>
      <w:marRight w:val="0"/>
      <w:marTop w:val="0"/>
      <w:marBottom w:val="0"/>
      <w:divBdr>
        <w:top w:val="none" w:sz="0" w:space="0" w:color="auto"/>
        <w:left w:val="none" w:sz="0" w:space="0" w:color="auto"/>
        <w:bottom w:val="none" w:sz="0" w:space="0" w:color="auto"/>
        <w:right w:val="none" w:sz="0" w:space="0" w:color="auto"/>
      </w:divBdr>
    </w:div>
    <w:div w:id="530848291">
      <w:bodyDiv w:val="1"/>
      <w:marLeft w:val="0"/>
      <w:marRight w:val="0"/>
      <w:marTop w:val="0"/>
      <w:marBottom w:val="0"/>
      <w:divBdr>
        <w:top w:val="none" w:sz="0" w:space="0" w:color="auto"/>
        <w:left w:val="none" w:sz="0" w:space="0" w:color="auto"/>
        <w:bottom w:val="none" w:sz="0" w:space="0" w:color="auto"/>
        <w:right w:val="none" w:sz="0" w:space="0" w:color="auto"/>
      </w:divBdr>
    </w:div>
    <w:div w:id="543950514">
      <w:bodyDiv w:val="1"/>
      <w:marLeft w:val="0"/>
      <w:marRight w:val="0"/>
      <w:marTop w:val="0"/>
      <w:marBottom w:val="0"/>
      <w:divBdr>
        <w:top w:val="none" w:sz="0" w:space="0" w:color="auto"/>
        <w:left w:val="none" w:sz="0" w:space="0" w:color="auto"/>
        <w:bottom w:val="none" w:sz="0" w:space="0" w:color="auto"/>
        <w:right w:val="none" w:sz="0" w:space="0" w:color="auto"/>
      </w:divBdr>
    </w:div>
    <w:div w:id="738097295">
      <w:bodyDiv w:val="1"/>
      <w:marLeft w:val="0"/>
      <w:marRight w:val="0"/>
      <w:marTop w:val="0"/>
      <w:marBottom w:val="0"/>
      <w:divBdr>
        <w:top w:val="none" w:sz="0" w:space="0" w:color="auto"/>
        <w:left w:val="none" w:sz="0" w:space="0" w:color="auto"/>
        <w:bottom w:val="none" w:sz="0" w:space="0" w:color="auto"/>
        <w:right w:val="none" w:sz="0" w:space="0" w:color="auto"/>
      </w:divBdr>
    </w:div>
    <w:div w:id="953948880">
      <w:bodyDiv w:val="1"/>
      <w:marLeft w:val="0"/>
      <w:marRight w:val="0"/>
      <w:marTop w:val="0"/>
      <w:marBottom w:val="0"/>
      <w:divBdr>
        <w:top w:val="none" w:sz="0" w:space="0" w:color="auto"/>
        <w:left w:val="none" w:sz="0" w:space="0" w:color="auto"/>
        <w:bottom w:val="none" w:sz="0" w:space="0" w:color="auto"/>
        <w:right w:val="none" w:sz="0" w:space="0" w:color="auto"/>
      </w:divBdr>
    </w:div>
    <w:div w:id="1178815283">
      <w:bodyDiv w:val="1"/>
      <w:marLeft w:val="0"/>
      <w:marRight w:val="0"/>
      <w:marTop w:val="0"/>
      <w:marBottom w:val="0"/>
      <w:divBdr>
        <w:top w:val="none" w:sz="0" w:space="0" w:color="auto"/>
        <w:left w:val="none" w:sz="0" w:space="0" w:color="auto"/>
        <w:bottom w:val="none" w:sz="0" w:space="0" w:color="auto"/>
        <w:right w:val="none" w:sz="0" w:space="0" w:color="auto"/>
      </w:divBdr>
    </w:div>
    <w:div w:id="1265922080">
      <w:bodyDiv w:val="1"/>
      <w:marLeft w:val="0"/>
      <w:marRight w:val="0"/>
      <w:marTop w:val="0"/>
      <w:marBottom w:val="0"/>
      <w:divBdr>
        <w:top w:val="none" w:sz="0" w:space="0" w:color="auto"/>
        <w:left w:val="none" w:sz="0" w:space="0" w:color="auto"/>
        <w:bottom w:val="none" w:sz="0" w:space="0" w:color="auto"/>
        <w:right w:val="none" w:sz="0" w:space="0" w:color="auto"/>
      </w:divBdr>
    </w:div>
    <w:div w:id="1333218731">
      <w:bodyDiv w:val="1"/>
      <w:marLeft w:val="0"/>
      <w:marRight w:val="0"/>
      <w:marTop w:val="0"/>
      <w:marBottom w:val="0"/>
      <w:divBdr>
        <w:top w:val="none" w:sz="0" w:space="0" w:color="auto"/>
        <w:left w:val="none" w:sz="0" w:space="0" w:color="auto"/>
        <w:bottom w:val="none" w:sz="0" w:space="0" w:color="auto"/>
        <w:right w:val="none" w:sz="0" w:space="0" w:color="auto"/>
      </w:divBdr>
    </w:div>
    <w:div w:id="1597060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1641</Words>
  <Characters>9354</Characters>
  <Application>Microsoft Office Word</Application>
  <DocSecurity>0</DocSecurity>
  <Lines>77</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 Elfimov</dc:creator>
  <cp:keywords/>
  <dc:description/>
  <cp:lastModifiedBy>Egor Shramov</cp:lastModifiedBy>
  <cp:revision>6</cp:revision>
  <dcterms:created xsi:type="dcterms:W3CDTF">2023-08-21T16:26:00Z</dcterms:created>
  <dcterms:modified xsi:type="dcterms:W3CDTF">2023-10-02T07:29:00Z</dcterms:modified>
</cp:coreProperties>
</file>