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3697EED2" w:rsidR="000435BC" w:rsidRDefault="000435BC" w:rsidP="000435BC">
      <w:pPr>
        <w:jc w:val="center"/>
      </w:pPr>
      <w:r>
        <w:t>DESARROLLO DEL PROCESO DE ANÁLISIS TERMOGRÁFICO</w:t>
      </w:r>
      <w:r>
        <w:t xml:space="preserve"> </w:t>
      </w:r>
      <w:r>
        <w:t>A PANELES FOTOVOLTAICOS MEDIANTE DIGITALIZACIÓN DE IMÁGENES.</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D30169">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D30169">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D30169"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D30169">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D30169">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8908C8">
      <w:pPr>
        <w:pStyle w:val="Ttulo1"/>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8908C8"/>
    <w:p w14:paraId="4DEEC1A1"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kWh/</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D41F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r w:rsidR="00D548DA" w:rsidRPr="00D548DA">
        <w:rPr>
          <w:rFonts w:ascii="Times New Roman" w:eastAsia="Times New Roman" w:hAnsi="Times New Roman" w:cs="Times New Roman"/>
          <w:sz w:val="24"/>
          <w:szCs w:val="24"/>
        </w:rPr>
        <w:t>Bayod Rújula,</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 xml:space="preserve">célula decrece con la temperatura. (Bayod Rújula,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3FBC009D" w14:textId="0BECC154" w:rsidR="003136C3" w:rsidRDefault="00D41F16"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w:t>
      </w:r>
      <w:r w:rsidR="00210D26">
        <w:rPr>
          <w:rFonts w:ascii="Times New Roman" w:eastAsia="Times New Roman" w:hAnsi="Times New Roman" w:cs="Times New Roman"/>
          <w:sz w:val="24"/>
          <w:szCs w:val="24"/>
        </w:rPr>
        <w:lastRenderedPageBreak/>
        <w:t>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082F19">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5C183DF" w14:textId="7CC35599" w:rsidR="008908C8"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D8FC7" w14:textId="7C678C6F" w:rsidR="009555E6" w:rsidRDefault="00FB6F25" w:rsidP="00C73525">
      <w:pPr>
        <w:pStyle w:val="Ttulo1"/>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2B8369D9" w14:textId="77777777" w:rsidR="003136C3" w:rsidRPr="003136C3" w:rsidRDefault="003136C3" w:rsidP="003136C3"/>
    <w:p w14:paraId="3A18CE30" w14:textId="77777777"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64AADFA0" w14:textId="77777777" w:rsidR="009555E6" w:rsidRDefault="00FB6F25" w:rsidP="002E7D62">
      <w:pPr>
        <w:pStyle w:val="Ttulo2"/>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0A51F550" w14:textId="77777777" w:rsidR="00612D84" w:rsidRPr="00612D84" w:rsidRDefault="00612D84" w:rsidP="00612D84"/>
    <w:p w14:paraId="06793588"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081B29FD" w14:textId="681F9FF8" w:rsidR="003136C3" w:rsidRDefault="00FB6F25"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293818E4" w14:textId="53BBD397" w:rsidR="003136C3" w:rsidRPr="003136C3"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lastRenderedPageBreak/>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r w:rsidR="00D30169">
        <w:fldChar w:fldCharType="begin"/>
      </w:r>
      <w:r w:rsidR="00D30169">
        <w:instrText xml:space="preserve"> SEQ Tabla \* ARABIC </w:instrText>
      </w:r>
      <w:r w:rsidR="00D30169">
        <w:fldChar w:fldCharType="separate"/>
      </w:r>
      <w:r w:rsidR="00FA3841">
        <w:rPr>
          <w:noProof/>
        </w:rPr>
        <w:t>1</w:t>
      </w:r>
      <w:r w:rsidR="00D30169">
        <w:rPr>
          <w:noProof/>
        </w:rPr>
        <w:fldChar w:fldCharType="end"/>
      </w:r>
      <w:r>
        <w:t xml:space="preserve"> - Cuadro diagnostico causa efecto.</w:t>
      </w:r>
      <w:bookmarkEnd w:id="7"/>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14:paraId="6D066C75" w14:textId="77777777" w:rsidTr="006A28D2">
        <w:tc>
          <w:tcPr>
            <w:tcW w:w="2338"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77EF275"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2C281E8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6A28D2">
        <w:tc>
          <w:tcPr>
            <w:tcW w:w="2338"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58"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38"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38"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6A28D2">
        <w:tc>
          <w:tcPr>
            <w:tcW w:w="2338"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58"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tc>
          <w:tcPr>
            <w:tcW w:w="2338"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r w:rsidR="00D30169">
        <w:fldChar w:fldCharType="begin"/>
      </w:r>
      <w:r w:rsidR="00D30169">
        <w:instrText xml:space="preserve"> SEQ Ilustración \* ARABIC </w:instrText>
      </w:r>
      <w:r w:rsidR="00D30169">
        <w:fldChar w:fldCharType="separate"/>
      </w:r>
      <w:r w:rsidR="00FA3841">
        <w:rPr>
          <w:noProof/>
        </w:rPr>
        <w:t>1</w:t>
      </w:r>
      <w:r w:rsidR="00D30169">
        <w:rPr>
          <w:noProof/>
        </w:rPr>
        <w:fldChar w:fldCharType="end"/>
      </w:r>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226623B6" w:rsidR="006C25EF" w:rsidRDefault="006C25EF" w:rsidP="006C25EF">
      <w:pPr>
        <w:spacing w:before="240" w:after="240" w:line="480" w:lineRule="auto"/>
        <w:ind w:firstLine="720"/>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microfractura,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6C25EF">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40D57C10" w:rsidR="002E7D62" w:rsidRDefault="002E7D62" w:rsidP="002E7D62">
      <w:pPr>
        <w:pStyle w:val="Ttulo2"/>
        <w:rPr>
          <w:rFonts w:ascii="Times New Roman" w:eastAsia="Times New Roman" w:hAnsi="Times New Roman" w:cs="Times New Roman"/>
          <w:sz w:val="24"/>
          <w:szCs w:val="24"/>
        </w:rPr>
      </w:pPr>
      <w:bookmarkStart w:id="12" w:name="_Toc67148524"/>
      <w:r w:rsidRPr="002965A3">
        <w:rPr>
          <w:rFonts w:ascii="Times New Roman" w:eastAsia="Times New Roman" w:hAnsi="Times New Roman" w:cs="Times New Roman"/>
          <w:sz w:val="24"/>
          <w:szCs w:val="24"/>
        </w:rPr>
        <w:t>OBJETIVOS ESPECÍFICOS.</w:t>
      </w:r>
      <w:bookmarkEnd w:id="12"/>
      <w:r w:rsidRPr="002965A3">
        <w:rPr>
          <w:rFonts w:ascii="Times New Roman" w:eastAsia="Times New Roman" w:hAnsi="Times New Roman" w:cs="Times New Roman"/>
          <w:sz w:val="24"/>
          <w:szCs w:val="24"/>
        </w:rPr>
        <w:t xml:space="preserve"> </w:t>
      </w:r>
    </w:p>
    <w:p w14:paraId="590537DF" w14:textId="77777777" w:rsidR="007B52E5" w:rsidRPr="007B52E5" w:rsidRDefault="007B52E5" w:rsidP="007B52E5"/>
    <w:p w14:paraId="0F3E2AAC" w14:textId="10264495" w:rsidR="007B52E5" w:rsidRPr="00DD60D5" w:rsidRDefault="00D83352" w:rsidP="007B52E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Estudiar </w:t>
      </w:r>
      <w:r w:rsidR="007B52E5">
        <w:rPr>
          <w:rFonts w:ascii="Times New Roman" w:eastAsia="Times New Roman" w:hAnsi="Times New Roman" w:cs="Times New Roman"/>
          <w:sz w:val="24"/>
          <w:szCs w:val="24"/>
        </w:rPr>
        <w:t>los principales indicadores utilizados en el análisis de las imágenes termográficas tomadas a paneles f</w:t>
      </w:r>
      <w:r w:rsidR="00DD60D5">
        <w:rPr>
          <w:rFonts w:ascii="Times New Roman" w:eastAsia="Times New Roman" w:hAnsi="Times New Roman" w:cs="Times New Roman"/>
          <w:sz w:val="24"/>
          <w:szCs w:val="24"/>
        </w:rPr>
        <w:t xml:space="preserve">otovoltaicos y evaluación de su </w:t>
      </w:r>
      <w:r w:rsidR="007B52E5">
        <w:rPr>
          <w:rFonts w:ascii="Times New Roman" w:eastAsia="Times New Roman" w:hAnsi="Times New Roman" w:cs="Times New Roman"/>
          <w:sz w:val="24"/>
          <w:szCs w:val="24"/>
        </w:rPr>
        <w:t xml:space="preserve">implementación en </w:t>
      </w:r>
      <w:r w:rsidR="007B52E5">
        <w:rPr>
          <w:rFonts w:ascii="Times New Roman" w:eastAsia="Times New Roman" w:hAnsi="Times New Roman" w:cs="Times New Roman"/>
          <w:color w:val="000000"/>
          <w:sz w:val="24"/>
          <w:szCs w:val="24"/>
        </w:rPr>
        <w:t>el algoritmo de procesamiento de imágenes</w:t>
      </w:r>
      <w:r w:rsidR="007B52E5">
        <w:rPr>
          <w:rFonts w:ascii="Times New Roman" w:eastAsia="Times New Roman" w:hAnsi="Times New Roman" w:cs="Times New Roman"/>
          <w:sz w:val="24"/>
          <w:szCs w:val="24"/>
        </w:rPr>
        <w:t xml:space="preserve">. </w:t>
      </w:r>
    </w:p>
    <w:p w14:paraId="2721B1A4" w14:textId="77777777" w:rsidR="00DD60D5" w:rsidRPr="001E3B8B"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4D907C32" w14:textId="6B6FB0E2" w:rsidR="00DD60D5" w:rsidRPr="00A35D86" w:rsidRDefault="001E3B8B" w:rsidP="00A35D86">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 las imágenes termográficas tomadas a paneles fotovoltaicos.</w:t>
      </w:r>
    </w:p>
    <w:p w14:paraId="2CAA5F8B" w14:textId="77777777" w:rsidR="00DD60D5"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639FB60E" w14:textId="0EC9BE13" w:rsidR="00F34E18" w:rsidRPr="001035A5" w:rsidRDefault="00F34E18" w:rsidP="00DD60D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4353EE96"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13" w:name="_GoBack"/>
      <w:r>
        <w:rPr>
          <w:noProof/>
          <w:lang w:val="es-ES"/>
        </w:rPr>
        <w:lastRenderedPageBreak/>
        <w:drawing>
          <wp:inline distT="0" distB="0" distL="0" distR="0" wp14:anchorId="05F4BBCD" wp14:editId="61D27B81">
            <wp:extent cx="5944870" cy="2497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2497455"/>
                    </a:xfrm>
                    <a:prstGeom prst="rect">
                      <a:avLst/>
                    </a:prstGeom>
                  </pic:spPr>
                </pic:pic>
              </a:graphicData>
            </a:graphic>
          </wp:inline>
        </w:drawing>
      </w:r>
      <w:bookmarkEnd w:id="13"/>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4" w:name="_Toc67148525"/>
      <w:r w:rsidRPr="002E7D62">
        <w:rPr>
          <w:rFonts w:ascii="Times New Roman" w:eastAsia="Times New Roman" w:hAnsi="Times New Roman" w:cs="Times New Roman"/>
          <w:sz w:val="24"/>
          <w:szCs w:val="24"/>
        </w:rPr>
        <w:t>RESULTADOS Y ALCANCES ESPERADOS.</w:t>
      </w:r>
      <w:bookmarkEnd w:id="14"/>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5" w:name="_Toc66454396"/>
      <w:r>
        <w:t xml:space="preserve">Tabla </w:t>
      </w:r>
      <w:r w:rsidR="00D30169">
        <w:fldChar w:fldCharType="begin"/>
      </w:r>
      <w:r w:rsidR="00D30169">
        <w:instrText xml:space="preserve"> SEQ Tabla \* ARABIC </w:instrText>
      </w:r>
      <w:r w:rsidR="00D30169">
        <w:fldChar w:fldCharType="separate"/>
      </w:r>
      <w:r w:rsidR="00FA3841">
        <w:rPr>
          <w:noProof/>
        </w:rPr>
        <w:t>2</w:t>
      </w:r>
      <w:r w:rsidR="00D30169">
        <w:rPr>
          <w:noProof/>
        </w:rPr>
        <w:fldChar w:fldCharType="end"/>
      </w:r>
      <w:r>
        <w:t xml:space="preserve"> - Resultados y alcances.</w:t>
      </w:r>
      <w:bookmarkEnd w:id="15"/>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62CA30E1" w:rsidR="00EF2F12" w:rsidRDefault="00EF2F12" w:rsidP="002965A3">
      <w:pPr>
        <w:spacing w:line="480" w:lineRule="auto"/>
        <w:rPr>
          <w:rFonts w:ascii="Times New Roman" w:eastAsia="Times New Roman" w:hAnsi="Times New Roman" w:cs="Times New Roman"/>
          <w:sz w:val="24"/>
          <w:szCs w:val="24"/>
        </w:rPr>
      </w:pPr>
    </w:p>
    <w:p w14:paraId="01C21E5B" w14:textId="1FA7485C" w:rsidR="00EF2F12" w:rsidRPr="00731CF8" w:rsidRDefault="00EF2F12" w:rsidP="002965A3">
      <w:pPr>
        <w:spacing w:line="480" w:lineRule="auto"/>
        <w:rPr>
          <w:rFonts w:ascii="Times New Roman" w:eastAsia="Times New Roman" w:hAnsi="Times New Roman" w:cs="Times New Roman"/>
          <w:sz w:val="24"/>
          <w:szCs w:val="24"/>
        </w:rPr>
      </w:pPr>
    </w:p>
    <w:p w14:paraId="3DD4C8A0" w14:textId="4DE6789C" w:rsidR="00903DC6" w:rsidRPr="00731CF8" w:rsidRDefault="00903DC6" w:rsidP="00D14563">
      <w:pPr>
        <w:pStyle w:val="Ttulo1"/>
        <w:rPr>
          <w:rFonts w:ascii="Times New Roman" w:eastAsia="Times New Roman" w:hAnsi="Times New Roman" w:cs="Times New Roman"/>
          <w:sz w:val="24"/>
          <w:szCs w:val="24"/>
        </w:rPr>
      </w:pPr>
      <w:bookmarkStart w:id="16" w:name="_Toc67148526"/>
      <w:r w:rsidRPr="00731CF8">
        <w:rPr>
          <w:rFonts w:ascii="Times New Roman" w:eastAsia="Times New Roman" w:hAnsi="Times New Roman" w:cs="Times New Roman"/>
          <w:sz w:val="24"/>
          <w:szCs w:val="24"/>
        </w:rPr>
        <w:t>MARCO LEGAL</w:t>
      </w:r>
    </w:p>
    <w:p w14:paraId="1DADCC38" w14:textId="2F804820" w:rsidR="00903DC6" w:rsidRPr="00731CF8" w:rsidRDefault="00903DC6" w:rsidP="00903DC6">
      <w:pPr>
        <w:rPr>
          <w:rFonts w:ascii="Times New Roman" w:hAnsi="Times New Roman" w:cs="Times New Roman"/>
        </w:rPr>
      </w:pPr>
    </w:p>
    <w:p w14:paraId="675BCDE9" w14:textId="2A931CFA" w:rsidR="00903DC6" w:rsidRPr="00731CF8" w:rsidRDefault="006C1C84" w:rsidP="00772C2E">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772C2E">
      <w:pPr>
        <w:spacing w:line="480" w:lineRule="auto"/>
        <w:ind w:left="709" w:firstLine="709"/>
        <w:rPr>
          <w:rFonts w:ascii="Times New Roman" w:hAnsi="Times New Roman" w:cs="Times New Roman"/>
          <w:sz w:val="20"/>
          <w:szCs w:val="20"/>
        </w:rPr>
      </w:pPr>
      <w:r w:rsidRPr="00731CF8">
        <w:rPr>
          <w:rFonts w:ascii="Times New Roman" w:hAnsi="Times New Roman" w:cs="Times New Roman"/>
          <w:sz w:val="20"/>
          <w:szCs w:val="20"/>
        </w:rPr>
        <w:lastRenderedPageBreak/>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FA6A8C">
      <w:pPr>
        <w:spacing w:line="480" w:lineRule="auto"/>
        <w:ind w:firstLine="709"/>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731CF8" w:rsidRDefault="004C0FC5" w:rsidP="004C0FC5">
      <w:pPr>
        <w:spacing w:line="480" w:lineRule="auto"/>
        <w:ind w:firstLine="709"/>
        <w:rPr>
          <w:rFonts w:ascii="Times New Roman" w:hAnsi="Times New Roman" w:cs="Times New Roman"/>
          <w:b/>
          <w:bCs/>
          <w:sz w:val="24"/>
          <w:szCs w:val="24"/>
        </w:rPr>
      </w:pPr>
      <w:r w:rsidRPr="00731CF8">
        <w:rPr>
          <w:rFonts w:ascii="Times New Roman" w:hAnsi="Times New Roman" w:cs="Times New Roman"/>
        </w:rPr>
        <w:t xml:space="preserve">La depreciación acelerada es el gasto que la ley permite que sea deducible al momento de declarar el impuesto sobre la renta, esto es una proporción que no puede superar el 20% anual. Todo esto está estipulado en el </w:t>
      </w:r>
      <w:r w:rsidRPr="00731CF8">
        <w:rPr>
          <w:rFonts w:ascii="Times New Roman" w:hAnsi="Times New Roman" w:cs="Times New Roman"/>
          <w:b/>
          <w:bCs/>
          <w:sz w:val="24"/>
          <w:szCs w:val="24"/>
        </w:rPr>
        <w:t>Artículo 14 de la Ley 1715 de 2014.</w:t>
      </w:r>
    </w:p>
    <w:p w14:paraId="4162AD1A" w14:textId="77777777" w:rsidR="000B7AFA" w:rsidRPr="00731CF8" w:rsidRDefault="000B7AFA" w:rsidP="004C0FC5">
      <w:pPr>
        <w:spacing w:line="480" w:lineRule="auto"/>
        <w:ind w:firstLine="709"/>
        <w:rPr>
          <w:rFonts w:ascii="Times New Roman" w:hAnsi="Times New Roman" w:cs="Times New Roman"/>
          <w:sz w:val="24"/>
          <w:szCs w:val="24"/>
        </w:rPr>
      </w:pPr>
    </w:p>
    <w:p w14:paraId="2E444B01" w14:textId="77777777" w:rsidR="000B7AFA" w:rsidRPr="00731CF8" w:rsidRDefault="000B7AFA" w:rsidP="004C0FC5">
      <w:pPr>
        <w:spacing w:line="480" w:lineRule="auto"/>
        <w:ind w:firstLine="709"/>
        <w:rPr>
          <w:rFonts w:ascii="Times New Roman" w:hAnsi="Times New Roman" w:cs="Times New Roman"/>
          <w:sz w:val="24"/>
          <w:szCs w:val="24"/>
        </w:rPr>
      </w:pPr>
    </w:p>
    <w:p w14:paraId="10868E2C" w14:textId="77777777" w:rsidR="000B7AFA" w:rsidRPr="00731CF8" w:rsidRDefault="000B7AFA" w:rsidP="004C0FC5">
      <w:pPr>
        <w:spacing w:line="480" w:lineRule="auto"/>
        <w:ind w:firstLine="709"/>
        <w:rPr>
          <w:rFonts w:ascii="Times New Roman" w:hAnsi="Times New Roman" w:cs="Times New Roman"/>
          <w:sz w:val="24"/>
          <w:szCs w:val="24"/>
        </w:rPr>
      </w:pPr>
    </w:p>
    <w:p w14:paraId="107210F8" w14:textId="02DB3543" w:rsidR="000B7AFA" w:rsidRPr="00731CF8" w:rsidRDefault="000B7AFA" w:rsidP="004C0FC5">
      <w:pPr>
        <w:spacing w:line="480" w:lineRule="auto"/>
        <w:ind w:firstLine="709"/>
        <w:rPr>
          <w:rFonts w:ascii="Times New Roman" w:hAnsi="Times New Roman" w:cs="Times New Roman"/>
          <w:sz w:val="24"/>
          <w:szCs w:val="24"/>
        </w:rPr>
      </w:pPr>
      <w:r w:rsidRPr="00731CF8">
        <w:rPr>
          <w:rFonts w:ascii="Times New Roman" w:hAnsi="Times New Roman" w:cs="Times New Roman"/>
          <w:b/>
          <w:bCs/>
          <w:sz w:val="24"/>
          <w:szCs w:val="24"/>
        </w:rPr>
        <w:t xml:space="preserve">El Decreto 2143 de 2015 </w:t>
      </w:r>
      <w:r w:rsidRPr="00731CF8">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731CF8" w:rsidRDefault="0086765C" w:rsidP="004C0FC5">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 xml:space="preserve">El decreto en la </w:t>
      </w:r>
      <w:r w:rsidR="000B7AFA" w:rsidRPr="00731CF8">
        <w:rPr>
          <w:rFonts w:ascii="Times New Roman" w:hAnsi="Times New Roman" w:cs="Times New Roman"/>
          <w:b/>
          <w:bCs/>
          <w:sz w:val="24"/>
          <w:szCs w:val="24"/>
        </w:rPr>
        <w:t>Sección 2</w:t>
      </w:r>
      <w:r w:rsidR="000B7AFA" w:rsidRPr="00731CF8">
        <w:rPr>
          <w:rFonts w:ascii="Times New Roman" w:hAnsi="Times New Roman" w:cs="Times New Roman"/>
          <w:sz w:val="24"/>
          <w:szCs w:val="24"/>
        </w:rPr>
        <w:t xml:space="preserve"> </w:t>
      </w:r>
      <w:r w:rsidRPr="00731CF8">
        <w:rPr>
          <w:rFonts w:ascii="Times New Roman" w:hAnsi="Times New Roman" w:cs="Times New Roman"/>
          <w:sz w:val="24"/>
          <w:szCs w:val="24"/>
        </w:rPr>
        <w:t>concierta</w:t>
      </w:r>
      <w:r w:rsidR="000B7AFA" w:rsidRPr="00731CF8">
        <w:rPr>
          <w:rFonts w:ascii="Times New Roman" w:hAnsi="Times New Roman" w:cs="Times New Roman"/>
          <w:sz w:val="24"/>
          <w:szCs w:val="24"/>
        </w:rPr>
        <w:t xml:space="preserve">: </w:t>
      </w:r>
    </w:p>
    <w:p w14:paraId="2E96FC1F" w14:textId="21325C6C" w:rsidR="000B7AFA" w:rsidRPr="00731CF8" w:rsidRDefault="000B7AFA" w:rsidP="000B7AFA">
      <w:pPr>
        <w:spacing w:line="480" w:lineRule="auto"/>
        <w:ind w:left="1440" w:firstLine="709"/>
        <w:rPr>
          <w:rFonts w:ascii="Times New Roman" w:hAnsi="Times New Roman" w:cs="Times New Roman"/>
          <w:sz w:val="18"/>
          <w:szCs w:val="18"/>
        </w:rPr>
      </w:pPr>
      <w:r w:rsidRPr="00731CF8">
        <w:rPr>
          <w:rFonts w:ascii="Times New Roman" w:hAnsi="Times New Roman" w:cs="Times New Roman"/>
          <w:b/>
          <w:bCs/>
          <w:sz w:val="20"/>
          <w:szCs w:val="20"/>
          <w:shd w:val="clear" w:color="auto" w:fill="FFFFFF"/>
        </w:rPr>
        <w:t>ARTÍCULO 2.2.3.8.2.1.- Deducción especial en la determinación del impuesto</w:t>
      </w:r>
      <w:r w:rsidRPr="00731CF8">
        <w:rPr>
          <w:rFonts w:ascii="Times New Roman" w:hAnsi="Times New Roman" w:cs="Times New Roman"/>
          <w:sz w:val="20"/>
          <w:szCs w:val="20"/>
          <w:shd w:val="clear" w:color="auto" w:fill="FFFFFF"/>
        </w:rPr>
        <w:t xml:space="preserve"> sobre la renta. Los contribuyentes declarantes del impuesto sobre la renta y complementarios que </w:t>
      </w:r>
      <w:r w:rsidRPr="00731CF8">
        <w:rPr>
          <w:rFonts w:ascii="Times New Roman" w:hAnsi="Times New Roman" w:cs="Times New Roman"/>
          <w:sz w:val="20"/>
          <w:szCs w:val="20"/>
          <w:shd w:val="clear" w:color="auto" w:fill="FFFFFF"/>
        </w:rPr>
        <w:lastRenderedPageBreak/>
        <w:t>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731CF8">
        <w:rPr>
          <w:rFonts w:ascii="Times New Roman" w:hAnsi="Times New Roman" w:cs="Times New Roman"/>
          <w:sz w:val="18"/>
          <w:szCs w:val="18"/>
        </w:rPr>
        <w:t xml:space="preserve"> </w:t>
      </w:r>
      <w:sdt>
        <w:sdtPr>
          <w:rPr>
            <w:rFonts w:ascii="Times New Roman" w:hAnsi="Times New Roman" w:cs="Times New Roman"/>
            <w:sz w:val="18"/>
            <w:szCs w:val="18"/>
          </w:rPr>
          <w:id w:val="629665705"/>
          <w:citation/>
        </w:sdtPr>
        <w:sdtEndPr/>
        <w:sdtContent>
          <w:r w:rsidRPr="00731CF8">
            <w:rPr>
              <w:rFonts w:ascii="Times New Roman" w:hAnsi="Times New Roman" w:cs="Times New Roman"/>
              <w:sz w:val="18"/>
              <w:szCs w:val="18"/>
            </w:rPr>
            <w:fldChar w:fldCharType="begin"/>
          </w:r>
          <w:r w:rsidRPr="00731CF8">
            <w:rPr>
              <w:rFonts w:ascii="Times New Roman" w:hAnsi="Times New Roman" w:cs="Times New Roman"/>
              <w:sz w:val="18"/>
              <w:szCs w:val="18"/>
            </w:rPr>
            <w:instrText xml:space="preserve"> CITATION Gob15 \l 9226 </w:instrText>
          </w:r>
          <w:r w:rsidRPr="00731CF8">
            <w:rPr>
              <w:rFonts w:ascii="Times New Roman" w:hAnsi="Times New Roman" w:cs="Times New Roman"/>
              <w:sz w:val="18"/>
              <w:szCs w:val="18"/>
            </w:rPr>
            <w:fldChar w:fldCharType="separate"/>
          </w:r>
          <w:r w:rsidRPr="00731CF8">
            <w:rPr>
              <w:rFonts w:ascii="Times New Roman" w:hAnsi="Times New Roman" w:cs="Times New Roman"/>
              <w:noProof/>
              <w:sz w:val="18"/>
              <w:szCs w:val="18"/>
            </w:rPr>
            <w:t>(Gobierno de Colombia , 2015)</w:t>
          </w:r>
          <w:r w:rsidRPr="00731CF8">
            <w:rPr>
              <w:rFonts w:ascii="Times New Roman" w:hAnsi="Times New Roman" w:cs="Times New Roman"/>
              <w:sz w:val="18"/>
              <w:szCs w:val="18"/>
            </w:rPr>
            <w:fldChar w:fldCharType="end"/>
          </w:r>
        </w:sdtContent>
      </w:sdt>
    </w:p>
    <w:p w14:paraId="4E0D72BB" w14:textId="38B205BE" w:rsidR="00CB1AEB" w:rsidRPr="00731CF8" w:rsidRDefault="00F71207" w:rsidP="004C0FC5">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En esta misma sección se nombra</w:t>
      </w:r>
      <w:r w:rsidR="00CA6904" w:rsidRPr="00731CF8">
        <w:rPr>
          <w:rFonts w:ascii="Times New Roman" w:hAnsi="Times New Roman" w:cs="Times New Roman"/>
          <w:sz w:val="24"/>
          <w:szCs w:val="24"/>
        </w:rPr>
        <w:t>n</w:t>
      </w:r>
      <w:r w:rsidRPr="00731CF8">
        <w:rPr>
          <w:rFonts w:ascii="Times New Roman" w:hAnsi="Times New Roman" w:cs="Times New Roman"/>
          <w:sz w:val="24"/>
          <w:szCs w:val="24"/>
        </w:rPr>
        <w:t xml:space="preserve"> los requisitos para acceder a este incentivo y los alcances de la aplicación de la deducción especial. </w:t>
      </w:r>
    </w:p>
    <w:p w14:paraId="110EE428" w14:textId="5FBF6F89" w:rsidR="004C0FC5" w:rsidRPr="00731CF8" w:rsidRDefault="00CA6904" w:rsidP="00FA6A8C">
      <w:pPr>
        <w:spacing w:line="480" w:lineRule="auto"/>
        <w:ind w:firstLine="709"/>
        <w:rPr>
          <w:rFonts w:ascii="Times New Roman" w:hAnsi="Times New Roman" w:cs="Times New Roman"/>
          <w:sz w:val="24"/>
          <w:szCs w:val="24"/>
          <w:shd w:val="clear" w:color="auto" w:fill="FFFFFF"/>
        </w:rPr>
      </w:pPr>
      <w:r w:rsidRPr="00731CF8">
        <w:rPr>
          <w:rFonts w:ascii="Times New Roman" w:hAnsi="Times New Roman" w:cs="Times New Roman"/>
          <w:sz w:val="24"/>
          <w:szCs w:val="24"/>
        </w:rPr>
        <w:t xml:space="preserve">En la </w:t>
      </w:r>
      <w:r w:rsidRPr="00731CF8">
        <w:rPr>
          <w:rFonts w:ascii="Times New Roman" w:hAnsi="Times New Roman" w:cs="Times New Roman"/>
          <w:b/>
          <w:bCs/>
          <w:sz w:val="24"/>
          <w:szCs w:val="24"/>
        </w:rPr>
        <w:t xml:space="preserve">Sección 3 </w:t>
      </w:r>
      <w:r w:rsidR="00A96DB1" w:rsidRPr="00731CF8">
        <w:rPr>
          <w:rFonts w:ascii="Times New Roman" w:hAnsi="Times New Roman" w:cs="Times New Roman"/>
          <w:sz w:val="24"/>
          <w:szCs w:val="24"/>
        </w:rPr>
        <w:t>se estipula</w:t>
      </w:r>
      <w:r w:rsidR="008E65FB" w:rsidRPr="00731CF8">
        <w:rPr>
          <w:rFonts w:ascii="Times New Roman" w:hAnsi="Times New Roman" w:cs="Times New Roman"/>
          <w:sz w:val="24"/>
          <w:szCs w:val="24"/>
        </w:rPr>
        <w:t xml:space="preserve"> el beneficio de exclusión de bienes y servicios de IVA</w:t>
      </w:r>
      <w:r w:rsidR="00A96DB1" w:rsidRPr="00731CF8">
        <w:rPr>
          <w:rFonts w:ascii="Times New Roman" w:hAnsi="Times New Roman" w:cs="Times New Roman"/>
          <w:sz w:val="24"/>
          <w:szCs w:val="24"/>
        </w:rPr>
        <w:t xml:space="preserve">. Indica que se excluyen del IVA toda compra de equipos, elementos, servicios o cualquier recurso para la utilización de </w:t>
      </w:r>
      <w:r w:rsidR="00A96DB1" w:rsidRPr="00731CF8">
        <w:rPr>
          <w:rFonts w:ascii="Times New Roman" w:hAnsi="Times New Roman" w:cs="Times New Roman"/>
          <w:sz w:val="24"/>
          <w:szCs w:val="24"/>
          <w:shd w:val="clear" w:color="auto" w:fill="FFFFFF"/>
        </w:rPr>
        <w:t xml:space="preserve">Fuentes No Convencionales de Energía. </w:t>
      </w:r>
    </w:p>
    <w:p w14:paraId="4E26CB9C" w14:textId="16AC2380" w:rsidR="00A96DB1" w:rsidRPr="00731CF8" w:rsidRDefault="00A96DB1"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 xml:space="preserve">Siguiendo los lineamientos de la Ley, </w:t>
      </w:r>
      <w:r w:rsidR="00E07070" w:rsidRPr="00731CF8">
        <w:rPr>
          <w:rFonts w:ascii="Times New Roman" w:hAnsi="Times New Roman" w:cs="Times New Roman"/>
          <w:sz w:val="24"/>
          <w:szCs w:val="24"/>
          <w:shd w:val="clear" w:color="auto" w:fill="FFFFFF"/>
        </w:rPr>
        <w:t>e</w:t>
      </w:r>
      <w:r w:rsidRPr="00731CF8">
        <w:rPr>
          <w:rFonts w:ascii="Times New Roman" w:hAnsi="Times New Roman" w:cs="Times New Roman"/>
          <w:sz w:val="24"/>
          <w:szCs w:val="24"/>
          <w:shd w:val="clear" w:color="auto" w:fill="FFFFFF"/>
        </w:rPr>
        <w:t xml:space="preserve">s importante destacar </w:t>
      </w:r>
      <w:r w:rsidR="00731CF8" w:rsidRPr="00731CF8">
        <w:rPr>
          <w:rFonts w:ascii="Times New Roman" w:hAnsi="Times New Roman" w:cs="Times New Roman"/>
          <w:sz w:val="24"/>
          <w:szCs w:val="24"/>
          <w:shd w:val="clear" w:color="auto" w:fill="FFFFFF"/>
        </w:rPr>
        <w:t>que se debe contar</w:t>
      </w:r>
      <w:r w:rsidRPr="00731CF8">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Pr>
          <w:rFonts w:ascii="Times New Roman" w:hAnsi="Times New Roman" w:cs="Times New Roman"/>
          <w:sz w:val="24"/>
          <w:szCs w:val="24"/>
          <w:shd w:val="clear" w:color="auto" w:fill="FFFFFF"/>
        </w:rPr>
        <w:t>este</w:t>
      </w:r>
      <w:r w:rsidRPr="00731CF8">
        <w:rPr>
          <w:rFonts w:ascii="Times New Roman" w:hAnsi="Times New Roman" w:cs="Times New Roman"/>
          <w:sz w:val="24"/>
          <w:szCs w:val="24"/>
          <w:shd w:val="clear" w:color="auto" w:fill="FFFFFF"/>
        </w:rPr>
        <w:t xml:space="preserve"> se basa en el listado elaborado por la UPME.</w:t>
      </w:r>
      <w:r w:rsidR="0021273C">
        <w:rPr>
          <w:rFonts w:ascii="Times New Roman" w:hAnsi="Times New Roman" w:cs="Times New Roman"/>
          <w:sz w:val="24"/>
          <w:szCs w:val="24"/>
          <w:shd w:val="clear" w:color="auto" w:fill="FFFFFF"/>
        </w:rPr>
        <w:t xml:space="preserve"> </w:t>
      </w:r>
      <w:r w:rsidR="0021273C" w:rsidRPr="0021273C">
        <w:rPr>
          <w:rFonts w:ascii="Times New Roman" w:hAnsi="Times New Roman" w:cs="Times New Roman"/>
          <w:sz w:val="24"/>
          <w:szCs w:val="24"/>
        </w:rPr>
        <w:t xml:space="preserve">El procedimiento detallado y la documentación requerida puede consultarse en la </w:t>
      </w:r>
      <w:r w:rsidR="0021273C" w:rsidRPr="0021273C">
        <w:rPr>
          <w:rFonts w:ascii="Times New Roman" w:hAnsi="Times New Roman" w:cs="Times New Roman"/>
          <w:b/>
          <w:bCs/>
          <w:sz w:val="24"/>
          <w:szCs w:val="24"/>
        </w:rPr>
        <w:t>Resolución 1283 de 2016</w:t>
      </w:r>
      <w:r w:rsidR="0021273C">
        <w:rPr>
          <w:rFonts w:ascii="Times New Roman" w:hAnsi="Times New Roman" w:cs="Times New Roman"/>
          <w:b/>
          <w:bCs/>
          <w:sz w:val="24"/>
          <w:szCs w:val="24"/>
        </w:rPr>
        <w:t>.</w:t>
      </w:r>
    </w:p>
    <w:p w14:paraId="4F7F5C52" w14:textId="77777777" w:rsidR="00296644" w:rsidRPr="00FA6A8C" w:rsidRDefault="00296644" w:rsidP="00FA6A8C">
      <w:pPr>
        <w:spacing w:line="480" w:lineRule="auto"/>
        <w:ind w:firstLine="709"/>
        <w:rPr>
          <w:rFonts w:ascii="Times New Roman" w:hAnsi="Times New Roman" w:cs="Times New Roman"/>
          <w:sz w:val="28"/>
          <w:szCs w:val="28"/>
        </w:rPr>
      </w:pPr>
    </w:p>
    <w:p w14:paraId="4BA318A2" w14:textId="77777777" w:rsidR="00903DC6" w:rsidRDefault="00903DC6">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p w14:paraId="61EA4B8F" w14:textId="272182C9" w:rsidR="00EF2F12" w:rsidRDefault="007F35E3" w:rsidP="00D14563">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BIBLIOGRAFÍA</w:t>
      </w:r>
      <w:r w:rsidR="003B5177">
        <w:rPr>
          <w:rFonts w:ascii="Times New Roman" w:eastAsia="Times New Roman" w:hAnsi="Times New Roman" w:cs="Times New Roman"/>
          <w:sz w:val="24"/>
          <w:szCs w:val="24"/>
        </w:rPr>
        <w:t>.</w:t>
      </w:r>
      <w:bookmarkEnd w:id="16"/>
    </w:p>
    <w:p w14:paraId="743E89BE" w14:textId="77777777" w:rsidR="00B45ABC" w:rsidRPr="00B45ABC" w:rsidRDefault="00B45ABC" w:rsidP="00B45ABC"/>
    <w:p w14:paraId="10FFA7DC" w14:textId="4FC26D80" w:rsidR="007F35E3" w:rsidRDefault="007F35E3" w:rsidP="007F35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1"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3B51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2"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3" w:history="1">
        <w:r w:rsidRPr="000435DB">
          <w:rPr>
            <w:rStyle w:val="Hipervnculo"/>
            <w:rFonts w:ascii="Times New Roman" w:eastAsia="Times New Roman" w:hAnsi="Times New Roman" w:cs="Times New Roman"/>
            <w:sz w:val="24"/>
            <w:szCs w:val="24"/>
          </w:rPr>
          <w:t>https://n9.cl/7bqe</w:t>
        </w:r>
      </w:hyperlink>
    </w:p>
    <w:p w14:paraId="3A9B5BD9" w14:textId="69BDE8C8" w:rsidR="00D41F16" w:rsidRDefault="00D41F16" w:rsidP="003B5177">
      <w:pPr>
        <w:spacing w:line="480" w:lineRule="auto"/>
        <w:ind w:firstLine="720"/>
        <w:rPr>
          <w:rFonts w:ascii="Times New Roman" w:eastAsia="Times New Roman" w:hAnsi="Times New Roman" w:cs="Times New Roman"/>
          <w:sz w:val="24"/>
          <w:szCs w:val="24"/>
        </w:rPr>
      </w:pPr>
      <w:r w:rsidRPr="00D41F16">
        <w:rPr>
          <w:rFonts w:ascii="Times New Roman" w:eastAsia="Times New Roman" w:hAnsi="Times New Roman" w:cs="Times New Roman"/>
          <w:sz w:val="24"/>
          <w:szCs w:val="24"/>
        </w:rPr>
        <w:t xml:space="preserve">Bayod Rújula, Á. A. (2009). Energías renovables: sistemas fotovoltaicos. Prensas de la Universidad de Zaragoza. </w:t>
      </w:r>
      <w:hyperlink r:id="rId14" w:history="1">
        <w:r w:rsidRPr="000435DB">
          <w:rPr>
            <w:rStyle w:val="Hipervnculo"/>
            <w:rFonts w:ascii="Times New Roman" w:eastAsia="Times New Roman" w:hAnsi="Times New Roman" w:cs="Times New Roman"/>
            <w:sz w:val="24"/>
            <w:szCs w:val="24"/>
          </w:rPr>
          <w:t>https://elibro.net/es/ereader/uniajc/41940?page=53</w:t>
        </w:r>
      </w:hyperlink>
    </w:p>
    <w:p w14:paraId="5F57D4A6" w14:textId="28A894EE" w:rsidR="00D41F16" w:rsidRDefault="00D41F16" w:rsidP="003B5177">
      <w:pPr>
        <w:spacing w:line="480" w:lineRule="auto"/>
        <w:ind w:firstLine="720"/>
        <w:rPr>
          <w:rFonts w:ascii="Times New Roman" w:eastAsia="Times New Roman" w:hAnsi="Times New Roman" w:cs="Times New Roman"/>
          <w:sz w:val="24"/>
          <w:szCs w:val="24"/>
        </w:rPr>
      </w:pPr>
    </w:p>
    <w:p w14:paraId="666637F7" w14:textId="7A7DDFD6" w:rsidR="009061E7" w:rsidRDefault="009061E7" w:rsidP="003B5177">
      <w:pPr>
        <w:spacing w:line="480" w:lineRule="auto"/>
        <w:ind w:firstLine="720"/>
        <w:rPr>
          <w:rFonts w:ascii="Times New Roman" w:eastAsia="Times New Roman" w:hAnsi="Times New Roman" w:cs="Times New Roman"/>
          <w:sz w:val="24"/>
          <w:szCs w:val="24"/>
        </w:rPr>
      </w:pPr>
    </w:p>
    <w:p w14:paraId="176EBD2F"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9061E7">
      <w:pPr>
        <w:spacing w:line="480" w:lineRule="auto"/>
        <w:ind w:firstLine="720"/>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5"/>
      <w:pgSz w:w="12242" w:h="15842"/>
      <w:pgMar w:top="1440" w:right="1440" w:bottom="1440" w:left="1440" w:header="709" w:footer="709"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86309" w16cid:durableId="240CC3EB"/>
  <w16cid:commentId w16cid:paraId="5C77131F" w16cid:durableId="240CC3ED"/>
  <w16cid:commentId w16cid:paraId="0BC36F19" w16cid:durableId="240CC3EE"/>
  <w16cid:commentId w16cid:paraId="18FE57E3" w16cid:durableId="240CC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17F07" w14:textId="77777777" w:rsidR="00D30169" w:rsidRDefault="00D30169">
      <w:pPr>
        <w:spacing w:after="0" w:line="240" w:lineRule="auto"/>
      </w:pPr>
      <w:r>
        <w:separator/>
      </w:r>
    </w:p>
  </w:endnote>
  <w:endnote w:type="continuationSeparator" w:id="0">
    <w:p w14:paraId="173A4AFD" w14:textId="77777777" w:rsidR="00D30169" w:rsidRDefault="00D3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2B7B3" w14:textId="77777777" w:rsidR="00D30169" w:rsidRDefault="00D30169">
      <w:pPr>
        <w:spacing w:after="0" w:line="240" w:lineRule="auto"/>
      </w:pPr>
      <w:r>
        <w:separator/>
      </w:r>
    </w:p>
  </w:footnote>
  <w:footnote w:type="continuationSeparator" w:id="0">
    <w:p w14:paraId="793AB689" w14:textId="77777777" w:rsidR="00D30169" w:rsidRDefault="00D3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736B28A6"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35A5">
      <w:rPr>
        <w:noProof/>
        <w:color w:val="000000"/>
      </w:rPr>
      <w:t>11</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304FD"/>
    <w:rsid w:val="00263AD5"/>
    <w:rsid w:val="002965A3"/>
    <w:rsid w:val="00296644"/>
    <w:rsid w:val="002B35F5"/>
    <w:rsid w:val="002E307D"/>
    <w:rsid w:val="002E7D62"/>
    <w:rsid w:val="003136C3"/>
    <w:rsid w:val="00346536"/>
    <w:rsid w:val="003677AC"/>
    <w:rsid w:val="003902C7"/>
    <w:rsid w:val="003920E1"/>
    <w:rsid w:val="003975B8"/>
    <w:rsid w:val="003A6DF7"/>
    <w:rsid w:val="003B5177"/>
    <w:rsid w:val="003D472D"/>
    <w:rsid w:val="0040330D"/>
    <w:rsid w:val="00413889"/>
    <w:rsid w:val="00475C8A"/>
    <w:rsid w:val="00493B1C"/>
    <w:rsid w:val="004C0FC5"/>
    <w:rsid w:val="004C1B93"/>
    <w:rsid w:val="0051230F"/>
    <w:rsid w:val="0052563C"/>
    <w:rsid w:val="00532664"/>
    <w:rsid w:val="00545153"/>
    <w:rsid w:val="0055345B"/>
    <w:rsid w:val="00560C88"/>
    <w:rsid w:val="00575296"/>
    <w:rsid w:val="00575CA8"/>
    <w:rsid w:val="005801FE"/>
    <w:rsid w:val="00584532"/>
    <w:rsid w:val="005B3C52"/>
    <w:rsid w:val="005B4FC1"/>
    <w:rsid w:val="005E2950"/>
    <w:rsid w:val="00612D84"/>
    <w:rsid w:val="006277C8"/>
    <w:rsid w:val="00652AFE"/>
    <w:rsid w:val="00662F3D"/>
    <w:rsid w:val="00680AEF"/>
    <w:rsid w:val="006A28D2"/>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C7140"/>
    <w:rsid w:val="009C76FC"/>
    <w:rsid w:val="009D6D44"/>
    <w:rsid w:val="00A005EB"/>
    <w:rsid w:val="00A25812"/>
    <w:rsid w:val="00A35D86"/>
    <w:rsid w:val="00A5265E"/>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73525"/>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D1E02"/>
    <w:rsid w:val="00DD24C5"/>
    <w:rsid w:val="00DD60D5"/>
    <w:rsid w:val="00DE61B3"/>
    <w:rsid w:val="00E07070"/>
    <w:rsid w:val="00E72419"/>
    <w:rsid w:val="00E737E8"/>
    <w:rsid w:val="00E74BFE"/>
    <w:rsid w:val="00ED5566"/>
    <w:rsid w:val="00EF2F12"/>
    <w:rsid w:val="00F02C0B"/>
    <w:rsid w:val="00F04D35"/>
    <w:rsid w:val="00F06973"/>
    <w:rsid w:val="00F20C12"/>
    <w:rsid w:val="00F2637D"/>
    <w:rsid w:val="00F3463E"/>
    <w:rsid w:val="00F34E18"/>
    <w:rsid w:val="00F40C2F"/>
    <w:rsid w:val="00F71207"/>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9.cl/7bq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u1j4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dd8t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ibro.net/es/ereader/uniajc/41940?page=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E4047D-C19C-437D-B3BB-C851D2CA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2057</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19</cp:revision>
  <cp:lastPrinted>2021-03-13T00:24:00Z</cp:lastPrinted>
  <dcterms:created xsi:type="dcterms:W3CDTF">2021-04-06T15:23:00Z</dcterms:created>
  <dcterms:modified xsi:type="dcterms:W3CDTF">2021-04-06T19:13:00Z</dcterms:modified>
</cp:coreProperties>
</file>