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9DA" w:rsidRDefault="00813AF4" w:rsidP="00813AF4">
      <w:pPr>
        <w:jc w:val="center"/>
      </w:pPr>
      <w:r>
        <w:t>MARCO CONTEXTUAL</w:t>
      </w:r>
      <w:r w:rsidR="00B447D6">
        <w:t>.</w:t>
      </w:r>
    </w:p>
    <w:p w:rsidR="00B447D6" w:rsidRDefault="00BE5FBD" w:rsidP="00B447D6">
      <w:r>
        <w:t>Factor</w:t>
      </w:r>
      <w:r w:rsidR="00B447D6">
        <w:t xml:space="preserve"> histórico.</w:t>
      </w:r>
    </w:p>
    <w:p w:rsidR="00597601" w:rsidRDefault="00A50310" w:rsidP="00597601">
      <w:pPr>
        <w:jc w:val="both"/>
      </w:pPr>
      <w:r>
        <w:t>La e</w:t>
      </w:r>
      <w:r w:rsidR="00207362">
        <w:t xml:space="preserve">nergía fotovoltaica tiene sus inicios a mediados del siglo XIX. En 1839, el francés </w:t>
      </w:r>
      <w:r w:rsidR="00207362">
        <w:t>Edmund Becquerel</w:t>
      </w:r>
      <w:r w:rsidR="00207362">
        <w:t xml:space="preserve"> descubre el efecto fotoeléctrico, lo cual despertó el interés de la comunidad científica por el aumento de la generación eléctrica co</w:t>
      </w:r>
      <w:r w:rsidR="00E90893">
        <w:t>n la luz. L</w:t>
      </w:r>
      <w:r w:rsidR="00D96D12">
        <w:t>os primeros desarrollos importantes de sistemas fotovoltaicos se consolidaron en el siglo</w:t>
      </w:r>
      <w:r w:rsidR="00E90893">
        <w:t xml:space="preserve"> XX alrededor de</w:t>
      </w:r>
      <w:r w:rsidR="00D96D12">
        <w:t xml:space="preserve"> los cincuenta, </w:t>
      </w:r>
      <w:r w:rsidR="00E90893">
        <w:t xml:space="preserve">donde </w:t>
      </w:r>
      <w:r w:rsidR="00D96D12">
        <w:t xml:space="preserve">se produce la primera célula de </w:t>
      </w:r>
      <w:r w:rsidR="00D96D12">
        <w:t>silicio en los laboratorios Bell, New Jersey</w:t>
      </w:r>
      <w:r w:rsidR="00E90893">
        <w:t>,</w:t>
      </w:r>
      <w:r w:rsidR="00D96D12">
        <w:t xml:space="preserve"> aportando significativamente a los programas espaciales</w:t>
      </w:r>
      <w:r w:rsidR="00813AF4">
        <w:t>.</w:t>
      </w:r>
      <w:r w:rsidR="001818EA">
        <w:t xml:space="preserve"> En 1963, la fabricante de electrónica Sharp implementa las células de silicios en módulos; </w:t>
      </w:r>
      <w:r w:rsidR="00B43E13">
        <w:t xml:space="preserve">instalando </w:t>
      </w:r>
      <w:r w:rsidR="001818EA">
        <w:t xml:space="preserve">un sistema </w:t>
      </w:r>
      <w:r w:rsidR="00B43E13">
        <w:t xml:space="preserve">fotovoltaico en un faro en </w:t>
      </w:r>
      <w:r w:rsidR="00597601">
        <w:t>Japón.</w:t>
      </w:r>
      <w:sdt>
        <w:sdtPr>
          <w:id w:val="163064287"/>
          <w:citation/>
        </w:sdtPr>
        <w:sdtContent>
          <w:r w:rsidR="00597601">
            <w:fldChar w:fldCharType="begin"/>
          </w:r>
          <w:r w:rsidR="00597601">
            <w:rPr>
              <w:lang w:val="es-CO"/>
            </w:rPr>
            <w:instrText xml:space="preserve"> CITATION Bay09 \l 9226 </w:instrText>
          </w:r>
          <w:r w:rsidR="00597601">
            <w:fldChar w:fldCharType="separate"/>
          </w:r>
          <w:r w:rsidR="00597601">
            <w:rPr>
              <w:noProof/>
              <w:lang w:val="es-CO"/>
            </w:rPr>
            <w:t xml:space="preserve"> (Bayod Rújula, 2009)</w:t>
          </w:r>
          <w:r w:rsidR="00597601">
            <w:fldChar w:fldCharType="end"/>
          </w:r>
        </w:sdtContent>
      </w:sdt>
      <w:r w:rsidR="002557B3">
        <w:t>.</w:t>
      </w:r>
    </w:p>
    <w:p w:rsidR="000A20EF" w:rsidRDefault="006C1428" w:rsidP="00597601">
      <w:pPr>
        <w:jc w:val="both"/>
      </w:pPr>
      <w:r>
        <w:t>En Colombia, los sistemas foto</w:t>
      </w:r>
      <w:r w:rsidR="00EA42D2">
        <w:t xml:space="preserve">voltaicos en un principio se enfocaron en el sector rural, donde la interconexión a la Red de distribución eléctrica nacional es precaria o nula. </w:t>
      </w:r>
      <w:r w:rsidR="00E90893">
        <w:t xml:space="preserve">La primera </w:t>
      </w:r>
      <w:r w:rsidR="00EA42D2">
        <w:t xml:space="preserve">implementación de generación solar fotovoltaica nació con Telecom a comienzos de la década del 80 </w:t>
      </w:r>
      <w:r w:rsidR="00BE5FBD">
        <w:t>en</w:t>
      </w:r>
      <w:r w:rsidR="00EA42D2">
        <w:t xml:space="preserve"> el programa Telecomunicaciones rurales; dejando al termino de 1983</w:t>
      </w:r>
      <w:r w:rsidR="00EA5C1E">
        <w:t>,</w:t>
      </w:r>
      <w:r w:rsidR="00EA42D2">
        <w:t xml:space="preserve"> 2950</w:t>
      </w:r>
      <w:r w:rsidR="00EA5C1E">
        <w:t xml:space="preserve"> pequeños generadores fotovoltaicos de 60Wp (Vatio Pico)</w:t>
      </w:r>
      <w:r w:rsidR="00A50310">
        <w:t>.</w:t>
      </w:r>
      <w:r w:rsidR="003E1624">
        <w:t xml:space="preserve"> Durante las últimas 2 décadas, Han aumentado las instalaciones de este tipo con financiación gubernamental; el </w:t>
      </w:r>
      <w:r w:rsidR="003E1624">
        <w:t>Fondo de Apoyo Financiero para la Energización d</w:t>
      </w:r>
      <w:r w:rsidR="003E1624">
        <w:t xml:space="preserve">e las Zonas No Interconectadas </w:t>
      </w:r>
      <w:r w:rsidR="003E1624">
        <w:t>FAZNI</w:t>
      </w:r>
      <w:r w:rsidR="003E1624">
        <w:t xml:space="preserve">, </w:t>
      </w:r>
      <w:r w:rsidR="00E90893">
        <w:t xml:space="preserve">el </w:t>
      </w:r>
      <w:r w:rsidR="003E1624" w:rsidRPr="003E1624">
        <w:t>Instituto para la Promoción de Soluciones Energéticas</w:t>
      </w:r>
      <w:r w:rsidR="003E1624">
        <w:t xml:space="preserve"> </w:t>
      </w:r>
      <w:r w:rsidR="003E1624">
        <w:t>IPSE</w:t>
      </w:r>
      <w:r w:rsidR="003E1624">
        <w:t xml:space="preserve"> y l</w:t>
      </w:r>
      <w:r w:rsidR="003E1624" w:rsidRPr="003E1624">
        <w:t>a Unidad de Planeación Minero Energética</w:t>
      </w:r>
      <w:r w:rsidR="003E1624">
        <w:t xml:space="preserve"> UPME, son fondos y entidades creadas para fortalecer </w:t>
      </w:r>
      <w:r w:rsidR="000A20EF">
        <w:t>la energización eléctrica en el campo colombiano.</w:t>
      </w:r>
      <w:sdt>
        <w:sdtPr>
          <w:id w:val="1230274878"/>
          <w:citation/>
        </w:sdtPr>
        <w:sdtContent>
          <w:r w:rsidR="000A20EF">
            <w:fldChar w:fldCharType="begin"/>
          </w:r>
          <w:r w:rsidR="000A20EF">
            <w:rPr>
              <w:lang w:val="es-CO"/>
            </w:rPr>
            <w:instrText xml:space="preserve">CITATION Rod09 \l 9226 </w:instrText>
          </w:r>
          <w:r w:rsidR="000A20EF">
            <w:fldChar w:fldCharType="separate"/>
          </w:r>
          <w:r w:rsidR="000A20EF">
            <w:rPr>
              <w:noProof/>
              <w:lang w:val="es-CO"/>
            </w:rPr>
            <w:t xml:space="preserve"> (Rodríguez Murcia, 2009)</w:t>
          </w:r>
          <w:r w:rsidR="000A20EF">
            <w:fldChar w:fldCharType="end"/>
          </w:r>
        </w:sdtContent>
      </w:sdt>
      <w:r w:rsidR="000A20EF">
        <w:t>.</w:t>
      </w:r>
    </w:p>
    <w:p w:rsidR="000A20EF" w:rsidRDefault="000A20EF" w:rsidP="000A20EF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120B80F" wp14:editId="3ECF9071">
            <wp:extent cx="4010025" cy="2524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EF" w:rsidRDefault="000A20EF" w:rsidP="000A20EF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E41FA">
        <w:rPr>
          <w:noProof/>
        </w:rPr>
        <w:t>1</w:t>
      </w:r>
      <w:r>
        <w:fldChar w:fldCharType="end"/>
      </w:r>
      <w:r w:rsidRPr="000F68EA">
        <w:t xml:space="preserve">Ilustración 1 Sistema fotovoltaico de 3.4 </w:t>
      </w:r>
      <w:proofErr w:type="spellStart"/>
      <w:r w:rsidRPr="000F68EA">
        <w:t>kWp</w:t>
      </w:r>
      <w:proofErr w:type="spellEnd"/>
      <w:r w:rsidRPr="000F68EA">
        <w:t xml:space="preserve"> del Oleoducto Caño Limón</w:t>
      </w:r>
      <w:r>
        <w:t xml:space="preserve"> </w:t>
      </w:r>
      <w:r w:rsidRPr="000F68EA">
        <w:t>Coveñas. En operación desde hace más de 20 años. Fuente</w:t>
      </w:r>
      <w:r>
        <w:t>: Rodríguez</w:t>
      </w:r>
      <w:r w:rsidRPr="000F68EA">
        <w:t xml:space="preserve"> Murcia, 2009</w:t>
      </w:r>
      <w:r>
        <w:t>.</w:t>
      </w:r>
    </w:p>
    <w:p w:rsidR="000A20EF" w:rsidRDefault="00BE5FBD" w:rsidP="000A20EF">
      <w:r>
        <w:t>Factor</w:t>
      </w:r>
      <w:r w:rsidR="00C762F6">
        <w:t xml:space="preserve"> </w:t>
      </w:r>
      <w:r w:rsidR="007D25B2">
        <w:t>Político</w:t>
      </w:r>
      <w:r w:rsidR="000A20EF">
        <w:t>.</w:t>
      </w:r>
    </w:p>
    <w:p w:rsidR="00817DC3" w:rsidRDefault="007D25B2" w:rsidP="007D25B2">
      <w:pPr>
        <w:jc w:val="both"/>
      </w:pPr>
      <w:r>
        <w:t>La sostenibilidad energética es un concepto trasversal a todos los num</w:t>
      </w:r>
      <w:r>
        <w:t xml:space="preserve">erales planteados por la </w:t>
      </w:r>
      <w:r>
        <w:t>ONU en los ODS (objetivos de desar</w:t>
      </w:r>
      <w:r>
        <w:t xml:space="preserve">rollos sostenibles). La energía </w:t>
      </w:r>
      <w:r w:rsidR="00BE5FBD">
        <w:t>eléctrica</w:t>
      </w:r>
      <w:r>
        <w:t xml:space="preserve">, es el motor </w:t>
      </w:r>
      <w:r>
        <w:t>de evolución y bienest</w:t>
      </w:r>
      <w:r>
        <w:t xml:space="preserve">ar de las personas en cualquier </w:t>
      </w:r>
      <w:r>
        <w:t>contex</w:t>
      </w:r>
      <w:r>
        <w:t xml:space="preserve">to, por lo tanto, es un derecho </w:t>
      </w:r>
      <w:r>
        <w:t>fundame</w:t>
      </w:r>
      <w:r>
        <w:t xml:space="preserve">ntal que debe ir empujando cada </w:t>
      </w:r>
      <w:r>
        <w:t>gobie</w:t>
      </w:r>
      <w:r w:rsidR="00817DC3">
        <w:t>rno.</w:t>
      </w:r>
    </w:p>
    <w:p w:rsidR="00817DC3" w:rsidRDefault="00817DC3" w:rsidP="007D25B2">
      <w:pPr>
        <w:jc w:val="both"/>
      </w:pPr>
    </w:p>
    <w:p w:rsidR="00817DC3" w:rsidRDefault="00817DC3" w:rsidP="007D25B2">
      <w:pPr>
        <w:jc w:val="both"/>
      </w:pPr>
    </w:p>
    <w:p w:rsidR="007D25B2" w:rsidRDefault="007D25B2" w:rsidP="007D25B2">
      <w:pPr>
        <w:jc w:val="both"/>
      </w:pPr>
      <w:r>
        <w:lastRenderedPageBreak/>
        <w:t>En Colombia,</w:t>
      </w:r>
      <w:r>
        <w:t xml:space="preserve"> la constitución política en su versión de 1991</w:t>
      </w:r>
      <w:r w:rsidR="00BE5FBD">
        <w:t>,</w:t>
      </w:r>
      <w:r>
        <w:t xml:space="preserve"> establece en </w:t>
      </w:r>
      <w:r>
        <w:t>el artículo 345, en cuanto a los servicios públicos; “</w:t>
      </w:r>
      <w:r>
        <w:t xml:space="preserve">Es deber del estado asegurar su </w:t>
      </w:r>
      <w:r>
        <w:t>prestación eficiente a todos los habit</w:t>
      </w:r>
      <w:r>
        <w:t xml:space="preserve">antes del territorio nacional”. </w:t>
      </w:r>
      <w:r>
        <w:t>Evidencias de esta</w:t>
      </w:r>
      <w:r>
        <w:t xml:space="preserve"> </w:t>
      </w:r>
      <w:r>
        <w:t xml:space="preserve">labor </w:t>
      </w:r>
      <w:r w:rsidR="00E90893">
        <w:t>estatal</w:t>
      </w:r>
      <w:r>
        <w:t xml:space="preserve"> se encuentra en el CONPES 91</w:t>
      </w:r>
      <w:r w:rsidR="00BE5FBD">
        <w:t>,</w:t>
      </w:r>
      <w:r>
        <w:t xml:space="preserve"> donde </w:t>
      </w:r>
      <w:r w:rsidR="00E90893">
        <w:t xml:space="preserve">se </w:t>
      </w:r>
      <w:r>
        <w:t>fija</w:t>
      </w:r>
      <w:r w:rsidR="00E90893">
        <w:t>n</w:t>
      </w:r>
      <w:r>
        <w:t xml:space="preserve"> las metas</w:t>
      </w:r>
      <w:r>
        <w:t xml:space="preserve"> </w:t>
      </w:r>
      <w:r>
        <w:t>nacionales relacionadas con vivienda y servicios públicos. Como resultado, en el</w:t>
      </w:r>
      <w:r>
        <w:t xml:space="preserve"> país se tiene </w:t>
      </w:r>
      <w:r>
        <w:t>acceso ener</w:t>
      </w:r>
      <w:r>
        <w:t>gético del 97% de la población</w:t>
      </w:r>
      <w:r w:rsidR="00E90893">
        <w:t>.</w:t>
      </w:r>
    </w:p>
    <w:p w:rsidR="00817DC3" w:rsidRDefault="00C762F6" w:rsidP="007D25B2">
      <w:pPr>
        <w:jc w:val="both"/>
      </w:pPr>
      <w:r>
        <w:t>Actualmente. E</w:t>
      </w:r>
      <w:r w:rsidRPr="00C762F6">
        <w:t xml:space="preserve">l gobierno colombiano despliega esfuerzos expidiendo leyes regulatorias y de impulso a energías no convencionales otorgando beneficios tributarios definidos en la ley 1715 (2014). También en la ley 1955 (2019) </w:t>
      </w:r>
      <w:r w:rsidR="00BE5FBD">
        <w:t>enmarcando</w:t>
      </w:r>
      <w:r w:rsidRPr="00C762F6">
        <w:t xml:space="preserve"> el plan nacional de desarrollo 2018-202</w:t>
      </w:r>
      <w:r w:rsidR="00E90893">
        <w:t>2, con pactos nacionales para la</w:t>
      </w:r>
      <w:r w:rsidRPr="00C762F6">
        <w:t xml:space="preserve"> equidad. Promocionando la energía solar con exenciones de impuesto sobre las Ventas – IVA de los elementos más importantes en este tipo de proyecto</w:t>
      </w:r>
      <w:r>
        <w:t>.</w:t>
      </w:r>
    </w:p>
    <w:p w:rsidR="00C762F6" w:rsidRDefault="008533B9" w:rsidP="007D25B2">
      <w:pPr>
        <w:jc w:val="both"/>
      </w:pPr>
      <w:r>
        <w:t>Factor geográfico.</w:t>
      </w:r>
    </w:p>
    <w:p w:rsidR="00C762F6" w:rsidRDefault="00C762F6" w:rsidP="007D25B2">
      <w:pPr>
        <w:jc w:val="both"/>
      </w:pPr>
      <w:r w:rsidRPr="00C762F6">
        <w:t xml:space="preserve">Geográficamente. Colombia es privilegiada con un alto potencial </w:t>
      </w:r>
      <w:r w:rsidR="006F31FE">
        <w:t xml:space="preserve">de generación de energía solar, </w:t>
      </w:r>
      <w:r w:rsidRPr="00C762F6">
        <w:t xml:space="preserve">el país tiene un promedio diario de 4.5 </w:t>
      </w:r>
      <w:proofErr w:type="spellStart"/>
      <w:r w:rsidRPr="00C762F6">
        <w:t>kWh</w:t>
      </w:r>
      <w:proofErr w:type="spellEnd"/>
      <w:r w:rsidRPr="00C762F6">
        <w:t>/</w:t>
      </w:r>
      <w:r w:rsidRPr="00C762F6">
        <w:rPr>
          <w:rFonts w:ascii="Cambria Math" w:hAnsi="Cambria Math" w:cs="Cambria Math"/>
        </w:rPr>
        <w:t>𝑚</w:t>
      </w:r>
      <w:r w:rsidR="006F31FE">
        <w:t>2/d de irradiación solar</w:t>
      </w:r>
      <w:sdt>
        <w:sdtPr>
          <w:id w:val="-1912139934"/>
          <w:citation/>
        </w:sdtPr>
        <w:sdtContent>
          <w:r w:rsidR="006F31FE">
            <w:fldChar w:fldCharType="begin"/>
          </w:r>
          <w:r w:rsidR="006F31FE">
            <w:rPr>
              <w:lang w:val="es-CO"/>
            </w:rPr>
            <w:instrText xml:space="preserve"> CITATION UPM15 \l 9226 </w:instrText>
          </w:r>
          <w:r w:rsidR="006F31FE">
            <w:fldChar w:fldCharType="separate"/>
          </w:r>
          <w:r w:rsidR="006F31FE">
            <w:rPr>
              <w:noProof/>
              <w:lang w:val="es-CO"/>
            </w:rPr>
            <w:t xml:space="preserve"> (UPME, 2015)</w:t>
          </w:r>
          <w:r w:rsidR="006F31FE">
            <w:fldChar w:fldCharType="end"/>
          </w:r>
        </w:sdtContent>
      </w:sdt>
      <w:r w:rsidR="006F31FE">
        <w:t xml:space="preserve">. </w:t>
      </w:r>
      <w:r w:rsidRPr="00C762F6">
        <w:t>A esto se suma la gran oportunidad de estar en el rango del trópico que define a Colombia sin comportamientos de clima estacionario que resulta en una generación de energía por paneles fotovoltaicos con regularidad todos lo meses del año.</w:t>
      </w:r>
    </w:p>
    <w:p w:rsidR="006F31FE" w:rsidRDefault="006F31FE" w:rsidP="006F31FE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3B31E6E" wp14:editId="5AB7C9A8">
            <wp:extent cx="2955737" cy="4133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072" cy="414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FE" w:rsidRDefault="006F31FE" w:rsidP="006F31F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E41FA">
        <w:rPr>
          <w:noProof/>
        </w:rPr>
        <w:t>2</w:t>
      </w:r>
      <w:r>
        <w:fldChar w:fldCharType="end"/>
      </w:r>
      <w:r>
        <w:t xml:space="preserve">. </w:t>
      </w:r>
      <w:r w:rsidRPr="00BF7DF7">
        <w:t>Mapa de energía solar fotovoltaica en Colombia</w:t>
      </w:r>
      <w:r>
        <w:t xml:space="preserve">. Fuente: </w:t>
      </w:r>
      <w:r w:rsidRPr="00BF7DF7">
        <w:t>Instituto Geográfico Agustín Codazzi - IGAC, 2019</w:t>
      </w:r>
    </w:p>
    <w:p w:rsidR="007D25B2" w:rsidRDefault="007D25B2" w:rsidP="007D25B2">
      <w:pPr>
        <w:jc w:val="both"/>
      </w:pPr>
    </w:p>
    <w:p w:rsidR="007D25B2" w:rsidRPr="000A20EF" w:rsidRDefault="007D25B2" w:rsidP="000A20EF"/>
    <w:p w:rsidR="000A20EF" w:rsidRDefault="000A20EF" w:rsidP="00597601">
      <w:pPr>
        <w:jc w:val="both"/>
      </w:pPr>
    </w:p>
    <w:p w:rsidR="000A20EF" w:rsidRDefault="000A20EF" w:rsidP="00597601">
      <w:pPr>
        <w:jc w:val="both"/>
      </w:pPr>
    </w:p>
    <w:p w:rsidR="00EA42D2" w:rsidRDefault="00F16ACE" w:rsidP="00597601">
      <w:pPr>
        <w:jc w:val="both"/>
      </w:pPr>
      <w:r>
        <w:t xml:space="preserve">Siendo el país muy diverso morfológicamente, tiene grandes necesidades de abastecimiento energético. Según la </w:t>
      </w:r>
      <w:r>
        <w:t>Superintendencia Delegada para Energía y Gas Combustible</w:t>
      </w:r>
      <w:r>
        <w:t xml:space="preserve"> en el </w:t>
      </w:r>
      <w:r>
        <w:t>Diagnóstico de la prestación del ser</w:t>
      </w:r>
      <w:r>
        <w:t>vicio de energía eléctrica 2017, las ZNI (zonas no interconectadas) representan el 52% aproximadamente de territorio nacional</w:t>
      </w:r>
      <w:r w:rsidR="006F21C2">
        <w:t xml:space="preserve"> en las que se encuentran</w:t>
      </w:r>
      <w:r>
        <w:t xml:space="preserve"> 1.728 localidades </w:t>
      </w:r>
      <w:r w:rsidR="006F21C2">
        <w:t>habitadas por</w:t>
      </w:r>
      <w:r>
        <w:t xml:space="preserve"> 1.900.000 personas</w:t>
      </w:r>
      <w:r w:rsidR="007E41FA">
        <w:t>.</w:t>
      </w:r>
      <w:sdt>
        <w:sdtPr>
          <w:id w:val="540027132"/>
          <w:citation/>
        </w:sdtPr>
        <w:sdtContent>
          <w:r w:rsidR="007E41FA">
            <w:fldChar w:fldCharType="begin"/>
          </w:r>
          <w:r w:rsidR="007E41FA">
            <w:rPr>
              <w:lang w:val="es-CO"/>
            </w:rPr>
            <w:instrText xml:space="preserve">CITATION Sup17 \l 9226 </w:instrText>
          </w:r>
          <w:r w:rsidR="007E41FA">
            <w:fldChar w:fldCharType="separate"/>
          </w:r>
          <w:r w:rsidR="007E41FA">
            <w:rPr>
              <w:noProof/>
              <w:lang w:val="es-CO"/>
            </w:rPr>
            <w:t xml:space="preserve"> (Superservicios, 2017)</w:t>
          </w:r>
          <w:r w:rsidR="007E41FA">
            <w:fldChar w:fldCharType="end"/>
          </w:r>
        </w:sdtContent>
      </w:sdt>
    </w:p>
    <w:p w:rsidR="006C1428" w:rsidRDefault="006C1428" w:rsidP="00597601">
      <w:pPr>
        <w:jc w:val="both"/>
      </w:pPr>
    </w:p>
    <w:p w:rsidR="007E41FA" w:rsidRDefault="007E41FA" w:rsidP="007E41FA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41661A0D" wp14:editId="1971D7DD">
            <wp:extent cx="2560032" cy="3905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998" cy="390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01" w:rsidRDefault="007E41FA" w:rsidP="007E41F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E3719A">
        <w:t xml:space="preserve">. </w:t>
      </w:r>
      <w:r>
        <w:t xml:space="preserve">Zonas no interconectadas Colombia. Fuente: </w:t>
      </w:r>
      <w:r w:rsidRPr="00723644">
        <w:t>Fuente: IPSE - CNM</w:t>
      </w:r>
      <w:r>
        <w:t>.</w:t>
      </w:r>
    </w:p>
    <w:p w:rsidR="00B43E13" w:rsidRDefault="00BE5FBD" w:rsidP="0030029E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Los factores históricos, políticos y geográficos de Colombia establecen un escenario favorable para la implementación de sistemas de generación de energía eléctrica por paneles </w:t>
      </w:r>
      <w:r w:rsidR="008533B9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fotovoltaicos a gran esc</w:t>
      </w:r>
      <w:r w:rsidR="0030029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ala. Lo anterior propone desafíos de desarrollo en proyectos de generación y su respectivo mantenimiento.</w:t>
      </w:r>
    </w:p>
    <w:p w:rsidR="0030029E" w:rsidRDefault="0030029E" w:rsidP="0030029E"/>
    <w:p w:rsidR="0030029E" w:rsidRDefault="0030029E" w:rsidP="0030029E">
      <w:r>
        <w:t>Mantenimiento a sistemas de generación por paneles fotovoltaicos.</w:t>
      </w:r>
    </w:p>
    <w:p w:rsidR="001A7337" w:rsidRDefault="0030029E" w:rsidP="001A7337">
      <w:pPr>
        <w:jc w:val="both"/>
      </w:pPr>
      <w:r>
        <w:t xml:space="preserve">Después de la puesta en marcha, los sistemas fotovoltaicos </w:t>
      </w:r>
      <w:r w:rsidR="00057602">
        <w:t xml:space="preserve">deben ser objeto de mantenimiento para conservar su óptimo funcionamiento y prolongar la vida útil de cada componente. </w:t>
      </w:r>
      <w:r w:rsidR="00C20BBC">
        <w:t xml:space="preserve">Los planes de mantenimiento para estas instalaciones </w:t>
      </w:r>
      <w:r w:rsidR="001A7337">
        <w:t xml:space="preserve">se dividen en 3: </w:t>
      </w:r>
      <w:r w:rsidR="001A7337">
        <w:t>Plan de vigilancia</w:t>
      </w:r>
      <w:r w:rsidR="001A7337">
        <w:t xml:space="preserve">, </w:t>
      </w:r>
      <w:r w:rsidR="001A7337">
        <w:t>Plan</w:t>
      </w:r>
      <w:r w:rsidR="001A7337">
        <w:t xml:space="preserve"> de mantenimiento preventivo, </w:t>
      </w:r>
      <w:r w:rsidR="001A7337">
        <w:t>Plan de mantenimiento correctivo.</w:t>
      </w:r>
      <w:sdt>
        <w:sdtPr>
          <w:id w:val="-504206344"/>
          <w:citation/>
        </w:sdtPr>
        <w:sdtContent>
          <w:r w:rsidR="001A7337">
            <w:fldChar w:fldCharType="begin"/>
          </w:r>
          <w:r w:rsidR="001A7337" w:rsidRPr="001A7337">
            <w:rPr>
              <w:lang w:val="es-CO"/>
            </w:rPr>
            <w:instrText xml:space="preserve"> CITATION Góm15 \l 9226 </w:instrText>
          </w:r>
          <w:r w:rsidR="001A7337">
            <w:fldChar w:fldCharType="separate"/>
          </w:r>
          <w:r w:rsidR="001A7337" w:rsidRPr="001A7337">
            <w:rPr>
              <w:noProof/>
              <w:lang w:val="es-CO"/>
            </w:rPr>
            <w:t xml:space="preserve"> (Gómez, 2015)</w:t>
          </w:r>
          <w:r w:rsidR="001A7337">
            <w:fldChar w:fldCharType="end"/>
          </w:r>
        </w:sdtContent>
      </w:sdt>
    </w:p>
    <w:p w:rsidR="001A7337" w:rsidRDefault="001A7337" w:rsidP="001A7337">
      <w:r>
        <w:t xml:space="preserve">En el plan de vigilancia o mantenimiento predictivo se implementa una técnica que en los últimos años ha ganado terreno </w:t>
      </w:r>
      <w:bookmarkStart w:id="0" w:name="_GoBack"/>
      <w:bookmarkEnd w:id="0"/>
    </w:p>
    <w:p w:rsidR="001A7337" w:rsidRDefault="001A7337" w:rsidP="001A7337">
      <w:pPr>
        <w:pStyle w:val="Prrafodelista"/>
      </w:pPr>
    </w:p>
    <w:p w:rsidR="00C20BBC" w:rsidRDefault="00C20BBC" w:rsidP="00057602">
      <w:pPr>
        <w:jc w:val="both"/>
      </w:pPr>
    </w:p>
    <w:p w:rsidR="002F3726" w:rsidRDefault="002F3726" w:rsidP="002F3726"/>
    <w:p w:rsidR="002F3726" w:rsidRDefault="002F3726" w:rsidP="002F3726"/>
    <w:sectPr w:rsidR="002F3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53D4D"/>
    <w:multiLevelType w:val="hybridMultilevel"/>
    <w:tmpl w:val="CDAAA6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8B"/>
    <w:rsid w:val="00057602"/>
    <w:rsid w:val="000A20EF"/>
    <w:rsid w:val="00130CE9"/>
    <w:rsid w:val="001818EA"/>
    <w:rsid w:val="001A7337"/>
    <w:rsid w:val="00207362"/>
    <w:rsid w:val="002557B3"/>
    <w:rsid w:val="002771C9"/>
    <w:rsid w:val="002F3726"/>
    <w:rsid w:val="0030029E"/>
    <w:rsid w:val="003E1624"/>
    <w:rsid w:val="00551128"/>
    <w:rsid w:val="00597601"/>
    <w:rsid w:val="006C1428"/>
    <w:rsid w:val="006F21C2"/>
    <w:rsid w:val="006F31FE"/>
    <w:rsid w:val="007D25B2"/>
    <w:rsid w:val="007E41FA"/>
    <w:rsid w:val="007F175D"/>
    <w:rsid w:val="00813AF4"/>
    <w:rsid w:val="00817DC3"/>
    <w:rsid w:val="008533B9"/>
    <w:rsid w:val="00A50310"/>
    <w:rsid w:val="00B43E13"/>
    <w:rsid w:val="00B447D6"/>
    <w:rsid w:val="00BE5FBD"/>
    <w:rsid w:val="00C20BBC"/>
    <w:rsid w:val="00C762F6"/>
    <w:rsid w:val="00CF1310"/>
    <w:rsid w:val="00CF380B"/>
    <w:rsid w:val="00D96D12"/>
    <w:rsid w:val="00DB20F3"/>
    <w:rsid w:val="00DB568B"/>
    <w:rsid w:val="00E3719A"/>
    <w:rsid w:val="00E90893"/>
    <w:rsid w:val="00EA42D2"/>
    <w:rsid w:val="00EA5C1E"/>
    <w:rsid w:val="00F1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254F3"/>
  <w15:chartTrackingRefBased/>
  <w15:docId w15:val="{1FFA25D0-B1EB-4D78-8B44-88E15630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E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CF1310"/>
  </w:style>
  <w:style w:type="paragraph" w:styleId="Descripcin">
    <w:name w:val="caption"/>
    <w:basedOn w:val="Normal"/>
    <w:next w:val="Normal"/>
    <w:uiPriority w:val="35"/>
    <w:unhideWhenUsed/>
    <w:qFormat/>
    <w:rsid w:val="000A20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F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Bay09</b:Tag>
    <b:SourceType>Book</b:SourceType>
    <b:Guid>{448017E4-3483-4B3F-82B0-C2AABED62318}</b:Guid>
    <b:LCID>es-CO</b:LCID>
    <b:Author>
      <b:Author>
        <b:NameList>
          <b:Person>
            <b:Last>Bayod Rújula</b:Last>
            <b:First>Á.</b:First>
            <b:Middle>A.</b:Middle>
          </b:Person>
        </b:NameList>
      </b:Author>
    </b:Author>
    <b:Title>Energías renovables: sistemas fotovoltaicos.</b:Title>
    <b:Year>2009</b:Year>
    <b:City>Zaragoza</b:City>
    <b:Publisher>Spain: Prensas de la Universidad de Zaragoza. Recuperado de https://elibro.net/es/ereader/uniajc/41940</b:Publisher>
    <b:RefOrder>1</b:RefOrder>
  </b:Source>
  <b:Source>
    <b:Tag>Rod09</b:Tag>
    <b:SourceType>Report</b:SourceType>
    <b:Guid>{26ED32C4-6C13-4B5A-A3D9-2AB4F7F0024C}</b:Guid>
    <b:Title>Desarrollo de la energía solar en Colombia y sus perspectivas</b:Title>
    <b:Year>2009</b:Year>
    <b:City>Bogotá DC.</b:City>
    <b:Publisher>http://www.scielo.org.co/pdf/ring/n28/n28a12.pdf</b:Publisher>
    <b:Author>
      <b:Author>
        <b:NameList>
          <b:Person>
            <b:Last>Rodríguez Murcia</b:Last>
            <b:First>H</b:First>
          </b:Person>
        </b:NameList>
      </b:Author>
    </b:Author>
    <b:RefOrder>2</b:RefOrder>
  </b:Source>
  <b:Source>
    <b:Tag>UPM15</b:Tag>
    <b:SourceType>Report</b:SourceType>
    <b:Guid>{69F29B36-F391-46E5-8F5C-034B139251E0}</b:Guid>
    <b:Author>
      <b:Author>
        <b:NameList>
          <b:Person>
            <b:Last>UPME</b:Last>
          </b:Person>
        </b:NameList>
      </b:Author>
    </b:Author>
    <b:Title>Integración de las energías renovables no convencionales en Colombia.</b:Title>
    <b:Year>2015</b:Year>
    <b:Publisher>Ministro de Minas y Energía</b:Publisher>
    <b:City>Bogotá DC.</b:City>
    <b:RefOrder>3</b:RefOrder>
  </b:Source>
  <b:Source>
    <b:Tag>Sup17</b:Tag>
    <b:SourceType>Report</b:SourceType>
    <b:Guid>{08D5A08D-7FDE-4019-BC04-8CEF5EFDA502}</b:Guid>
    <b:Author>
      <b:Author>
        <b:NameList>
          <b:Person>
            <b:Last>Superservicios</b:Last>
          </b:Person>
        </b:NameList>
      </b:Author>
    </b:Author>
    <b:Title>ZONAS NO INTERCONECTADAS – ZNI</b:Title>
    <b:Year>2017</b:Year>
    <b:Publisher>https://www.superservicios.gov.co/sites/default/archivos/SSPD%20Publicaciones/Publicaciones/2018/Sep/diagnosticozni-superservicios-oct-2017.pdf</b:Publisher>
    <b:City>Bogotá DC.</b:City>
    <b:RefOrder>4</b:RefOrder>
  </b:Source>
  <b:Source>
    <b:Tag>Góm15</b:Tag>
    <b:SourceType>Book</b:SourceType>
    <b:Guid>{8CFBA117-13B8-46BA-A2BB-E652BD4AF978}</b:Guid>
    <b:Author>
      <b:Author>
        <b:NameList>
          <b:Person>
            <b:Last>Gómez</b:Last>
            <b:First>José</b:First>
            <b:Middle>Manuel de la Cruz</b:Middle>
          </b:Person>
        </b:NameList>
      </b:Author>
    </b:Author>
    <b:Title>Guía de mantenimiento en instalaciones fotovoltaicas.</b:Title>
    <b:Year>2015</b:Year>
    <b:Publisher>Ediciones Experiencia. Recuperado de https://elibro.net/es/ereader/uniajc/41986</b:Publisher>
    <b:City>Barcelona</b:City>
    <b:RefOrder>5</b:RefOrder>
  </b:Source>
</b:Sources>
</file>

<file path=customXml/itemProps1.xml><?xml version="1.0" encoding="utf-8"?>
<ds:datastoreItem xmlns:ds="http://schemas.openxmlformats.org/officeDocument/2006/customXml" ds:itemID="{243DF59C-8609-417F-ACF1-AE4A322B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Torres</dc:creator>
  <cp:keywords/>
  <dc:description/>
  <cp:lastModifiedBy>Cristhian A. Torres</cp:lastModifiedBy>
  <cp:revision>6</cp:revision>
  <dcterms:created xsi:type="dcterms:W3CDTF">2021-04-04T17:56:00Z</dcterms:created>
  <dcterms:modified xsi:type="dcterms:W3CDTF">2021-04-05T00:42:00Z</dcterms:modified>
</cp:coreProperties>
</file>