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11FF" w:rsidRDefault="008611FF" w:rsidP="008611FF">
      <w:pPr>
        <w:jc w:val="center"/>
        <w:rPr>
          <w:rFonts w:asciiTheme="minorHAnsi" w:hAnsiTheme="minorHAnsi" w:cstheme="minorHAnsi"/>
          <w:b/>
          <w:i/>
          <w:color w:val="808080" w:themeColor="background1" w:themeShade="80"/>
          <w:sz w:val="22"/>
          <w:szCs w:val="22"/>
        </w:rPr>
      </w:pPr>
      <w:bookmarkStart w:id="0" w:name="_GoBack"/>
      <w:bookmarkEnd w:id="0"/>
      <w:r>
        <w:rPr>
          <w:rFonts w:asciiTheme="minorHAnsi" w:hAnsiTheme="minorHAnsi" w:cstheme="minorHAnsi"/>
          <w:b/>
          <w:i/>
          <w:color w:val="808080" w:themeColor="background1" w:themeShade="80"/>
          <w:sz w:val="22"/>
          <w:szCs w:val="22"/>
        </w:rPr>
        <w:t>Maestría en Automatización y Control Industrial</w:t>
      </w:r>
    </w:p>
    <w:p w:rsidR="006B6755" w:rsidRDefault="006B6755">
      <w:pPr>
        <w:pStyle w:val="Prrafodelista"/>
        <w:ind w:left="360"/>
        <w:jc w:val="center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4715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1459"/>
        <w:gridCol w:w="2374"/>
        <w:gridCol w:w="1046"/>
        <w:gridCol w:w="755"/>
        <w:gridCol w:w="563"/>
        <w:gridCol w:w="621"/>
        <w:gridCol w:w="621"/>
        <w:gridCol w:w="880"/>
      </w:tblGrid>
      <w:tr w:rsidR="006B6755" w:rsidRPr="00C70093" w:rsidTr="00D74F55">
        <w:trPr>
          <w:tblCellSpacing w:w="20" w:type="dxa"/>
          <w:jc w:val="center"/>
        </w:trPr>
        <w:tc>
          <w:tcPr>
            <w:tcW w:w="2390" w:type="pct"/>
            <w:gridSpan w:val="2"/>
            <w:shd w:val="clear" w:color="auto" w:fill="auto"/>
          </w:tcPr>
          <w:p w:rsidR="006B6755" w:rsidRPr="00C70093" w:rsidRDefault="006B6755" w:rsidP="00D74F55">
            <w:pPr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</w:pPr>
            <w:r w:rsidRPr="00C70093"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  <w:t>Asignatura</w:t>
            </w:r>
          </w:p>
        </w:tc>
        <w:tc>
          <w:tcPr>
            <w:tcW w:w="2538" w:type="pct"/>
            <w:gridSpan w:val="6"/>
            <w:shd w:val="clear" w:color="auto" w:fill="auto"/>
          </w:tcPr>
          <w:p w:rsidR="006B6755" w:rsidRPr="006B6755" w:rsidRDefault="006B6755" w:rsidP="00D74F55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 w:rsidRPr="006B6755">
              <w:rPr>
                <w:rFonts w:asciiTheme="minorHAnsi" w:hAnsiTheme="minorHAnsi" w:cstheme="minorHAnsi"/>
                <w:color w:val="auto"/>
                <w:sz w:val="22"/>
                <w:szCs w:val="22"/>
                <w:lang w:val="es-CO"/>
              </w:rPr>
              <w:t>Tópicos Avanzados de Aprendizaje de Máquina</w:t>
            </w:r>
          </w:p>
        </w:tc>
      </w:tr>
      <w:tr w:rsidR="006B6755" w:rsidRPr="00193BC1" w:rsidTr="00D74F55">
        <w:trPr>
          <w:tblCellSpacing w:w="20" w:type="dxa"/>
          <w:jc w:val="center"/>
        </w:trPr>
        <w:tc>
          <w:tcPr>
            <w:tcW w:w="2390" w:type="pct"/>
            <w:gridSpan w:val="2"/>
            <w:shd w:val="clear" w:color="auto" w:fill="auto"/>
          </w:tcPr>
          <w:p w:rsidR="006B6755" w:rsidRPr="00C70093" w:rsidRDefault="006B6755" w:rsidP="00D74F55">
            <w:pPr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</w:pPr>
            <w:r w:rsidRPr="00C70093"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  <w:t>Área</w:t>
            </w:r>
          </w:p>
        </w:tc>
        <w:tc>
          <w:tcPr>
            <w:tcW w:w="2538" w:type="pct"/>
            <w:gridSpan w:val="6"/>
            <w:shd w:val="clear" w:color="auto" w:fill="auto"/>
          </w:tcPr>
          <w:p w:rsidR="006B6755" w:rsidRPr="006B6755" w:rsidRDefault="006B6755" w:rsidP="00D74F55">
            <w:pPr>
              <w:rPr>
                <w:rFonts w:asciiTheme="minorHAnsi" w:hAnsiTheme="minorHAnsi" w:cstheme="minorHAnsi"/>
                <w:i/>
                <w:sz w:val="22"/>
                <w:szCs w:val="22"/>
                <w:lang w:val="es-CO"/>
              </w:rPr>
            </w:pPr>
            <w:r w:rsidRPr="006B6755">
              <w:rPr>
                <w:rFonts w:asciiTheme="minorHAnsi" w:hAnsiTheme="minorHAnsi" w:cstheme="minorHAnsi"/>
                <w:color w:val="auto"/>
                <w:sz w:val="22"/>
                <w:szCs w:val="22"/>
                <w:lang w:val="es-CO"/>
              </w:rPr>
              <w:t>Electiva – Inteligencia Computacional</w:t>
            </w:r>
          </w:p>
        </w:tc>
      </w:tr>
      <w:tr w:rsidR="006B6755" w:rsidRPr="00C70093" w:rsidTr="00D74F55">
        <w:trPr>
          <w:tblCellSpacing w:w="20" w:type="dxa"/>
          <w:jc w:val="center"/>
        </w:trPr>
        <w:tc>
          <w:tcPr>
            <w:tcW w:w="906" w:type="pct"/>
            <w:shd w:val="clear" w:color="auto" w:fill="auto"/>
          </w:tcPr>
          <w:p w:rsidR="006B6755" w:rsidRPr="00C70093" w:rsidRDefault="006B6755" w:rsidP="00D74F55">
            <w:pPr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</w:pPr>
            <w:r w:rsidRPr="00C70093"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  <w:t>Código</w:t>
            </w:r>
          </w:p>
        </w:tc>
        <w:tc>
          <w:tcPr>
            <w:tcW w:w="1460" w:type="pct"/>
            <w:shd w:val="clear" w:color="auto" w:fill="auto"/>
          </w:tcPr>
          <w:p w:rsidR="006B6755" w:rsidRPr="006B6755" w:rsidRDefault="006B6755" w:rsidP="00D74F55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 w:rsidRPr="006B6755">
              <w:rPr>
                <w:rFonts w:asciiTheme="minorHAnsi" w:hAnsiTheme="minorHAnsi" w:cstheme="minorHAnsi"/>
                <w:color w:val="auto"/>
                <w:sz w:val="22"/>
                <w:szCs w:val="22"/>
                <w:lang w:val="es-CO"/>
              </w:rPr>
              <w:t>MATA04</w:t>
            </w:r>
          </w:p>
        </w:tc>
        <w:tc>
          <w:tcPr>
            <w:tcW w:w="604" w:type="pct"/>
            <w:shd w:val="clear" w:color="auto" w:fill="auto"/>
          </w:tcPr>
          <w:p w:rsidR="006B6755" w:rsidRPr="00C70093" w:rsidRDefault="006B6755" w:rsidP="00D74F55">
            <w:pPr>
              <w:rPr>
                <w:rFonts w:asciiTheme="minorHAnsi" w:hAnsiTheme="minorHAnsi" w:cstheme="minorHAnsi"/>
                <w:b/>
                <w:szCs w:val="22"/>
                <w:lang w:val="es-CO"/>
              </w:rPr>
            </w:pPr>
            <w:r w:rsidRPr="00C70093"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  <w:t>Créditos</w:t>
            </w:r>
          </w:p>
        </w:tc>
        <w:tc>
          <w:tcPr>
            <w:tcW w:w="482" w:type="pct"/>
            <w:shd w:val="clear" w:color="auto" w:fill="auto"/>
          </w:tcPr>
          <w:p w:rsidR="006B6755" w:rsidRPr="00C70093" w:rsidRDefault="006B6755" w:rsidP="00D74F55">
            <w:pPr>
              <w:rPr>
                <w:rFonts w:asciiTheme="minorHAnsi" w:hAnsiTheme="minorHAnsi" w:cstheme="minorHAnsi"/>
                <w:b/>
                <w:szCs w:val="22"/>
                <w:lang w:val="es-CO"/>
              </w:rPr>
            </w:pPr>
            <w:r w:rsidRPr="005813F0">
              <w:rPr>
                <w:rFonts w:asciiTheme="minorHAnsi" w:hAnsiTheme="minorHAnsi" w:cstheme="minorHAnsi"/>
                <w:szCs w:val="22"/>
                <w:lang w:val="es-CO"/>
              </w:rPr>
              <w:t>4</w:t>
            </w:r>
          </w:p>
        </w:tc>
        <w:tc>
          <w:tcPr>
            <w:tcW w:w="314" w:type="pct"/>
            <w:shd w:val="clear" w:color="auto" w:fill="auto"/>
          </w:tcPr>
          <w:p w:rsidR="006B6755" w:rsidRPr="00C70093" w:rsidRDefault="006B6755" w:rsidP="00D74F55">
            <w:pPr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  <w:t>TIT</w:t>
            </w:r>
          </w:p>
        </w:tc>
        <w:tc>
          <w:tcPr>
            <w:tcW w:w="242" w:type="pct"/>
            <w:shd w:val="clear" w:color="auto" w:fill="auto"/>
          </w:tcPr>
          <w:p w:rsidR="006B6755" w:rsidRPr="00C70093" w:rsidRDefault="006B6755" w:rsidP="00D74F55">
            <w:pPr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</w:pPr>
            <w:r w:rsidRPr="005813F0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144</w:t>
            </w:r>
          </w:p>
        </w:tc>
        <w:tc>
          <w:tcPr>
            <w:tcW w:w="349" w:type="pct"/>
            <w:shd w:val="clear" w:color="auto" w:fill="auto"/>
          </w:tcPr>
          <w:p w:rsidR="006B6755" w:rsidRPr="00C70093" w:rsidRDefault="006B6755" w:rsidP="00D74F55">
            <w:pPr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  <w:t>TPT</w:t>
            </w:r>
          </w:p>
        </w:tc>
        <w:tc>
          <w:tcPr>
            <w:tcW w:w="427" w:type="pct"/>
            <w:shd w:val="clear" w:color="auto" w:fill="auto"/>
          </w:tcPr>
          <w:p w:rsidR="006B6755" w:rsidRPr="00C70093" w:rsidRDefault="006B6755" w:rsidP="00D74F55">
            <w:pPr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</w:pPr>
            <w:r w:rsidRPr="005813F0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48</w:t>
            </w:r>
          </w:p>
        </w:tc>
      </w:tr>
    </w:tbl>
    <w:p w:rsidR="006B6755" w:rsidRDefault="006B6755">
      <w:pPr>
        <w:pStyle w:val="Prrafodelista"/>
        <w:ind w:left="360"/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721B14" w:rsidRDefault="00721B14" w:rsidP="006B6755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721B14" w:rsidRDefault="00864845">
      <w:pPr>
        <w:pStyle w:val="Prrafodelista"/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DESCRIPCIÓN</w:t>
      </w:r>
    </w:p>
    <w:p w:rsidR="00721B14" w:rsidRDefault="00721B14">
      <w:pPr>
        <w:pStyle w:val="Prrafodelista"/>
        <w:ind w:left="360"/>
        <w:rPr>
          <w:rFonts w:asciiTheme="minorHAnsi" w:hAnsiTheme="minorHAnsi" w:cstheme="minorHAnsi"/>
          <w:b/>
          <w:i/>
          <w:color w:val="808080" w:themeColor="background1" w:themeShade="80"/>
          <w:sz w:val="22"/>
          <w:szCs w:val="22"/>
        </w:rPr>
      </w:pPr>
    </w:p>
    <w:p w:rsidR="00721B14" w:rsidRDefault="00864845">
      <w:pPr>
        <w:pStyle w:val="Prrafodelista"/>
        <w:ind w:left="360"/>
        <w:jc w:val="both"/>
      </w:pPr>
      <w:r>
        <w:rPr>
          <w:rFonts w:ascii="Calibri" w:hAnsi="Calibri" w:cstheme="minorHAnsi"/>
          <w:sz w:val="22"/>
          <w:szCs w:val="22"/>
        </w:rPr>
        <w:t>En la Maestría en Automatización y Control Industrial, la línea en inteligencia computacional se enfoca en el estudio y desarrollo de técnicas y sistemas automáticos para el análisis y procesamiento de datos, fundamentándose en funciones de bajo nivel de la inteligencia como la percepción, el reconocimiento de objetos, el análisis de señales, y la identificación de estructuras o patrones.</w:t>
      </w:r>
      <w:r>
        <w:rPr>
          <w:rFonts w:asciiTheme="minorHAnsi" w:hAnsiTheme="minorHAnsi" w:cstheme="minorHAnsi"/>
          <w:sz w:val="22"/>
          <w:szCs w:val="22"/>
        </w:rPr>
        <w:t xml:space="preserve">  </w:t>
      </w:r>
    </w:p>
    <w:p w:rsidR="00721B14" w:rsidRDefault="00721B14">
      <w:pPr>
        <w:pStyle w:val="Prrafodelista"/>
        <w:ind w:left="360"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</w:p>
    <w:p w:rsidR="00721B14" w:rsidRDefault="00721B14">
      <w:pPr>
        <w:pStyle w:val="Prrafodelista"/>
        <w:ind w:left="360"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</w:p>
    <w:p w:rsidR="00721B14" w:rsidRDefault="00864845">
      <w:pPr>
        <w:pStyle w:val="Prrafodelista"/>
        <w:ind w:left="360"/>
        <w:jc w:val="both"/>
        <w:rPr>
          <w:rFonts w:asciiTheme="minorHAnsi" w:hAnsiTheme="minorHAnsi" w:cstheme="minorHAnsi"/>
        </w:rPr>
      </w:pPr>
      <w:r>
        <w:rPr>
          <w:rFonts w:ascii="Calibri" w:hAnsi="Calibri" w:cstheme="minorHAnsi"/>
          <w:sz w:val="22"/>
          <w:szCs w:val="22"/>
        </w:rPr>
        <w:t>Las tendencias del aprendizaje de máquina presentan un crecimiento constante al pasar de los años, al ritmo de los avances de hardware y software. Bajo esta premisa, se presenta el curso de Tópicos Avanzados de Aprendizaje de máquinas, el cual proporcionará los conceptos, demostraciones y aplicaciones de los últimos métodos y tendencias en las técnicas de aprendizaje de máquina.</w:t>
      </w:r>
    </w:p>
    <w:p w:rsidR="00721B14" w:rsidRDefault="00721B14">
      <w:pPr>
        <w:pStyle w:val="Prrafodelista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721B14" w:rsidRDefault="00721B14">
      <w:pPr>
        <w:pStyle w:val="Prrafodelista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721B14" w:rsidRDefault="00864845">
      <w:pPr>
        <w:pStyle w:val="Prrafodelista"/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CONTENIDO</w:t>
      </w:r>
    </w:p>
    <w:tbl>
      <w:tblPr>
        <w:tblW w:w="4500" w:type="pct"/>
        <w:jc w:val="center"/>
        <w:tblBorders>
          <w:top w:val="outset" w:sz="6" w:space="0" w:color="00000A"/>
          <w:left w:val="outset" w:sz="6" w:space="0" w:color="00000A"/>
          <w:bottom w:val="outset" w:sz="6" w:space="0" w:color="00000A"/>
          <w:right w:val="outset" w:sz="6" w:space="0" w:color="00000A"/>
          <w:insideH w:val="outset" w:sz="6" w:space="0" w:color="00000A"/>
          <w:insideV w:val="outset" w:sz="6" w:space="0" w:color="00000A"/>
        </w:tblBorders>
        <w:tblCellMar>
          <w:left w:w="-22" w:type="dxa"/>
        </w:tblCellMar>
        <w:tblLook w:val="04A0" w:firstRow="1" w:lastRow="0" w:firstColumn="1" w:lastColumn="0" w:noHBand="0" w:noVBand="1"/>
      </w:tblPr>
      <w:tblGrid>
        <w:gridCol w:w="5442"/>
        <w:gridCol w:w="2498"/>
      </w:tblGrid>
      <w:tr w:rsidR="00721B14">
        <w:trPr>
          <w:jc w:val="center"/>
        </w:trPr>
        <w:tc>
          <w:tcPr>
            <w:tcW w:w="5451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auto"/>
            <w:tcMar>
              <w:left w:w="-22" w:type="dxa"/>
            </w:tcMar>
          </w:tcPr>
          <w:p w:rsidR="00721B14" w:rsidRDefault="00864845">
            <w:pPr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  <w:t>Contenido detallado</w:t>
            </w:r>
          </w:p>
        </w:tc>
        <w:tc>
          <w:tcPr>
            <w:tcW w:w="2502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auto"/>
            <w:tcMar>
              <w:left w:w="-22" w:type="dxa"/>
            </w:tcMar>
          </w:tcPr>
          <w:p w:rsidR="00721B14" w:rsidRDefault="00864845">
            <w:pPr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  <w:t>Tiempo</w:t>
            </w:r>
          </w:p>
        </w:tc>
      </w:tr>
      <w:tr w:rsidR="00721B14">
        <w:trPr>
          <w:jc w:val="center"/>
        </w:trPr>
        <w:tc>
          <w:tcPr>
            <w:tcW w:w="5451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auto"/>
            <w:tcMar>
              <w:left w:w="-22" w:type="dxa"/>
            </w:tcMar>
          </w:tcPr>
          <w:p w:rsidR="00721B14" w:rsidRDefault="00864845">
            <w:pPr>
              <w:pStyle w:val="Textoindependiente2"/>
              <w:spacing w:before="0" w:after="0"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eastAsia="es-CO" w:bidi="ar-SA"/>
              </w:rPr>
            </w:pPr>
            <w:r>
              <w:rPr>
                <w:rFonts w:cstheme="minorHAnsi"/>
                <w:sz w:val="22"/>
                <w:szCs w:val="22"/>
                <w:lang w:eastAsia="es-CO" w:bidi="ar-SA"/>
              </w:rPr>
              <w:t xml:space="preserve">Introducción a nuevas métodos y tendencias en técnicas de aprendizaje de máquina. </w:t>
            </w:r>
          </w:p>
        </w:tc>
        <w:tc>
          <w:tcPr>
            <w:tcW w:w="2502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auto"/>
            <w:tcMar>
              <w:left w:w="-22" w:type="dxa"/>
            </w:tcMar>
          </w:tcPr>
          <w:p w:rsidR="00721B14" w:rsidRDefault="00864845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="Calibri" w:hAnsi="Calibri" w:cstheme="minorHAnsi"/>
                <w:sz w:val="22"/>
                <w:szCs w:val="22"/>
                <w:lang w:val="es-CO"/>
              </w:rPr>
              <w:t>3</w:t>
            </w:r>
          </w:p>
        </w:tc>
      </w:tr>
      <w:tr w:rsidR="00721B14">
        <w:trPr>
          <w:jc w:val="center"/>
        </w:trPr>
        <w:tc>
          <w:tcPr>
            <w:tcW w:w="5451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auto"/>
            <w:tcMar>
              <w:left w:w="-22" w:type="dxa"/>
            </w:tcMar>
          </w:tcPr>
          <w:p w:rsidR="00721B14" w:rsidRDefault="00864845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="Calibri" w:hAnsi="Calibri" w:cstheme="minorHAnsi"/>
                <w:sz w:val="22"/>
                <w:szCs w:val="22"/>
                <w:lang w:val="es-CO"/>
              </w:rPr>
              <w:t>Técnicas Avanzadas de Regresión</w:t>
            </w:r>
          </w:p>
        </w:tc>
        <w:tc>
          <w:tcPr>
            <w:tcW w:w="2502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auto"/>
            <w:tcMar>
              <w:left w:w="-22" w:type="dxa"/>
            </w:tcMar>
          </w:tcPr>
          <w:p w:rsidR="00721B14" w:rsidRDefault="00864845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="Calibri" w:hAnsi="Calibri" w:cstheme="minorHAnsi"/>
                <w:sz w:val="22"/>
                <w:szCs w:val="22"/>
                <w:lang w:val="es-CO"/>
              </w:rPr>
              <w:t>9</w:t>
            </w:r>
          </w:p>
        </w:tc>
      </w:tr>
      <w:tr w:rsidR="00721B14">
        <w:trPr>
          <w:jc w:val="center"/>
        </w:trPr>
        <w:tc>
          <w:tcPr>
            <w:tcW w:w="5451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auto"/>
            <w:tcMar>
              <w:left w:w="-22" w:type="dxa"/>
            </w:tcMar>
          </w:tcPr>
          <w:p w:rsidR="00721B14" w:rsidRDefault="00864845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bookmarkStart w:id="1" w:name="__DdeLink__191_1775409208"/>
            <w:bookmarkEnd w:id="1"/>
            <w:r>
              <w:rPr>
                <w:rFonts w:ascii="Calibri" w:hAnsi="Calibri" w:cstheme="minorHAnsi"/>
                <w:sz w:val="22"/>
                <w:szCs w:val="22"/>
                <w:lang w:val="es-CO"/>
              </w:rPr>
              <w:t>Técnicas Avanzadas de Clasificación</w:t>
            </w:r>
          </w:p>
        </w:tc>
        <w:tc>
          <w:tcPr>
            <w:tcW w:w="2502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auto"/>
            <w:tcMar>
              <w:left w:w="-22" w:type="dxa"/>
            </w:tcMar>
          </w:tcPr>
          <w:p w:rsidR="00721B14" w:rsidRDefault="00864845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="Calibri" w:hAnsi="Calibri" w:cstheme="minorHAnsi"/>
                <w:sz w:val="22"/>
                <w:szCs w:val="22"/>
                <w:lang w:val="es-CO"/>
              </w:rPr>
              <w:t>9</w:t>
            </w:r>
          </w:p>
        </w:tc>
      </w:tr>
      <w:tr w:rsidR="00721B14">
        <w:trPr>
          <w:jc w:val="center"/>
        </w:trPr>
        <w:tc>
          <w:tcPr>
            <w:tcW w:w="5451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auto"/>
            <w:tcMar>
              <w:left w:w="-22" w:type="dxa"/>
            </w:tcMar>
          </w:tcPr>
          <w:p w:rsidR="00721B14" w:rsidRDefault="00864845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="Calibri" w:hAnsi="Calibri" w:cstheme="minorHAnsi"/>
                <w:sz w:val="22"/>
                <w:szCs w:val="22"/>
                <w:lang w:val="es-CO"/>
              </w:rPr>
              <w:t>Técnicas Avanzadas de Agrupamiento</w:t>
            </w:r>
          </w:p>
        </w:tc>
        <w:tc>
          <w:tcPr>
            <w:tcW w:w="2502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auto"/>
            <w:tcMar>
              <w:left w:w="-22" w:type="dxa"/>
            </w:tcMar>
          </w:tcPr>
          <w:p w:rsidR="00721B14" w:rsidRDefault="00864845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="Calibri" w:hAnsi="Calibri" w:cstheme="minorHAnsi"/>
                <w:sz w:val="22"/>
                <w:szCs w:val="22"/>
                <w:lang w:val="es-CO"/>
              </w:rPr>
              <w:t>9</w:t>
            </w:r>
          </w:p>
        </w:tc>
      </w:tr>
      <w:tr w:rsidR="00721B14">
        <w:trPr>
          <w:jc w:val="center"/>
        </w:trPr>
        <w:tc>
          <w:tcPr>
            <w:tcW w:w="5451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auto"/>
            <w:tcMar>
              <w:left w:w="-22" w:type="dxa"/>
            </w:tcMar>
          </w:tcPr>
          <w:p w:rsidR="00721B14" w:rsidRDefault="00864845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="Calibri" w:hAnsi="Calibri" w:cstheme="minorHAnsi"/>
                <w:sz w:val="22"/>
                <w:szCs w:val="22"/>
                <w:lang w:val="es-CO"/>
              </w:rPr>
              <w:t xml:space="preserve">Aplicaciones </w:t>
            </w:r>
          </w:p>
        </w:tc>
        <w:tc>
          <w:tcPr>
            <w:tcW w:w="2502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auto"/>
            <w:tcMar>
              <w:left w:w="-22" w:type="dxa"/>
            </w:tcMar>
          </w:tcPr>
          <w:p w:rsidR="00721B14" w:rsidRDefault="00864845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="Calibri" w:hAnsi="Calibri" w:cstheme="minorHAnsi"/>
                <w:sz w:val="22"/>
                <w:szCs w:val="22"/>
                <w:lang w:val="es-CO"/>
              </w:rPr>
              <w:t>18</w:t>
            </w:r>
          </w:p>
        </w:tc>
      </w:tr>
    </w:tbl>
    <w:p w:rsidR="00721B14" w:rsidRDefault="00721B14">
      <w:pPr>
        <w:pStyle w:val="Prrafodelista"/>
        <w:ind w:left="360"/>
        <w:rPr>
          <w:rFonts w:asciiTheme="minorHAnsi" w:hAnsiTheme="minorHAnsi" w:cstheme="minorHAnsi"/>
          <w:b/>
          <w:sz w:val="22"/>
          <w:szCs w:val="22"/>
        </w:rPr>
      </w:pPr>
    </w:p>
    <w:p w:rsidR="00721B14" w:rsidRDefault="00721B14">
      <w:pPr>
        <w:pStyle w:val="Prrafodelista"/>
        <w:tabs>
          <w:tab w:val="left" w:pos="0"/>
        </w:tabs>
        <w:ind w:left="360"/>
        <w:jc w:val="both"/>
        <w:rPr>
          <w:rStyle w:val="Textoennegrita"/>
          <w:rFonts w:asciiTheme="minorHAnsi" w:hAnsiTheme="minorHAnsi" w:cstheme="minorHAnsi"/>
          <w:sz w:val="22"/>
          <w:szCs w:val="22"/>
        </w:rPr>
      </w:pPr>
    </w:p>
    <w:p w:rsidR="00721B14" w:rsidRDefault="00721B14">
      <w:pPr>
        <w:pStyle w:val="Prrafodelista"/>
        <w:tabs>
          <w:tab w:val="left" w:pos="0"/>
        </w:tabs>
        <w:ind w:left="360"/>
        <w:jc w:val="both"/>
        <w:rPr>
          <w:rStyle w:val="Textoennegrita"/>
          <w:rFonts w:asciiTheme="minorHAnsi" w:hAnsiTheme="minorHAnsi" w:cstheme="minorHAnsi"/>
          <w:sz w:val="22"/>
          <w:szCs w:val="22"/>
        </w:rPr>
      </w:pPr>
    </w:p>
    <w:p w:rsidR="00721B14" w:rsidRDefault="00864845">
      <w:pPr>
        <w:pStyle w:val="Prrafodelista"/>
        <w:numPr>
          <w:ilvl w:val="0"/>
          <w:numId w:val="1"/>
        </w:numPr>
        <w:tabs>
          <w:tab w:val="left" w:pos="0"/>
        </w:tabs>
        <w:jc w:val="both"/>
      </w:pPr>
      <w:r>
        <w:rPr>
          <w:rStyle w:val="Textoennegrita"/>
          <w:rFonts w:asciiTheme="minorHAnsi" w:hAnsiTheme="minorHAnsi" w:cstheme="minorHAnsi"/>
          <w:sz w:val="22"/>
          <w:szCs w:val="22"/>
        </w:rPr>
        <w:t>EVALUACIÓN</w:t>
      </w:r>
    </w:p>
    <w:p w:rsidR="00721B14" w:rsidRDefault="00721B14">
      <w:pPr>
        <w:pStyle w:val="Prrafodelista"/>
        <w:tabs>
          <w:tab w:val="left" w:pos="0"/>
        </w:tabs>
        <w:ind w:left="0"/>
        <w:jc w:val="both"/>
      </w:pPr>
    </w:p>
    <w:p w:rsidR="00721B14" w:rsidRDefault="00864845">
      <w:pPr>
        <w:pStyle w:val="Prrafodelista"/>
        <w:tabs>
          <w:tab w:val="left" w:pos="0"/>
        </w:tabs>
        <w:ind w:left="3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Style w:val="Textoennegrita"/>
          <w:rFonts w:ascii="Calibri" w:hAnsi="Calibri" w:cstheme="minorHAnsi"/>
          <w:b w:val="0"/>
          <w:bCs w:val="0"/>
          <w:sz w:val="22"/>
          <w:szCs w:val="22"/>
        </w:rPr>
        <w:t>Para la evaluación del curso se utilizarán las siguientes actividades</w:t>
      </w:r>
    </w:p>
    <w:p w:rsidR="00721B14" w:rsidRDefault="00864845">
      <w:pPr>
        <w:pStyle w:val="Prrafodelista"/>
        <w:numPr>
          <w:ilvl w:val="0"/>
          <w:numId w:val="2"/>
        </w:numPr>
        <w:tabs>
          <w:tab w:val="left" w:pos="0"/>
        </w:tabs>
        <w:jc w:val="both"/>
      </w:pPr>
      <w:r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</w:rPr>
        <w:t xml:space="preserve">Pruebas escritas: se realizarán hasta 3 pruebas escritas para evaluar el conocimiento teórico adquirido por el estudiante. </w:t>
      </w:r>
    </w:p>
    <w:p w:rsidR="00721B14" w:rsidRDefault="00864845">
      <w:pPr>
        <w:pStyle w:val="Prrafodelista"/>
        <w:numPr>
          <w:ilvl w:val="0"/>
          <w:numId w:val="2"/>
        </w:numPr>
        <w:tabs>
          <w:tab w:val="left" w:pos="0"/>
        </w:tabs>
        <w:jc w:val="both"/>
      </w:pPr>
      <w:r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</w:rPr>
        <w:t>Proyectos de programación: uso de herramientas como MATLAB, R o Python para la aplicación de técnicas avanzadas de aprendizaje de máquina.</w:t>
      </w:r>
    </w:p>
    <w:p w:rsidR="00721B14" w:rsidRDefault="00864845">
      <w:pPr>
        <w:pStyle w:val="Prrafodelista"/>
        <w:numPr>
          <w:ilvl w:val="0"/>
          <w:numId w:val="2"/>
        </w:numPr>
        <w:tabs>
          <w:tab w:val="left" w:pos="0"/>
        </w:tabs>
        <w:jc w:val="both"/>
      </w:pPr>
      <w:r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</w:rPr>
        <w:lastRenderedPageBreak/>
        <w:t>Revisión de literatura: el estudiante tendrá que realizar una breve revisión de literatura sobre un tema seleccionado de acuerdo a su tema de investigación y relacionado a uno o varios de los temas de la asignatura. Esta actividad busca afianzar competencias básicas de un investigador, como son la lectura de artículos científicos y la escritura científica.</w:t>
      </w:r>
    </w:p>
    <w:p w:rsidR="00721B14" w:rsidRDefault="00864845">
      <w:pPr>
        <w:pStyle w:val="Prrafodelista"/>
        <w:numPr>
          <w:ilvl w:val="0"/>
          <w:numId w:val="2"/>
        </w:numPr>
        <w:tabs>
          <w:tab w:val="left" w:pos="0"/>
        </w:tabs>
        <w:jc w:val="both"/>
      </w:pPr>
      <w:r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</w:rPr>
        <w:t>Presentación oral: el estudiante realizará una presentación sobre la revisión de literatura realizada. Esta actividad busca desarrollar las capacidades para expresión oral científica.</w:t>
      </w:r>
    </w:p>
    <w:p w:rsidR="00721B14" w:rsidRDefault="00864845">
      <w:pPr>
        <w:pStyle w:val="Prrafodelista"/>
        <w:tabs>
          <w:tab w:val="left" w:pos="0"/>
        </w:tabs>
        <w:ind w:left="360"/>
        <w:jc w:val="both"/>
        <w:rPr>
          <w:rFonts w:asciiTheme="minorHAnsi" w:hAnsiTheme="minorHAnsi" w:cstheme="minorHAnsi"/>
        </w:rPr>
      </w:pPr>
      <w:r>
        <w:rPr>
          <w:rStyle w:val="Textoennegrita"/>
          <w:rFonts w:ascii="Calibri" w:hAnsi="Calibri" w:cstheme="minorHAnsi"/>
          <w:b w:val="0"/>
          <w:bCs w:val="0"/>
          <w:sz w:val="22"/>
          <w:szCs w:val="22"/>
        </w:rPr>
        <w:t>Los porcentajes para cada una de las actividades se establecerán en el compromiso académico.</w:t>
      </w:r>
    </w:p>
    <w:p w:rsidR="00721B14" w:rsidRDefault="00721B14">
      <w:pPr>
        <w:tabs>
          <w:tab w:val="left" w:pos="0"/>
        </w:tabs>
        <w:jc w:val="both"/>
        <w:rPr>
          <w:rStyle w:val="Textoennegrita"/>
          <w:rFonts w:asciiTheme="minorHAnsi" w:hAnsiTheme="minorHAnsi" w:cstheme="minorHAnsi"/>
          <w:i/>
          <w:color w:val="808080" w:themeColor="background1" w:themeShade="80"/>
          <w:sz w:val="22"/>
          <w:szCs w:val="22"/>
        </w:rPr>
      </w:pPr>
    </w:p>
    <w:p w:rsidR="00721B14" w:rsidRDefault="00864845">
      <w:pPr>
        <w:pStyle w:val="Prrafodelista"/>
        <w:numPr>
          <w:ilvl w:val="0"/>
          <w:numId w:val="1"/>
        </w:numPr>
        <w:tabs>
          <w:tab w:val="left" w:pos="0"/>
        </w:tabs>
        <w:jc w:val="both"/>
      </w:pPr>
      <w:r>
        <w:rPr>
          <w:rStyle w:val="Textoennegrita"/>
          <w:rFonts w:asciiTheme="minorHAnsi" w:hAnsiTheme="minorHAnsi" w:cstheme="minorHAnsi"/>
          <w:sz w:val="22"/>
          <w:szCs w:val="22"/>
        </w:rPr>
        <w:t xml:space="preserve">BIBLIOGRAFÍA  </w:t>
      </w:r>
    </w:p>
    <w:p w:rsidR="00721B14" w:rsidRDefault="00721B14">
      <w:pPr>
        <w:pStyle w:val="Prrafodelista"/>
        <w:tabs>
          <w:tab w:val="left" w:pos="0"/>
        </w:tabs>
        <w:jc w:val="both"/>
        <w:rPr>
          <w:rStyle w:val="Textoennegrita"/>
          <w:rFonts w:asciiTheme="minorHAnsi" w:hAnsiTheme="minorHAnsi" w:cstheme="minorHAnsi"/>
          <w:sz w:val="22"/>
          <w:szCs w:val="22"/>
        </w:rPr>
      </w:pPr>
    </w:p>
    <w:p w:rsidR="00721B14" w:rsidRPr="006B6755" w:rsidRDefault="00864845">
      <w:pPr>
        <w:tabs>
          <w:tab w:val="left" w:pos="0"/>
        </w:tabs>
        <w:spacing w:before="200"/>
        <w:jc w:val="both"/>
        <w:rPr>
          <w:lang w:val="en-US"/>
        </w:rPr>
      </w:pPr>
      <w:proofErr w:type="spellStart"/>
      <w:r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Theodoridis</w:t>
      </w:r>
      <w:proofErr w:type="spellEnd"/>
      <w:r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, S. Pattern Recognition (4</w:t>
      </w:r>
      <w:r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  <w:vertAlign w:val="superscript"/>
          <w:lang w:val="en-US"/>
        </w:rPr>
        <w:t>th</w:t>
      </w:r>
      <w:r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Edition). Elsevier, 2009.</w:t>
      </w:r>
    </w:p>
    <w:p w:rsidR="00721B14" w:rsidRPr="006B6755" w:rsidRDefault="00864845">
      <w:pPr>
        <w:tabs>
          <w:tab w:val="left" w:pos="0"/>
        </w:tabs>
        <w:spacing w:before="200"/>
        <w:jc w:val="both"/>
        <w:rPr>
          <w:lang w:val="en-US"/>
        </w:rPr>
      </w:pPr>
      <w:r>
        <w:rPr>
          <w:rStyle w:val="Textoennegrita"/>
          <w:rFonts w:asciiTheme="minorHAnsi" w:hAnsiTheme="minorHAnsi" w:cstheme="minorHAnsi"/>
          <w:b w:val="0"/>
          <w:sz w:val="22"/>
          <w:szCs w:val="22"/>
          <w:lang w:val="en-US"/>
        </w:rPr>
        <w:t>Wasserman, L. </w:t>
      </w:r>
      <w:bookmarkStart w:id="2" w:name="__DdeLink__407_52533325"/>
      <w:bookmarkStart w:id="3" w:name="__DdeLink__405_52533325"/>
      <w:r>
        <w:rPr>
          <w:rStyle w:val="Textoennegrita"/>
          <w:rFonts w:asciiTheme="minorHAnsi" w:hAnsiTheme="minorHAnsi" w:cstheme="minorHAnsi"/>
          <w:b w:val="0"/>
          <w:sz w:val="22"/>
          <w:szCs w:val="22"/>
          <w:lang w:val="en-US"/>
        </w:rPr>
        <w:t>All of statistics: a concise course in statistical inference</w:t>
      </w:r>
      <w:bookmarkEnd w:id="2"/>
      <w:bookmarkEnd w:id="3"/>
      <w:r>
        <w:rPr>
          <w:rStyle w:val="Textoennegrita"/>
          <w:rFonts w:asciiTheme="minorHAnsi" w:hAnsiTheme="minorHAnsi" w:cstheme="minorHAnsi"/>
          <w:b w:val="0"/>
          <w:sz w:val="22"/>
          <w:szCs w:val="22"/>
          <w:lang w:val="en-US"/>
        </w:rPr>
        <w:t>. Springer, 2004.</w:t>
      </w:r>
    </w:p>
    <w:p w:rsidR="00721B14" w:rsidRPr="006B6755" w:rsidRDefault="00864845">
      <w:pPr>
        <w:tabs>
          <w:tab w:val="left" w:pos="0"/>
        </w:tabs>
        <w:spacing w:before="200"/>
        <w:jc w:val="both"/>
        <w:rPr>
          <w:lang w:val="en-US"/>
        </w:rPr>
      </w:pPr>
      <w:r>
        <w:rPr>
          <w:rStyle w:val="Textoennegrita"/>
          <w:rFonts w:asciiTheme="minorHAnsi" w:hAnsiTheme="minorHAnsi" w:cstheme="minorHAnsi"/>
          <w:b w:val="0"/>
          <w:sz w:val="22"/>
          <w:szCs w:val="22"/>
          <w:lang w:val="en-US"/>
        </w:rPr>
        <w:t>Bishop, C. M. Pattern recognition and machine learning (Vol. 1, p. 740). New York: Springer, 2006.</w:t>
      </w:r>
    </w:p>
    <w:p w:rsidR="00721B14" w:rsidRDefault="00864845">
      <w:pPr>
        <w:tabs>
          <w:tab w:val="left" w:pos="0"/>
        </w:tabs>
        <w:spacing w:before="200"/>
        <w:jc w:val="both"/>
      </w:pPr>
      <w:proofErr w:type="spellStart"/>
      <w:r>
        <w:rPr>
          <w:rFonts w:asciiTheme="minorHAnsi" w:hAnsiTheme="minorHAnsi" w:cs="Arial"/>
          <w:color w:val="222222"/>
          <w:sz w:val="22"/>
          <w:szCs w:val="22"/>
          <w:shd w:val="clear" w:color="auto" w:fill="FFFFFF"/>
          <w:lang w:val="en-US"/>
        </w:rPr>
        <w:t>Duda</w:t>
      </w:r>
      <w:proofErr w:type="spellEnd"/>
      <w:r>
        <w:rPr>
          <w:rFonts w:asciiTheme="minorHAnsi" w:hAnsiTheme="minorHAnsi" w:cs="Arial"/>
          <w:color w:val="222222"/>
          <w:sz w:val="22"/>
          <w:szCs w:val="22"/>
          <w:shd w:val="clear" w:color="auto" w:fill="FFFFFF"/>
          <w:lang w:val="en-US"/>
        </w:rPr>
        <w:t xml:space="preserve">, R. O., Hart, P. E., &amp; Stork, D. G. </w:t>
      </w:r>
      <w:r>
        <w:rPr>
          <w:rFonts w:asciiTheme="minorHAnsi" w:hAnsiTheme="minorHAnsi" w:cs="Arial"/>
          <w:i/>
          <w:iCs/>
          <w:color w:val="222222"/>
          <w:sz w:val="22"/>
          <w:szCs w:val="22"/>
          <w:shd w:val="clear" w:color="auto" w:fill="FFFFFF"/>
          <w:lang w:val="en-US"/>
        </w:rPr>
        <w:t>Pattern classification</w:t>
      </w:r>
      <w:r>
        <w:rPr>
          <w:rFonts w:asciiTheme="minorHAnsi" w:hAnsiTheme="minorHAnsi" w:cs="Arial"/>
          <w:color w:val="222222"/>
          <w:sz w:val="22"/>
          <w:szCs w:val="22"/>
          <w:shd w:val="clear" w:color="auto" w:fill="FFFFFF"/>
          <w:lang w:val="en-US"/>
        </w:rPr>
        <w:t>. John Wiley &amp; Sons, 2012.</w:t>
      </w:r>
    </w:p>
    <w:p w:rsidR="00721B14" w:rsidRDefault="00721B14">
      <w:pPr>
        <w:tabs>
          <w:tab w:val="left" w:pos="0"/>
        </w:tabs>
        <w:jc w:val="both"/>
        <w:rPr>
          <w:rStyle w:val="Textoennegrita"/>
          <w:rFonts w:asciiTheme="minorHAnsi" w:hAnsiTheme="minorHAnsi" w:cstheme="minorHAnsi"/>
          <w:color w:val="808080" w:themeColor="background1" w:themeShade="80"/>
          <w:sz w:val="22"/>
          <w:szCs w:val="22"/>
          <w:lang w:val="en-US"/>
        </w:rPr>
      </w:pPr>
    </w:p>
    <w:p w:rsidR="00721B14" w:rsidRDefault="00721B14">
      <w:pPr>
        <w:pStyle w:val="Prrafodelista"/>
        <w:tabs>
          <w:tab w:val="left" w:pos="0"/>
        </w:tabs>
        <w:ind w:left="360"/>
        <w:jc w:val="both"/>
        <w:rPr>
          <w:rStyle w:val="Textoennegrita"/>
          <w:rFonts w:asciiTheme="minorHAnsi" w:hAnsiTheme="minorHAnsi" w:cstheme="minorHAnsi"/>
          <w:sz w:val="22"/>
          <w:szCs w:val="22"/>
          <w:lang w:val="en-US"/>
        </w:rPr>
      </w:pPr>
    </w:p>
    <w:tbl>
      <w:tblPr>
        <w:tblW w:w="4850" w:type="pct"/>
        <w:jc w:val="center"/>
        <w:tblBorders>
          <w:top w:val="outset" w:sz="6" w:space="0" w:color="00000A"/>
          <w:left w:val="outset" w:sz="6" w:space="0" w:color="00000A"/>
          <w:bottom w:val="outset" w:sz="6" w:space="0" w:color="00000A"/>
          <w:right w:val="outset" w:sz="6" w:space="0" w:color="00000A"/>
          <w:insideH w:val="outset" w:sz="6" w:space="0" w:color="00000A"/>
          <w:insideV w:val="outset" w:sz="6" w:space="0" w:color="00000A"/>
        </w:tblBorders>
        <w:tblCellMar>
          <w:left w:w="-22" w:type="dxa"/>
        </w:tblCellMar>
        <w:tblLook w:val="04A0" w:firstRow="1" w:lastRow="0" w:firstColumn="1" w:lastColumn="0" w:noHBand="0" w:noVBand="1"/>
      </w:tblPr>
      <w:tblGrid>
        <w:gridCol w:w="1914"/>
        <w:gridCol w:w="3012"/>
        <w:gridCol w:w="1066"/>
        <w:gridCol w:w="2565"/>
      </w:tblGrid>
      <w:tr w:rsidR="00721B14">
        <w:trPr>
          <w:jc w:val="center"/>
        </w:trPr>
        <w:tc>
          <w:tcPr>
            <w:tcW w:w="1917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auto"/>
            <w:tcMar>
              <w:left w:w="-22" w:type="dxa"/>
            </w:tcMar>
          </w:tcPr>
          <w:p w:rsidR="00721B14" w:rsidRDefault="00864845">
            <w:pPr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Elaborado</w:t>
            </w:r>
            <w:proofErr w:type="spellEnd"/>
            <w:r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por</w:t>
            </w:r>
            <w:proofErr w:type="spellEnd"/>
            <w:r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:</w:t>
            </w:r>
          </w:p>
        </w:tc>
        <w:tc>
          <w:tcPr>
            <w:tcW w:w="6654" w:type="dxa"/>
            <w:gridSpan w:val="3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auto"/>
            <w:tcMar>
              <w:left w:w="-22" w:type="dxa"/>
            </w:tcMar>
          </w:tcPr>
          <w:p w:rsidR="00721B14" w:rsidRDefault="00864845"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Andrés Eduardo Castro Ospina, Gloria Mercedes Díaz</w:t>
            </w:r>
          </w:p>
          <w:p w:rsidR="00721B14" w:rsidRDefault="00864845">
            <w:r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  <w:t>Revisado por:</w:t>
            </w: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 xml:space="preserve"> Maria Constanza Torres</w:t>
            </w:r>
          </w:p>
        </w:tc>
      </w:tr>
      <w:tr w:rsidR="00721B14">
        <w:trPr>
          <w:jc w:val="center"/>
        </w:trPr>
        <w:tc>
          <w:tcPr>
            <w:tcW w:w="1917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auto"/>
            <w:tcMar>
              <w:left w:w="-22" w:type="dxa"/>
            </w:tcMar>
          </w:tcPr>
          <w:p w:rsidR="00721B14" w:rsidRDefault="00864845">
            <w:pPr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Aprobado</w:t>
            </w:r>
            <w:proofErr w:type="spellEnd"/>
            <w:r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por</w:t>
            </w:r>
            <w:proofErr w:type="spellEnd"/>
            <w:r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:</w:t>
            </w:r>
          </w:p>
        </w:tc>
        <w:tc>
          <w:tcPr>
            <w:tcW w:w="3018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auto"/>
            <w:tcMar>
              <w:left w:w="-22" w:type="dxa"/>
            </w:tcMar>
          </w:tcPr>
          <w:p w:rsidR="00721B14" w:rsidRPr="006B6755" w:rsidRDefault="00864845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B6755">
              <w:rPr>
                <w:rFonts w:ascii="Calibri" w:hAnsi="Calibri" w:cstheme="minorHAnsi"/>
                <w:sz w:val="22"/>
                <w:szCs w:val="22"/>
                <w:lang w:val="en-US"/>
              </w:rPr>
              <w:t xml:space="preserve">Heber Augusto </w:t>
            </w:r>
            <w:proofErr w:type="spellStart"/>
            <w:r w:rsidRPr="006B6755">
              <w:rPr>
                <w:rFonts w:ascii="Calibri" w:hAnsi="Calibri" w:cstheme="minorHAnsi"/>
                <w:sz w:val="22"/>
                <w:szCs w:val="22"/>
                <w:lang w:val="en-US"/>
              </w:rPr>
              <w:t>López</w:t>
            </w:r>
            <w:proofErr w:type="spellEnd"/>
            <w:r w:rsidRPr="006B6755">
              <w:rPr>
                <w:rFonts w:ascii="Calibri" w:hAnsi="Calibri" w:cstheme="minorHAnsi"/>
                <w:sz w:val="22"/>
                <w:szCs w:val="22"/>
                <w:lang w:val="en-US"/>
              </w:rPr>
              <w:t xml:space="preserve"> Osorio</w:t>
            </w:r>
          </w:p>
        </w:tc>
        <w:tc>
          <w:tcPr>
            <w:tcW w:w="1067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auto"/>
            <w:tcMar>
              <w:left w:w="-22" w:type="dxa"/>
            </w:tcMar>
          </w:tcPr>
          <w:p w:rsidR="00721B14" w:rsidRDefault="00864845">
            <w:pPr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Fecha</w:t>
            </w:r>
            <w:proofErr w:type="spellEnd"/>
            <w:r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:</w:t>
            </w:r>
          </w:p>
        </w:tc>
        <w:tc>
          <w:tcPr>
            <w:tcW w:w="2569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auto"/>
            <w:tcMar>
              <w:left w:w="-22" w:type="dxa"/>
            </w:tcMar>
          </w:tcPr>
          <w:p w:rsidR="00721B14" w:rsidRDefault="00864845">
            <w:pPr>
              <w:jc w:val="right"/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04/09/2017</w:t>
            </w:r>
          </w:p>
        </w:tc>
      </w:tr>
    </w:tbl>
    <w:p w:rsidR="00721B14" w:rsidRDefault="00721B14">
      <w:pPr>
        <w:pStyle w:val="Prrafodelista"/>
        <w:tabs>
          <w:tab w:val="left" w:pos="0"/>
        </w:tabs>
        <w:ind w:left="360"/>
        <w:jc w:val="both"/>
      </w:pPr>
    </w:p>
    <w:sectPr w:rsidR="00721B14">
      <w:headerReference w:type="default" r:id="rId7"/>
      <w:pgSz w:w="12240" w:h="15840"/>
      <w:pgMar w:top="1418" w:right="1701" w:bottom="1418" w:left="1701" w:header="720" w:footer="0" w:gutter="0"/>
      <w:cols w:space="720"/>
      <w:formProt w:val="0"/>
      <w:docGrid w:linePitch="249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7187" w:rsidRDefault="00837187">
      <w:r>
        <w:separator/>
      </w:r>
    </w:p>
  </w:endnote>
  <w:endnote w:type="continuationSeparator" w:id="0">
    <w:p w:rsidR="00837187" w:rsidRDefault="008371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Times New Roman"/>
    <w:charset w:val="01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7187" w:rsidRDefault="00837187">
      <w:r>
        <w:separator/>
      </w:r>
    </w:p>
  </w:footnote>
  <w:footnote w:type="continuationSeparator" w:id="0">
    <w:p w:rsidR="00837187" w:rsidRDefault="008371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1B14" w:rsidRDefault="00721B14">
    <w:pPr>
      <w:pStyle w:val="Encabezado"/>
    </w:pPr>
  </w:p>
  <w:tbl>
    <w:tblPr>
      <w:tblW w:w="5000" w:type="pct"/>
      <w:tblInd w:w="-30" w:type="dxa"/>
      <w:tblBorders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  <w:insideH w:val="single" w:sz="4" w:space="0" w:color="00000A"/>
        <w:insideV w:val="single" w:sz="4" w:space="0" w:color="00000A"/>
      </w:tblBorders>
      <w:tblCellMar>
        <w:left w:w="78" w:type="dxa"/>
      </w:tblCellMar>
      <w:tblLook w:val="01E0" w:firstRow="1" w:lastRow="1" w:firstColumn="1" w:lastColumn="1" w:noHBand="0" w:noVBand="0"/>
    </w:tblPr>
    <w:tblGrid>
      <w:gridCol w:w="1836"/>
      <w:gridCol w:w="4749"/>
      <w:gridCol w:w="947"/>
      <w:gridCol w:w="1296"/>
    </w:tblGrid>
    <w:tr w:rsidR="00721B14">
      <w:trPr>
        <w:trHeight w:val="278"/>
      </w:trPr>
      <w:tc>
        <w:tcPr>
          <w:tcW w:w="1839" w:type="dxa"/>
          <w:vMerge w:val="restart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78" w:type="dxa"/>
          </w:tcMar>
        </w:tcPr>
        <w:p w:rsidR="00721B14" w:rsidRDefault="00864845">
          <w:r>
            <w:rPr>
              <w:noProof/>
              <w:lang w:val="es-MX" w:eastAsia="es-MX"/>
            </w:rPr>
            <w:drawing>
              <wp:anchor distT="0" distB="0" distL="133350" distR="114300" simplePos="0" relativeHeight="3" behindDoc="1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107950</wp:posOffset>
                </wp:positionV>
                <wp:extent cx="800100" cy="375920"/>
                <wp:effectExtent l="0" t="0" r="0" b="0"/>
                <wp:wrapNone/>
                <wp:docPr id="1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754" w:type="dxa"/>
          <w:vMerge w:val="restart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78" w:type="dxa"/>
          </w:tcMar>
          <w:vAlign w:val="center"/>
        </w:tcPr>
        <w:p w:rsidR="00721B14" w:rsidRDefault="00864845">
          <w:pPr>
            <w:jc w:val="center"/>
            <w:rPr>
              <w:rFonts w:cs="Arial"/>
              <w:b/>
              <w:sz w:val="22"/>
              <w:szCs w:val="22"/>
            </w:rPr>
          </w:pPr>
          <w:r>
            <w:rPr>
              <w:rFonts w:cs="Arial"/>
              <w:b/>
              <w:sz w:val="22"/>
              <w:szCs w:val="22"/>
            </w:rPr>
            <w:t>MICRODISEÑO CURRICULAR DEPARTAMENTO DE POSGRADOS</w:t>
          </w:r>
        </w:p>
      </w:tc>
      <w:tc>
        <w:tcPr>
          <w:tcW w:w="947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78" w:type="dxa"/>
          </w:tcMar>
        </w:tcPr>
        <w:p w:rsidR="00721B14" w:rsidRDefault="00864845">
          <w:pPr>
            <w:rPr>
              <w:rFonts w:cs="Arial"/>
              <w:sz w:val="22"/>
              <w:szCs w:val="22"/>
            </w:rPr>
          </w:pPr>
          <w:r>
            <w:rPr>
              <w:rFonts w:cs="Arial"/>
              <w:sz w:val="22"/>
              <w:szCs w:val="22"/>
            </w:rPr>
            <w:t>Código</w:t>
          </w:r>
        </w:p>
      </w:tc>
      <w:tc>
        <w:tcPr>
          <w:tcW w:w="1297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78" w:type="dxa"/>
          </w:tcMar>
        </w:tcPr>
        <w:p w:rsidR="00721B14" w:rsidRDefault="00864845">
          <w:pPr>
            <w:rPr>
              <w:rFonts w:cs="Arial"/>
              <w:sz w:val="22"/>
              <w:szCs w:val="22"/>
            </w:rPr>
          </w:pPr>
          <w:r>
            <w:rPr>
              <w:rFonts w:cs="Arial"/>
              <w:sz w:val="22"/>
              <w:szCs w:val="22"/>
            </w:rPr>
            <w:t>FDE 018</w:t>
          </w:r>
        </w:p>
      </w:tc>
    </w:tr>
    <w:tr w:rsidR="00721B14">
      <w:trPr>
        <w:trHeight w:val="277"/>
      </w:trPr>
      <w:tc>
        <w:tcPr>
          <w:tcW w:w="1839" w:type="dxa"/>
          <w:vMerge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78" w:type="dxa"/>
          </w:tcMar>
        </w:tcPr>
        <w:p w:rsidR="00721B14" w:rsidRDefault="00721B14"/>
      </w:tc>
      <w:tc>
        <w:tcPr>
          <w:tcW w:w="4754" w:type="dxa"/>
          <w:vMerge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78" w:type="dxa"/>
          </w:tcMar>
        </w:tcPr>
        <w:p w:rsidR="00721B14" w:rsidRDefault="00721B14">
          <w:pPr>
            <w:rPr>
              <w:rFonts w:cs="Arial"/>
              <w:sz w:val="22"/>
              <w:szCs w:val="22"/>
            </w:rPr>
          </w:pPr>
        </w:p>
      </w:tc>
      <w:tc>
        <w:tcPr>
          <w:tcW w:w="947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78" w:type="dxa"/>
          </w:tcMar>
        </w:tcPr>
        <w:p w:rsidR="00721B14" w:rsidRDefault="00864845">
          <w:pPr>
            <w:rPr>
              <w:rFonts w:cs="Arial"/>
              <w:sz w:val="22"/>
              <w:szCs w:val="22"/>
            </w:rPr>
          </w:pPr>
          <w:r>
            <w:rPr>
              <w:rFonts w:cs="Arial"/>
              <w:sz w:val="22"/>
              <w:szCs w:val="22"/>
            </w:rPr>
            <w:t>Versión</w:t>
          </w:r>
        </w:p>
      </w:tc>
      <w:tc>
        <w:tcPr>
          <w:tcW w:w="1297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78" w:type="dxa"/>
          </w:tcMar>
        </w:tcPr>
        <w:p w:rsidR="00721B14" w:rsidRDefault="00864845">
          <w:pPr>
            <w:rPr>
              <w:rFonts w:cs="Arial"/>
              <w:sz w:val="22"/>
              <w:szCs w:val="22"/>
            </w:rPr>
          </w:pPr>
          <w:r>
            <w:rPr>
              <w:rFonts w:cs="Arial"/>
              <w:sz w:val="22"/>
              <w:szCs w:val="22"/>
            </w:rPr>
            <w:t>01</w:t>
          </w:r>
        </w:p>
      </w:tc>
    </w:tr>
    <w:tr w:rsidR="00721B14">
      <w:trPr>
        <w:trHeight w:val="277"/>
      </w:trPr>
      <w:tc>
        <w:tcPr>
          <w:tcW w:w="1839" w:type="dxa"/>
          <w:vMerge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78" w:type="dxa"/>
          </w:tcMar>
        </w:tcPr>
        <w:p w:rsidR="00721B14" w:rsidRDefault="00721B14"/>
      </w:tc>
      <w:tc>
        <w:tcPr>
          <w:tcW w:w="4754" w:type="dxa"/>
          <w:vMerge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78" w:type="dxa"/>
          </w:tcMar>
        </w:tcPr>
        <w:p w:rsidR="00721B14" w:rsidRDefault="00721B14">
          <w:pPr>
            <w:rPr>
              <w:rFonts w:cs="Arial"/>
              <w:sz w:val="22"/>
              <w:szCs w:val="22"/>
            </w:rPr>
          </w:pPr>
        </w:p>
      </w:tc>
      <w:tc>
        <w:tcPr>
          <w:tcW w:w="947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78" w:type="dxa"/>
          </w:tcMar>
        </w:tcPr>
        <w:p w:rsidR="00721B14" w:rsidRDefault="00864845">
          <w:pPr>
            <w:rPr>
              <w:rFonts w:cs="Arial"/>
              <w:sz w:val="22"/>
              <w:szCs w:val="22"/>
            </w:rPr>
          </w:pPr>
          <w:r>
            <w:rPr>
              <w:rFonts w:cs="Arial"/>
              <w:sz w:val="22"/>
              <w:szCs w:val="22"/>
            </w:rPr>
            <w:t>Fecha</w:t>
          </w:r>
        </w:p>
      </w:tc>
      <w:tc>
        <w:tcPr>
          <w:tcW w:w="1297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78" w:type="dxa"/>
          </w:tcMar>
        </w:tcPr>
        <w:p w:rsidR="00721B14" w:rsidRDefault="00864845">
          <w:pPr>
            <w:rPr>
              <w:rFonts w:cs="Arial"/>
              <w:sz w:val="22"/>
              <w:szCs w:val="22"/>
            </w:rPr>
          </w:pPr>
          <w:r>
            <w:rPr>
              <w:rFonts w:cs="Arial"/>
              <w:sz w:val="22"/>
              <w:szCs w:val="22"/>
            </w:rPr>
            <w:t>2015-03-25</w:t>
          </w:r>
        </w:p>
      </w:tc>
    </w:tr>
  </w:tbl>
  <w:p w:rsidR="00721B14" w:rsidRDefault="00721B14">
    <w:pPr>
      <w:pStyle w:val="Encabezado"/>
    </w:pPr>
  </w:p>
  <w:p w:rsidR="00721B14" w:rsidRDefault="00721B1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3B75BE"/>
    <w:multiLevelType w:val="multilevel"/>
    <w:tmpl w:val="AC7489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1" w15:restartNumberingAfterBreak="0">
    <w:nsid w:val="56400B4E"/>
    <w:multiLevelType w:val="multilevel"/>
    <w:tmpl w:val="ADD0A3A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7F0C5629"/>
    <w:multiLevelType w:val="multilevel"/>
    <w:tmpl w:val="455660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B14"/>
    <w:rsid w:val="00504919"/>
    <w:rsid w:val="006B6755"/>
    <w:rsid w:val="00721B14"/>
    <w:rsid w:val="00837187"/>
    <w:rsid w:val="008611FF"/>
    <w:rsid w:val="0086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9BA0B8C-45B7-4734-8CA4-45EDD4793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1B4B"/>
    <w:rPr>
      <w:color w:val="00000A"/>
      <w:lang w:val="es-ES"/>
    </w:rPr>
  </w:style>
  <w:style w:type="paragraph" w:styleId="Ttulo1">
    <w:name w:val="heading 1"/>
    <w:basedOn w:val="Normal"/>
    <w:next w:val="Normal"/>
    <w:qFormat/>
    <w:rsid w:val="00E21B4B"/>
    <w:pPr>
      <w:keepNext/>
      <w:outlineLvl w:val="0"/>
    </w:pPr>
    <w:rPr>
      <w:b/>
      <w:lang w:val="es-CO"/>
    </w:rPr>
  </w:style>
  <w:style w:type="paragraph" w:styleId="Ttulo2">
    <w:name w:val="heading 2"/>
    <w:basedOn w:val="Normal"/>
    <w:next w:val="Normal"/>
    <w:qFormat/>
    <w:rsid w:val="00E21B4B"/>
    <w:pPr>
      <w:keepNext/>
      <w:jc w:val="both"/>
      <w:outlineLvl w:val="1"/>
    </w:pPr>
    <w:rPr>
      <w:b/>
      <w:i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896C16"/>
    <w:rPr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896C16"/>
    <w:rPr>
      <w:lang w:val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896C16"/>
    <w:rPr>
      <w:rFonts w:ascii="Tahoma" w:hAnsi="Tahoma" w:cs="Tahoma"/>
      <w:sz w:val="16"/>
      <w:szCs w:val="16"/>
      <w:lang w:val="es-ES"/>
    </w:rPr>
  </w:style>
  <w:style w:type="character" w:styleId="Textoennegrita">
    <w:name w:val="Strong"/>
    <w:qFormat/>
    <w:rsid w:val="0021502B"/>
    <w:rPr>
      <w:b/>
      <w:bCs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qFormat/>
    <w:rsid w:val="0021502B"/>
    <w:rPr>
      <w:rFonts w:ascii="Calibri" w:hAnsi="Calibri"/>
      <w:lang w:eastAsia="en-US" w:bidi="en-US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D65800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D65800"/>
    <w:rPr>
      <w:lang w:val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D65800"/>
    <w:rPr>
      <w:b/>
      <w:bCs/>
      <w:lang w:val="es-ES"/>
    </w:rPr>
  </w:style>
  <w:style w:type="character" w:customStyle="1" w:styleId="apple-converted-space">
    <w:name w:val="apple-converted-space"/>
    <w:basedOn w:val="Fuentedeprrafopredeter"/>
    <w:qFormat/>
    <w:rsid w:val="00BB7CB7"/>
  </w:style>
  <w:style w:type="character" w:customStyle="1" w:styleId="ListLabel1">
    <w:name w:val="ListLabel 1"/>
    <w:qFormat/>
    <w:rPr>
      <w:rFonts w:eastAsia="Times New Roman" w:cs="Times New Roman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color w:val="00000A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ascii="Calibri" w:hAnsi="Calibri" w:cs="Symbol"/>
      <w:sz w:val="22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Wingdings"/>
    </w:rPr>
  </w:style>
  <w:style w:type="character" w:customStyle="1" w:styleId="ListLabel21">
    <w:name w:val="ListLabel 21"/>
    <w:qFormat/>
    <w:rPr>
      <w:rFonts w:cs="Symbol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Wingdings"/>
    </w:rPr>
  </w:style>
  <w:style w:type="character" w:customStyle="1" w:styleId="ListLabel24">
    <w:name w:val="ListLabel 24"/>
    <w:qFormat/>
    <w:rPr>
      <w:rFonts w:cs="Symbol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Wingdings"/>
    </w:rPr>
  </w:style>
  <w:style w:type="character" w:customStyle="1" w:styleId="ListLabel27">
    <w:name w:val="ListLabel 27"/>
    <w:qFormat/>
    <w:rPr>
      <w:rFonts w:ascii="Calibri" w:hAnsi="Calibri" w:cs="Symbol"/>
      <w:sz w:val="22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Wingdings"/>
    </w:rPr>
  </w:style>
  <w:style w:type="character" w:customStyle="1" w:styleId="ListLabel30">
    <w:name w:val="ListLabel 30"/>
    <w:qFormat/>
    <w:rPr>
      <w:rFonts w:cs="Symbol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Wingdings"/>
    </w:rPr>
  </w:style>
  <w:style w:type="character" w:customStyle="1" w:styleId="ListLabel33">
    <w:name w:val="ListLabel 33"/>
    <w:qFormat/>
    <w:rPr>
      <w:rFonts w:cs="Symbol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Wingdings"/>
    </w:rPr>
  </w:style>
  <w:style w:type="character" w:customStyle="1" w:styleId="ListLabel36">
    <w:name w:val="ListLabel 36"/>
    <w:qFormat/>
    <w:rPr>
      <w:rFonts w:cs="Symbol"/>
      <w:sz w:val="22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cs="Wingdings"/>
    </w:rPr>
  </w:style>
  <w:style w:type="character" w:customStyle="1" w:styleId="ListLabel39">
    <w:name w:val="ListLabel 39"/>
    <w:qFormat/>
    <w:rPr>
      <w:rFonts w:cs="Symbol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rFonts w:cs="Wingdings"/>
    </w:rPr>
  </w:style>
  <w:style w:type="character" w:customStyle="1" w:styleId="ListLabel42">
    <w:name w:val="ListLabel 42"/>
    <w:qFormat/>
    <w:rPr>
      <w:rFonts w:cs="Symbol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Wingdings"/>
    </w:rPr>
  </w:style>
  <w:style w:type="character" w:customStyle="1" w:styleId="ListLabel45">
    <w:name w:val="ListLabel 45"/>
    <w:qFormat/>
    <w:rPr>
      <w:rFonts w:ascii="Calibri" w:hAnsi="Calibri" w:cs="Symbol"/>
      <w:sz w:val="22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Wingdings"/>
    </w:rPr>
  </w:style>
  <w:style w:type="character" w:customStyle="1" w:styleId="ListLabel48">
    <w:name w:val="ListLabel 48"/>
    <w:qFormat/>
    <w:rPr>
      <w:rFonts w:cs="Symbol"/>
    </w:rPr>
  </w:style>
  <w:style w:type="character" w:customStyle="1" w:styleId="ListLabel49">
    <w:name w:val="ListLabel 49"/>
    <w:qFormat/>
    <w:rPr>
      <w:rFonts w:cs="Courier New"/>
    </w:rPr>
  </w:style>
  <w:style w:type="character" w:customStyle="1" w:styleId="ListLabel50">
    <w:name w:val="ListLabel 50"/>
    <w:qFormat/>
    <w:rPr>
      <w:rFonts w:cs="Wingdings"/>
    </w:rPr>
  </w:style>
  <w:style w:type="character" w:customStyle="1" w:styleId="ListLabel51">
    <w:name w:val="ListLabel 51"/>
    <w:qFormat/>
    <w:rPr>
      <w:rFonts w:cs="Symbol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rFonts w:cs="Wingdings"/>
    </w:rPr>
  </w:style>
  <w:style w:type="character" w:customStyle="1" w:styleId="ListLabel54">
    <w:name w:val="ListLabel 54"/>
    <w:qFormat/>
    <w:rPr>
      <w:rFonts w:ascii="Calibri" w:hAnsi="Calibri" w:cs="Symbol"/>
      <w:sz w:val="22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Wingdings"/>
    </w:rPr>
  </w:style>
  <w:style w:type="character" w:customStyle="1" w:styleId="ListLabel57">
    <w:name w:val="ListLabel 57"/>
    <w:qFormat/>
    <w:rPr>
      <w:rFonts w:cs="Symbol"/>
    </w:rPr>
  </w:style>
  <w:style w:type="character" w:customStyle="1" w:styleId="ListLabel58">
    <w:name w:val="ListLabel 58"/>
    <w:qFormat/>
    <w:rPr>
      <w:rFonts w:cs="Courier New"/>
    </w:rPr>
  </w:style>
  <w:style w:type="character" w:customStyle="1" w:styleId="ListLabel59">
    <w:name w:val="ListLabel 59"/>
    <w:qFormat/>
    <w:rPr>
      <w:rFonts w:cs="Wingdings"/>
    </w:rPr>
  </w:style>
  <w:style w:type="character" w:customStyle="1" w:styleId="ListLabel60">
    <w:name w:val="ListLabel 60"/>
    <w:qFormat/>
    <w:rPr>
      <w:rFonts w:cs="Symbol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rFonts w:cs="Wingdings"/>
    </w:rPr>
  </w:style>
  <w:style w:type="character" w:customStyle="1" w:styleId="ListLabel63">
    <w:name w:val="ListLabel 63"/>
    <w:qFormat/>
    <w:rPr>
      <w:rFonts w:ascii="Calibri" w:hAnsi="Calibri" w:cs="Symbol"/>
      <w:sz w:val="22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cs="Wingdings"/>
    </w:rPr>
  </w:style>
  <w:style w:type="character" w:customStyle="1" w:styleId="ListLabel66">
    <w:name w:val="ListLabel 66"/>
    <w:qFormat/>
    <w:rPr>
      <w:rFonts w:cs="Symbol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Wingdings"/>
    </w:rPr>
  </w:style>
  <w:style w:type="character" w:customStyle="1" w:styleId="ListLabel69">
    <w:name w:val="ListLabel 69"/>
    <w:qFormat/>
    <w:rPr>
      <w:rFonts w:cs="Symbol"/>
    </w:rPr>
  </w:style>
  <w:style w:type="character" w:customStyle="1" w:styleId="ListLabel70">
    <w:name w:val="ListLabel 70"/>
    <w:qFormat/>
    <w:rPr>
      <w:rFonts w:cs="Courier New"/>
    </w:rPr>
  </w:style>
  <w:style w:type="character" w:customStyle="1" w:styleId="ListLabel71">
    <w:name w:val="ListLabel 71"/>
    <w:qFormat/>
    <w:rPr>
      <w:rFonts w:cs="Wingdings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a">
    <w:name w:val="List"/>
    <w:basedOn w:val="TextBody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extBodyIndent">
    <w:name w:val="Text Body Indent"/>
    <w:basedOn w:val="Normal"/>
    <w:semiHidden/>
    <w:rsid w:val="00E21B4B"/>
    <w:pPr>
      <w:ind w:left="708"/>
      <w:jc w:val="both"/>
    </w:pPr>
    <w:rPr>
      <w:lang w:val="es-CO"/>
    </w:rPr>
  </w:style>
  <w:style w:type="paragraph" w:styleId="Prrafodelista">
    <w:name w:val="List Paragraph"/>
    <w:basedOn w:val="Normal"/>
    <w:uiPriority w:val="34"/>
    <w:qFormat/>
    <w:rsid w:val="0085727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96C16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/>
    <w:rsid w:val="00896C16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896C16"/>
    <w:rPr>
      <w:rFonts w:ascii="Tahoma" w:hAnsi="Tahoma" w:cs="Tahoma"/>
      <w:sz w:val="16"/>
      <w:szCs w:val="16"/>
    </w:rPr>
  </w:style>
  <w:style w:type="paragraph" w:styleId="Textoindependiente2">
    <w:name w:val="Body Text 2"/>
    <w:basedOn w:val="Normal"/>
    <w:link w:val="Textoindependiente2Car"/>
    <w:uiPriority w:val="99"/>
    <w:unhideWhenUsed/>
    <w:qFormat/>
    <w:rsid w:val="0021502B"/>
    <w:pPr>
      <w:spacing w:before="200" w:after="120" w:line="480" w:lineRule="auto"/>
    </w:pPr>
    <w:rPr>
      <w:rFonts w:ascii="Calibri" w:hAnsi="Calibri"/>
      <w:lang w:val="es-CO" w:eastAsia="en-US" w:bidi="en-US"/>
    </w:rPr>
  </w:style>
  <w:style w:type="paragraph" w:styleId="NormalWeb">
    <w:name w:val="Normal (Web)"/>
    <w:basedOn w:val="Normal"/>
    <w:uiPriority w:val="99"/>
    <w:unhideWhenUsed/>
    <w:qFormat/>
    <w:rsid w:val="00CE402C"/>
    <w:pPr>
      <w:spacing w:beforeAutospacing="1" w:afterAutospacing="1"/>
    </w:pPr>
    <w:rPr>
      <w:sz w:val="24"/>
      <w:szCs w:val="24"/>
      <w:lang w:val="es-CO" w:bidi="en-US"/>
    </w:rPr>
  </w:style>
  <w:style w:type="paragraph" w:customStyle="1" w:styleId="Default">
    <w:name w:val="Default"/>
    <w:qFormat/>
    <w:rsid w:val="0031427B"/>
    <w:pPr>
      <w:spacing w:before="200"/>
    </w:pPr>
    <w:rPr>
      <w:rFonts w:ascii="Arial" w:eastAsiaTheme="minorEastAsia" w:hAnsi="Arial" w:cs="Arial"/>
      <w:color w:val="000000"/>
      <w:sz w:val="24"/>
      <w:szCs w:val="24"/>
      <w:lang w:val="en-US" w:eastAsia="en-US" w:bidi="en-U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D65800"/>
  </w:style>
  <w:style w:type="paragraph" w:styleId="Asuntodelcomentario">
    <w:name w:val="annotation subject"/>
    <w:basedOn w:val="Textocomentario"/>
    <w:link w:val="AsuntodelcomentarioCar"/>
    <w:uiPriority w:val="99"/>
    <w:semiHidden/>
    <w:unhideWhenUsed/>
    <w:qFormat/>
    <w:rsid w:val="00D65800"/>
    <w:rPr>
      <w:b/>
      <w:bCs/>
    </w:rPr>
  </w:style>
  <w:style w:type="paragraph" w:customStyle="1" w:styleId="TableContents">
    <w:name w:val="Table Contents"/>
    <w:basedOn w:val="Normal"/>
    <w:qFormat/>
  </w:style>
  <w:style w:type="paragraph" w:customStyle="1" w:styleId="TableHeading">
    <w:name w:val="Table Heading"/>
    <w:basedOn w:val="TableContents"/>
    <w:qFormat/>
  </w:style>
  <w:style w:type="table" w:styleId="Tablaconcuadrcula">
    <w:name w:val="Table Grid"/>
    <w:basedOn w:val="Tablanormal"/>
    <w:uiPriority w:val="59"/>
    <w:rsid w:val="0085727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Estilo1">
    <w:name w:val="Estilo1"/>
    <w:basedOn w:val="Tablaweb2"/>
    <w:uiPriority w:val="99"/>
    <w:qFormat/>
    <w:rsid w:val="003A7464"/>
    <w:tblPr/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3A7464"/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47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423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REQUISITOS ACTAS</vt:lpstr>
    </vt:vector>
  </TitlesOfParts>
  <Company>CAMARA DE COMERCIO DE CALI</Company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ACTAS</dc:title>
  <dc:creator>oramirez</dc:creator>
  <cp:lastModifiedBy>Jefe Electronica y Telecomunicaciones</cp:lastModifiedBy>
  <cp:revision>2</cp:revision>
  <cp:lastPrinted>2011-07-21T13:29:00Z</cp:lastPrinted>
  <dcterms:created xsi:type="dcterms:W3CDTF">2019-01-29T16:49:00Z</dcterms:created>
  <dcterms:modified xsi:type="dcterms:W3CDTF">2019-01-29T16:49:00Z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CAMARA DE COMERCIO DE CALI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