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D700B" w:rsidRDefault="005D700B">
      <w:pPr>
        <w:rPr>
          <w:lang w:val="en-GB"/>
        </w:rPr>
      </w:pPr>
      <w:r>
        <w:rPr>
          <w:lang w:val="en-GB"/>
        </w:rPr>
        <w:t>Household Waste</w:t>
      </w:r>
    </w:p>
    <w:p w:rsidR="005D700B" w:rsidRDefault="00290426">
      <w:pPr>
        <w:rPr>
          <w:lang w:val="en-GB"/>
        </w:rPr>
      </w:pPr>
      <w:r>
        <w:rPr>
          <w:lang w:val="en-GB"/>
        </w:rPr>
        <w:t xml:space="preserve">Notes from: Slack, </w:t>
      </w:r>
      <w:proofErr w:type="spellStart"/>
      <w:r>
        <w:rPr>
          <w:lang w:val="en-GB"/>
        </w:rPr>
        <w:t>Gronow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Voulvoulis</w:t>
      </w:r>
      <w:proofErr w:type="spellEnd"/>
      <w:r>
        <w:rPr>
          <w:lang w:val="en-GB"/>
        </w:rPr>
        <w:t xml:space="preserve"> J </w:t>
      </w:r>
      <w:proofErr w:type="spellStart"/>
      <w:r>
        <w:rPr>
          <w:lang w:val="en-GB"/>
        </w:rPr>
        <w:t>Env</w:t>
      </w:r>
      <w:proofErr w:type="spellEnd"/>
      <w:r>
        <w:rPr>
          <w:lang w:val="en-GB"/>
        </w:rPr>
        <w:t xml:space="preserve"> Mgt.</w:t>
      </w:r>
    </w:p>
    <w:p w:rsidR="00290426" w:rsidRDefault="00290426">
      <w:pPr>
        <w:rPr>
          <w:lang w:val="en-GB"/>
        </w:rPr>
      </w:pPr>
    </w:p>
    <w:p w:rsidR="005D700B" w:rsidRDefault="005D700B">
      <w:pPr>
        <w:rPr>
          <w:lang w:val="en-GB"/>
        </w:rPr>
      </w:pPr>
      <w:r>
        <w:rPr>
          <w:lang w:val="en-GB"/>
        </w:rPr>
        <w:t xml:space="preserve">Royal </w:t>
      </w:r>
      <w:proofErr w:type="spellStart"/>
      <w:r>
        <w:rPr>
          <w:lang w:val="en-GB"/>
        </w:rPr>
        <w:t>Commision</w:t>
      </w:r>
      <w:proofErr w:type="spellEnd"/>
      <w:r>
        <w:rPr>
          <w:lang w:val="en-GB"/>
        </w:rPr>
        <w:t xml:space="preserve"> on Environmental </w:t>
      </w:r>
      <w:proofErr w:type="spellStart"/>
      <w:r>
        <w:rPr>
          <w:lang w:val="en-GB"/>
        </w:rPr>
        <w:t>Pollutoin</w:t>
      </w:r>
      <w:proofErr w:type="spellEnd"/>
      <w:r>
        <w:rPr>
          <w:lang w:val="en-GB"/>
        </w:rPr>
        <w:t xml:space="preserve"> 1970</w:t>
      </w:r>
    </w:p>
    <w:p w:rsidR="005D700B" w:rsidRDefault="005D700B">
      <w:pPr>
        <w:rPr>
          <w:lang w:val="en-GB"/>
        </w:rPr>
      </w:pPr>
      <w:r>
        <w:rPr>
          <w:lang w:val="en-GB"/>
        </w:rPr>
        <w:t>Deposit of Poisonous Waste Act 1972</w:t>
      </w:r>
    </w:p>
    <w:p w:rsidR="005D700B" w:rsidRDefault="005D700B">
      <w:pPr>
        <w:rPr>
          <w:lang w:val="en-GB"/>
        </w:rPr>
      </w:pPr>
      <w:r>
        <w:rPr>
          <w:lang w:val="en-GB"/>
        </w:rPr>
        <w:t>Control of Pollution Act 1974</w:t>
      </w:r>
    </w:p>
    <w:p w:rsidR="005D700B" w:rsidRDefault="005D700B">
      <w:pPr>
        <w:rPr>
          <w:lang w:val="en-GB"/>
        </w:rPr>
      </w:pPr>
    </w:p>
    <w:p w:rsidR="005D700B" w:rsidRDefault="005D700B">
      <w:pPr>
        <w:rPr>
          <w:lang w:val="en-GB"/>
        </w:rPr>
      </w:pPr>
      <w:r>
        <w:rPr>
          <w:lang w:val="en-GB"/>
        </w:rPr>
        <w:t>Hazardous household waste – leftover household products that contain corrosive toxic ignitable or reactive ingredients. (US EPA_</w:t>
      </w:r>
    </w:p>
    <w:p w:rsidR="005D700B" w:rsidRDefault="005D700B">
      <w:pPr>
        <w:rPr>
          <w:lang w:val="en-GB"/>
        </w:rPr>
      </w:pPr>
      <w:r>
        <w:rPr>
          <w:lang w:val="en-GB"/>
        </w:rPr>
        <w:t xml:space="preserve">Any material discarded by a household which id difficult to dispose of or which puts human health or the environment at risk because of its chemical or biological nature. </w:t>
      </w:r>
    </w:p>
    <w:p w:rsidR="005D700B" w:rsidRDefault="005D700B">
      <w:pPr>
        <w:rPr>
          <w:lang w:val="en-GB"/>
        </w:rPr>
      </w:pPr>
      <w:proofErr w:type="spellStart"/>
      <w:r>
        <w:rPr>
          <w:lang w:val="en-GB"/>
        </w:rPr>
        <w:t>Leachate</w:t>
      </w:r>
      <w:proofErr w:type="spellEnd"/>
    </w:p>
    <w:p w:rsidR="005D700B" w:rsidRDefault="005D700B" w:rsidP="005D700B">
      <w:pPr>
        <w:pStyle w:val="NormalWeb"/>
        <w:spacing w:before="2" w:after="2"/>
        <w:rPr>
          <w:sz w:val="28"/>
        </w:rPr>
      </w:pPr>
    </w:p>
    <w:p w:rsidR="005D700B" w:rsidRPr="005D700B" w:rsidRDefault="005D700B" w:rsidP="005D700B">
      <w:pPr>
        <w:pStyle w:val="NormalWeb"/>
        <w:spacing w:before="2" w:after="2"/>
        <w:rPr>
          <w:sz w:val="28"/>
        </w:rPr>
      </w:pPr>
      <w:r w:rsidRPr="005D700B">
        <w:rPr>
          <w:rFonts w:ascii="AdvP2A83" w:hAnsi="AdvP2A83"/>
          <w:sz w:val="24"/>
          <w:szCs w:val="16"/>
        </w:rPr>
        <w:t xml:space="preserve">Annex IA – ‘Wastes displaying any of the properties listed in Annex III and which consist of: </w:t>
      </w:r>
    </w:p>
    <w:p w:rsidR="005D700B" w:rsidRPr="005D700B" w:rsidRDefault="005D700B" w:rsidP="005D700B">
      <w:pPr>
        <w:pStyle w:val="NormalWeb"/>
        <w:numPr>
          <w:ilvl w:val="1"/>
          <w:numId w:val="1"/>
        </w:numPr>
        <w:spacing w:before="2" w:after="2"/>
        <w:rPr>
          <w:rFonts w:ascii="AdvP2A83" w:hAnsi="AdvP2A83"/>
          <w:sz w:val="24"/>
          <w:szCs w:val="16"/>
        </w:rPr>
      </w:pPr>
      <w:r w:rsidRPr="005D700B">
        <w:rPr>
          <w:rFonts w:ascii="AdvP2A83" w:hAnsi="AdvP2A83"/>
          <w:sz w:val="24"/>
          <w:szCs w:val="16"/>
        </w:rPr>
        <w:t xml:space="preserve">pharmaceuticals, medicines and veterinary compounds; </w:t>
      </w:r>
    </w:p>
    <w:p w:rsidR="005D700B" w:rsidRPr="005D700B" w:rsidRDefault="005D700B" w:rsidP="005D700B">
      <w:pPr>
        <w:pStyle w:val="NormalWeb"/>
        <w:numPr>
          <w:ilvl w:val="1"/>
          <w:numId w:val="1"/>
        </w:numPr>
        <w:spacing w:before="2" w:after="2"/>
        <w:rPr>
          <w:rFonts w:ascii="AdvP2A83" w:hAnsi="AdvP2A83"/>
          <w:sz w:val="24"/>
          <w:szCs w:val="16"/>
        </w:rPr>
      </w:pPr>
      <w:r w:rsidRPr="005D700B">
        <w:rPr>
          <w:rFonts w:ascii="AdvP2A83" w:hAnsi="AdvP2A83"/>
          <w:sz w:val="24"/>
          <w:szCs w:val="16"/>
        </w:rPr>
        <w:t xml:space="preserve">wood preservatives; </w:t>
      </w:r>
    </w:p>
    <w:p w:rsidR="005D700B" w:rsidRPr="005D700B" w:rsidRDefault="005D700B" w:rsidP="005D700B">
      <w:pPr>
        <w:pStyle w:val="NormalWeb"/>
        <w:numPr>
          <w:ilvl w:val="1"/>
          <w:numId w:val="1"/>
        </w:numPr>
        <w:spacing w:before="2" w:after="2"/>
        <w:rPr>
          <w:rFonts w:ascii="AdvP2A83" w:hAnsi="AdvP2A83"/>
          <w:sz w:val="24"/>
          <w:szCs w:val="16"/>
        </w:rPr>
      </w:pPr>
      <w:r w:rsidRPr="005D700B">
        <w:rPr>
          <w:rFonts w:ascii="AdvP2A83" w:hAnsi="AdvP2A83"/>
          <w:sz w:val="24"/>
          <w:szCs w:val="16"/>
        </w:rPr>
        <w:t xml:space="preserve">biocides and </w:t>
      </w:r>
      <w:proofErr w:type="spellStart"/>
      <w:r w:rsidRPr="005D700B">
        <w:rPr>
          <w:rFonts w:ascii="AdvP2A83" w:hAnsi="AdvP2A83"/>
          <w:sz w:val="24"/>
          <w:szCs w:val="16"/>
        </w:rPr>
        <w:t>phyto</w:t>
      </w:r>
      <w:proofErr w:type="spellEnd"/>
      <w:r w:rsidRPr="005D700B">
        <w:rPr>
          <w:rFonts w:ascii="AdvP2A83" w:hAnsi="AdvP2A83"/>
          <w:sz w:val="24"/>
          <w:szCs w:val="16"/>
        </w:rPr>
        <w:t xml:space="preserve">-pharmaceutical substances (e.g. </w:t>
      </w:r>
    </w:p>
    <w:p w:rsidR="005D700B" w:rsidRPr="005D700B" w:rsidRDefault="005D700B" w:rsidP="005D700B">
      <w:pPr>
        <w:pStyle w:val="NormalWeb"/>
        <w:spacing w:before="2" w:after="2"/>
        <w:ind w:left="1440"/>
        <w:rPr>
          <w:rFonts w:ascii="AdvP2A83" w:hAnsi="AdvP2A83"/>
          <w:sz w:val="24"/>
          <w:szCs w:val="16"/>
        </w:rPr>
      </w:pPr>
      <w:r w:rsidRPr="005D700B">
        <w:rPr>
          <w:rFonts w:ascii="AdvP2A83" w:hAnsi="AdvP2A83"/>
          <w:sz w:val="24"/>
          <w:szCs w:val="16"/>
        </w:rPr>
        <w:t xml:space="preserve">pesticides, etc.); </w:t>
      </w:r>
    </w:p>
    <w:p w:rsidR="005D700B" w:rsidRPr="005D700B" w:rsidRDefault="005D700B" w:rsidP="005D700B">
      <w:pPr>
        <w:pStyle w:val="NormalWeb"/>
        <w:numPr>
          <w:ilvl w:val="1"/>
          <w:numId w:val="1"/>
        </w:numPr>
        <w:spacing w:before="2" w:after="2"/>
        <w:rPr>
          <w:rFonts w:ascii="AdvP2A83" w:hAnsi="AdvP2A83"/>
          <w:sz w:val="24"/>
          <w:szCs w:val="16"/>
        </w:rPr>
      </w:pPr>
      <w:r w:rsidRPr="005D700B">
        <w:rPr>
          <w:rFonts w:ascii="AdvP2A83" w:hAnsi="AdvP2A83"/>
          <w:sz w:val="24"/>
          <w:szCs w:val="16"/>
        </w:rPr>
        <w:t xml:space="preserve">residue from substances employed as solvents; </w:t>
      </w:r>
    </w:p>
    <w:p w:rsidR="005D700B" w:rsidRPr="005D700B" w:rsidRDefault="005D700B" w:rsidP="005D700B">
      <w:pPr>
        <w:pStyle w:val="NormalWeb"/>
        <w:numPr>
          <w:ilvl w:val="1"/>
          <w:numId w:val="2"/>
        </w:numPr>
        <w:spacing w:before="2" w:after="2"/>
        <w:rPr>
          <w:rFonts w:ascii="AdvP2A83" w:hAnsi="AdvP2A83"/>
          <w:sz w:val="24"/>
          <w:szCs w:val="16"/>
        </w:rPr>
      </w:pPr>
      <w:r w:rsidRPr="005D700B">
        <w:rPr>
          <w:rFonts w:ascii="AdvP2A83" w:hAnsi="AdvP2A83"/>
          <w:sz w:val="24"/>
          <w:szCs w:val="16"/>
        </w:rPr>
        <w:t xml:space="preserve">mineral oils and oily substances; </w:t>
      </w:r>
    </w:p>
    <w:p w:rsidR="005D700B" w:rsidRPr="005D700B" w:rsidRDefault="005D700B" w:rsidP="005D700B">
      <w:pPr>
        <w:pStyle w:val="NormalWeb"/>
        <w:numPr>
          <w:ilvl w:val="1"/>
          <w:numId w:val="2"/>
        </w:numPr>
        <w:spacing w:before="2" w:after="2"/>
        <w:rPr>
          <w:rFonts w:ascii="AdvP2A83" w:hAnsi="AdvP2A83"/>
          <w:sz w:val="24"/>
          <w:szCs w:val="16"/>
        </w:rPr>
      </w:pPr>
      <w:r w:rsidRPr="005D700B">
        <w:rPr>
          <w:rFonts w:ascii="AdvP2A83" w:hAnsi="AdvP2A83"/>
          <w:sz w:val="24"/>
          <w:szCs w:val="16"/>
        </w:rPr>
        <w:t xml:space="preserve">oil/water, hydrocarbon/water mixtures, emulsions; </w:t>
      </w:r>
    </w:p>
    <w:p w:rsidR="005D700B" w:rsidRPr="005D700B" w:rsidRDefault="005D700B" w:rsidP="005D700B">
      <w:pPr>
        <w:pStyle w:val="NormalWeb"/>
        <w:numPr>
          <w:ilvl w:val="1"/>
          <w:numId w:val="3"/>
        </w:numPr>
        <w:spacing w:before="2" w:after="2"/>
        <w:rPr>
          <w:rFonts w:ascii="AdvP2A83" w:hAnsi="AdvP2A83"/>
          <w:sz w:val="24"/>
          <w:szCs w:val="16"/>
        </w:rPr>
      </w:pPr>
      <w:r w:rsidRPr="005D700B">
        <w:rPr>
          <w:rFonts w:ascii="AdvP2A83" w:hAnsi="AdvP2A83"/>
          <w:sz w:val="24"/>
          <w:szCs w:val="16"/>
        </w:rPr>
        <w:t xml:space="preserve">inks, dyes, pigments, paints, lacquers, varnishes; </w:t>
      </w:r>
    </w:p>
    <w:p w:rsidR="005D700B" w:rsidRPr="005D700B" w:rsidRDefault="005D700B" w:rsidP="005D700B">
      <w:pPr>
        <w:pStyle w:val="NormalWeb"/>
        <w:numPr>
          <w:ilvl w:val="1"/>
          <w:numId w:val="3"/>
        </w:numPr>
        <w:spacing w:before="2" w:after="2"/>
        <w:rPr>
          <w:rFonts w:ascii="AdvP2A83" w:hAnsi="AdvP2A83"/>
          <w:sz w:val="24"/>
          <w:szCs w:val="16"/>
        </w:rPr>
      </w:pPr>
      <w:r w:rsidRPr="005D700B">
        <w:rPr>
          <w:rFonts w:ascii="AdvP2A83" w:hAnsi="AdvP2A83"/>
          <w:sz w:val="24"/>
          <w:szCs w:val="16"/>
        </w:rPr>
        <w:t xml:space="preserve">resins, latex, plasticizers, glues/adhesives; </w:t>
      </w:r>
    </w:p>
    <w:p w:rsidR="005D700B" w:rsidRPr="005D700B" w:rsidRDefault="005D700B" w:rsidP="005D700B">
      <w:pPr>
        <w:pStyle w:val="NormalWeb"/>
        <w:spacing w:before="2" w:after="2"/>
        <w:ind w:left="360" w:firstLine="720"/>
        <w:rPr>
          <w:sz w:val="28"/>
        </w:rPr>
      </w:pPr>
      <w:r w:rsidRPr="005D700B">
        <w:rPr>
          <w:rFonts w:ascii="AdvP2A83" w:hAnsi="AdvP2A83"/>
          <w:sz w:val="24"/>
          <w:szCs w:val="16"/>
        </w:rPr>
        <w:t xml:space="preserve">16. photographic chemicals and processing materials’ </w:t>
      </w:r>
    </w:p>
    <w:p w:rsidR="005D700B" w:rsidRPr="005D700B" w:rsidRDefault="005D700B" w:rsidP="005D700B">
      <w:pPr>
        <w:pStyle w:val="NormalWeb"/>
        <w:spacing w:before="2" w:after="2"/>
        <w:rPr>
          <w:sz w:val="28"/>
        </w:rPr>
      </w:pPr>
      <w:r w:rsidRPr="005D700B">
        <w:rPr>
          <w:rFonts w:ascii="AdvP2A83" w:hAnsi="AdvP2A83"/>
          <w:sz w:val="24"/>
          <w:szCs w:val="16"/>
        </w:rPr>
        <w:t xml:space="preserve">may be classified as hazardous. </w:t>
      </w:r>
    </w:p>
    <w:p w:rsidR="005D700B" w:rsidRPr="005D700B" w:rsidRDefault="005D700B" w:rsidP="005D700B">
      <w:pPr>
        <w:pStyle w:val="NormalWeb"/>
        <w:numPr>
          <w:ilvl w:val="0"/>
          <w:numId w:val="4"/>
        </w:numPr>
        <w:spacing w:before="2" w:after="2"/>
        <w:rPr>
          <w:sz w:val="28"/>
        </w:rPr>
      </w:pPr>
      <w:r w:rsidRPr="005D700B">
        <w:rPr>
          <w:rFonts w:ascii="AdvPS480274" w:hAnsi="AdvPS480274"/>
          <w:sz w:val="22"/>
          <w:szCs w:val="14"/>
        </w:rPr>
        <w:t>-  </w:t>
      </w:r>
      <w:proofErr w:type="spellStart"/>
      <w:r w:rsidRPr="005D700B">
        <w:rPr>
          <w:rFonts w:ascii="AdvP2A83" w:hAnsi="AdvP2A83"/>
          <w:sz w:val="24"/>
          <w:szCs w:val="16"/>
        </w:rPr>
        <w:t>AnnexIB</w:t>
      </w:r>
      <w:proofErr w:type="spellEnd"/>
      <w:r w:rsidRPr="005D700B">
        <w:rPr>
          <w:rFonts w:ascii="AdvP2A83" w:hAnsi="AdvP2A83"/>
          <w:sz w:val="24"/>
          <w:szCs w:val="16"/>
        </w:rPr>
        <w:t>(39)–‘materials</w:t>
      </w:r>
      <w:r>
        <w:rPr>
          <w:rFonts w:ascii="AdvP2A83" w:hAnsi="AdvP2A83"/>
          <w:sz w:val="24"/>
          <w:szCs w:val="16"/>
        </w:rPr>
        <w:t xml:space="preserve"> </w:t>
      </w:r>
      <w:r w:rsidRPr="005D700B">
        <w:rPr>
          <w:rFonts w:ascii="AdvP2A83" w:hAnsi="AdvP2A83"/>
          <w:sz w:val="24"/>
          <w:szCs w:val="16"/>
        </w:rPr>
        <w:t>resulting</w:t>
      </w:r>
      <w:r>
        <w:rPr>
          <w:rFonts w:ascii="AdvP2A83" w:hAnsi="AdvP2A83"/>
          <w:sz w:val="24"/>
          <w:szCs w:val="16"/>
        </w:rPr>
        <w:t xml:space="preserve"> </w:t>
      </w:r>
      <w:r w:rsidRPr="005D700B">
        <w:rPr>
          <w:rFonts w:ascii="AdvP2A83" w:hAnsi="AdvP2A83"/>
          <w:sz w:val="24"/>
          <w:szCs w:val="16"/>
        </w:rPr>
        <w:t>from</w:t>
      </w:r>
      <w:r>
        <w:rPr>
          <w:rFonts w:ascii="AdvP2A83" w:hAnsi="AdvP2A83"/>
          <w:sz w:val="24"/>
          <w:szCs w:val="16"/>
        </w:rPr>
        <w:t xml:space="preserve"> </w:t>
      </w:r>
      <w:r w:rsidRPr="005D700B">
        <w:rPr>
          <w:rFonts w:ascii="AdvP2A83" w:hAnsi="AdvP2A83"/>
          <w:sz w:val="24"/>
          <w:szCs w:val="16"/>
        </w:rPr>
        <w:t>selective</w:t>
      </w:r>
      <w:r>
        <w:rPr>
          <w:rFonts w:ascii="AdvP2A83" w:hAnsi="AdvP2A83"/>
          <w:sz w:val="24"/>
          <w:szCs w:val="16"/>
        </w:rPr>
        <w:t xml:space="preserve"> </w:t>
      </w:r>
      <w:r w:rsidRPr="005D700B">
        <w:rPr>
          <w:rFonts w:ascii="AdvP2A83" w:hAnsi="AdvP2A83"/>
          <w:sz w:val="24"/>
          <w:szCs w:val="16"/>
        </w:rPr>
        <w:t xml:space="preserve">waste </w:t>
      </w:r>
    </w:p>
    <w:p w:rsidR="005D700B" w:rsidRPr="005D700B" w:rsidRDefault="005D700B" w:rsidP="005D700B">
      <w:pPr>
        <w:pStyle w:val="NormalWeb"/>
        <w:spacing w:before="2" w:after="2"/>
        <w:ind w:left="720"/>
        <w:rPr>
          <w:sz w:val="28"/>
        </w:rPr>
      </w:pPr>
      <w:r w:rsidRPr="005D700B">
        <w:rPr>
          <w:rFonts w:ascii="AdvP2A83" w:hAnsi="AdvP2A83"/>
          <w:sz w:val="24"/>
          <w:szCs w:val="16"/>
        </w:rPr>
        <w:t xml:space="preserve">collections from households and which exhibit any of the characteristics listed in Annex III’ can be considered hazardous. </w:t>
      </w:r>
    </w:p>
    <w:p w:rsidR="005D700B" w:rsidRPr="005D700B" w:rsidRDefault="005D700B" w:rsidP="005D700B">
      <w:pPr>
        <w:pStyle w:val="NormalWeb"/>
        <w:numPr>
          <w:ilvl w:val="0"/>
          <w:numId w:val="4"/>
        </w:numPr>
        <w:spacing w:before="2" w:after="2"/>
        <w:rPr>
          <w:sz w:val="28"/>
        </w:rPr>
      </w:pPr>
      <w:r w:rsidRPr="005D700B">
        <w:rPr>
          <w:rFonts w:ascii="AdvPS480274" w:hAnsi="AdvPS480274"/>
          <w:sz w:val="22"/>
          <w:szCs w:val="14"/>
        </w:rPr>
        <w:t>-  </w:t>
      </w:r>
      <w:r w:rsidRPr="005D700B">
        <w:rPr>
          <w:rFonts w:ascii="AdvP2A83" w:hAnsi="AdvP2A83"/>
          <w:sz w:val="24"/>
          <w:szCs w:val="16"/>
        </w:rPr>
        <w:t xml:space="preserve">Annex I B (40) – ‘any other wastes which contain any of the constituents listed in Annex II and any of the properties listed in Annex III. </w:t>
      </w:r>
    </w:p>
    <w:p w:rsidR="005D700B" w:rsidRPr="005D700B" w:rsidRDefault="005D700B" w:rsidP="005D700B">
      <w:pPr>
        <w:pStyle w:val="NormalWeb"/>
        <w:numPr>
          <w:ilvl w:val="0"/>
          <w:numId w:val="4"/>
        </w:numPr>
        <w:spacing w:before="2" w:after="2"/>
        <w:rPr>
          <w:sz w:val="28"/>
        </w:rPr>
      </w:pPr>
      <w:r w:rsidRPr="005D700B">
        <w:rPr>
          <w:rFonts w:ascii="AdvPS480274" w:hAnsi="AdvPS480274"/>
          <w:sz w:val="22"/>
          <w:szCs w:val="14"/>
        </w:rPr>
        <w:t>-  </w:t>
      </w:r>
      <w:proofErr w:type="spellStart"/>
      <w:r w:rsidRPr="005D700B">
        <w:rPr>
          <w:rFonts w:ascii="AdvP2A83" w:hAnsi="AdvP2A83"/>
          <w:sz w:val="24"/>
          <w:szCs w:val="16"/>
        </w:rPr>
        <w:t>AnnexII</w:t>
      </w:r>
      <w:proofErr w:type="spellEnd"/>
      <w:r w:rsidRPr="005D700B">
        <w:rPr>
          <w:rFonts w:ascii="AdvP2A83" w:hAnsi="AdvP2A83"/>
          <w:sz w:val="24"/>
          <w:szCs w:val="16"/>
        </w:rPr>
        <w:t>–‘Constituents</w:t>
      </w:r>
      <w:r>
        <w:rPr>
          <w:rFonts w:ascii="AdvP2A83" w:hAnsi="AdvP2A83"/>
          <w:sz w:val="24"/>
          <w:szCs w:val="16"/>
        </w:rPr>
        <w:t xml:space="preserve"> </w:t>
      </w:r>
      <w:r w:rsidRPr="005D700B">
        <w:rPr>
          <w:rFonts w:ascii="AdvP2A83" w:hAnsi="AdvP2A83"/>
          <w:sz w:val="24"/>
          <w:szCs w:val="16"/>
        </w:rPr>
        <w:t>of</w:t>
      </w:r>
      <w:r>
        <w:rPr>
          <w:rFonts w:ascii="AdvP2A83" w:hAnsi="AdvP2A83"/>
          <w:sz w:val="24"/>
          <w:szCs w:val="16"/>
        </w:rPr>
        <w:t xml:space="preserve"> </w:t>
      </w:r>
      <w:r w:rsidRPr="005D700B">
        <w:rPr>
          <w:rFonts w:ascii="AdvP2A83" w:hAnsi="AdvP2A83"/>
          <w:sz w:val="24"/>
          <w:szCs w:val="16"/>
        </w:rPr>
        <w:t>the</w:t>
      </w:r>
      <w:r>
        <w:rPr>
          <w:rFonts w:ascii="AdvP2A83" w:hAnsi="AdvP2A83"/>
          <w:sz w:val="24"/>
          <w:szCs w:val="16"/>
        </w:rPr>
        <w:t xml:space="preserve"> </w:t>
      </w:r>
      <w:r w:rsidRPr="005D700B">
        <w:rPr>
          <w:rFonts w:ascii="AdvP2A83" w:hAnsi="AdvP2A83"/>
          <w:sz w:val="24"/>
          <w:szCs w:val="16"/>
        </w:rPr>
        <w:t>wastes</w:t>
      </w:r>
      <w:r>
        <w:rPr>
          <w:rFonts w:ascii="AdvP2A83" w:hAnsi="AdvP2A83"/>
          <w:sz w:val="24"/>
          <w:szCs w:val="16"/>
        </w:rPr>
        <w:t xml:space="preserve"> </w:t>
      </w:r>
      <w:r w:rsidRPr="005D700B">
        <w:rPr>
          <w:rFonts w:ascii="AdvP2A83" w:hAnsi="AdvP2A83"/>
          <w:sz w:val="24"/>
          <w:szCs w:val="16"/>
        </w:rPr>
        <w:t>in</w:t>
      </w:r>
      <w:r>
        <w:rPr>
          <w:rFonts w:ascii="AdvP2A83" w:hAnsi="AdvP2A83"/>
          <w:sz w:val="24"/>
          <w:szCs w:val="16"/>
        </w:rPr>
        <w:t xml:space="preserve"> </w:t>
      </w:r>
      <w:r w:rsidRPr="005D700B">
        <w:rPr>
          <w:rFonts w:ascii="AdvP2A83" w:hAnsi="AdvP2A83"/>
          <w:sz w:val="24"/>
          <w:szCs w:val="16"/>
        </w:rPr>
        <w:t>Annex</w:t>
      </w:r>
      <w:r>
        <w:rPr>
          <w:rFonts w:ascii="AdvP2A83" w:hAnsi="AdvP2A83"/>
          <w:sz w:val="24"/>
          <w:szCs w:val="16"/>
        </w:rPr>
        <w:t xml:space="preserve"> </w:t>
      </w:r>
      <w:proofErr w:type="spellStart"/>
      <w:r w:rsidRPr="005D700B">
        <w:rPr>
          <w:rFonts w:ascii="AdvP2A83" w:hAnsi="AdvP2A83"/>
          <w:sz w:val="24"/>
          <w:szCs w:val="16"/>
        </w:rPr>
        <w:t>IB</w:t>
      </w:r>
      <w:proofErr w:type="spellEnd"/>
      <w:r w:rsidRPr="005D700B">
        <w:rPr>
          <w:rFonts w:ascii="AdvP2A83" w:hAnsi="AdvP2A83"/>
          <w:sz w:val="24"/>
          <w:szCs w:val="16"/>
        </w:rPr>
        <w:t>,</w:t>
      </w:r>
      <w:r>
        <w:rPr>
          <w:rFonts w:ascii="AdvP2A83" w:hAnsi="AdvP2A83"/>
          <w:sz w:val="24"/>
          <w:szCs w:val="16"/>
        </w:rPr>
        <w:t xml:space="preserve"> </w:t>
      </w:r>
      <w:r w:rsidRPr="005D700B">
        <w:rPr>
          <w:rFonts w:ascii="AdvP2A83" w:hAnsi="AdvP2A83"/>
          <w:sz w:val="24"/>
          <w:szCs w:val="16"/>
        </w:rPr>
        <w:t>which render them hazardous</w:t>
      </w:r>
      <w:r w:rsidRPr="005D700B">
        <w:rPr>
          <w:rFonts w:ascii="AdvPS3FDD77" w:hAnsi="AdvPS3FDD77"/>
          <w:sz w:val="24"/>
          <w:szCs w:val="16"/>
        </w:rPr>
        <w:t xml:space="preserve">.. </w:t>
      </w:r>
      <w:r w:rsidRPr="005D700B">
        <w:rPr>
          <w:rFonts w:ascii="AdvP2A83" w:hAnsi="AdvP2A83"/>
          <w:sz w:val="24"/>
          <w:szCs w:val="16"/>
        </w:rPr>
        <w:t>C5 nickel compounds; C6 copper compounds; C7 zinc compounds; C8 arsenic compounds; C11 cadmium, cadmium compounds; C16 mercury, mercury compounds; C18 lead, lead com- pounds; C21 inorganic cyanides; C23 acidic solutions/ solid form; C24 basic so</w:t>
      </w:r>
      <w:r>
        <w:rPr>
          <w:rFonts w:ascii="AdvP2A83" w:hAnsi="AdvP2A83"/>
          <w:sz w:val="24"/>
          <w:szCs w:val="16"/>
        </w:rPr>
        <w:t>lutions/solid form; C33 pharma</w:t>
      </w:r>
      <w:r w:rsidRPr="005D700B">
        <w:rPr>
          <w:rFonts w:ascii="AdvP2A83" w:hAnsi="AdvP2A83"/>
          <w:sz w:val="24"/>
          <w:szCs w:val="16"/>
        </w:rPr>
        <w:t xml:space="preserve">ceutical or veterinary compounds; C34 biocides and </w:t>
      </w:r>
      <w:proofErr w:type="spellStart"/>
      <w:r w:rsidRPr="005D700B">
        <w:rPr>
          <w:rFonts w:ascii="AdvP2A83" w:hAnsi="AdvP2A83"/>
          <w:sz w:val="24"/>
          <w:szCs w:val="16"/>
        </w:rPr>
        <w:t>phyto</w:t>
      </w:r>
      <w:proofErr w:type="spellEnd"/>
      <w:r w:rsidRPr="005D700B">
        <w:rPr>
          <w:rFonts w:ascii="AdvP2A83" w:hAnsi="AdvP2A83"/>
          <w:sz w:val="24"/>
          <w:szCs w:val="16"/>
        </w:rPr>
        <w:t xml:space="preserve">-pharmaceutical substances; C36 creosotes; C39 phenols, phenol compounds; C40 halogenated solvents; C41 other organic solvents; C42 </w:t>
      </w:r>
      <w:proofErr w:type="spellStart"/>
      <w:r w:rsidRPr="005D700B">
        <w:rPr>
          <w:rFonts w:ascii="AdvP2A83" w:hAnsi="AdvP2A83"/>
          <w:sz w:val="24"/>
          <w:szCs w:val="16"/>
        </w:rPr>
        <w:t>organohalogen</w:t>
      </w:r>
      <w:proofErr w:type="spellEnd"/>
      <w:r w:rsidRPr="005D700B">
        <w:rPr>
          <w:rFonts w:ascii="AdvP2A83" w:hAnsi="AdvP2A83"/>
          <w:sz w:val="24"/>
          <w:szCs w:val="16"/>
        </w:rPr>
        <w:t xml:space="preserve"> com- pounds; C43 aromatic, polycyclic, heterocyclic com- pounds; C44/45 aliphatic/aromatics amines; C51 hydrocarbons.’ </w:t>
      </w:r>
    </w:p>
    <w:p w:rsidR="005D700B" w:rsidRPr="005D700B" w:rsidRDefault="005D700B" w:rsidP="005D700B">
      <w:pPr>
        <w:pStyle w:val="NormalWeb"/>
        <w:numPr>
          <w:ilvl w:val="0"/>
          <w:numId w:val="4"/>
        </w:numPr>
        <w:spacing w:before="2" w:after="2"/>
        <w:rPr>
          <w:sz w:val="28"/>
        </w:rPr>
      </w:pPr>
      <w:r w:rsidRPr="005D700B">
        <w:rPr>
          <w:rFonts w:ascii="AdvPS480274" w:hAnsi="AdvPS480274"/>
          <w:sz w:val="22"/>
          <w:szCs w:val="14"/>
        </w:rPr>
        <w:t>-  </w:t>
      </w:r>
      <w:r w:rsidRPr="005D700B">
        <w:rPr>
          <w:rFonts w:ascii="AdvP2A83" w:hAnsi="AdvP2A83"/>
          <w:sz w:val="24"/>
          <w:szCs w:val="16"/>
        </w:rPr>
        <w:t xml:space="preserve">Annex III – Properties of wastes which render them hazardous: H1 Explosive; H2 Oxidizing; H3A Highly flammable; H3B Flammable; H4 Irritant; H5 Harmful; H6 Toxic; H7 Carcinogenic; H8 Corrosive; H9 In- </w:t>
      </w:r>
      <w:proofErr w:type="spellStart"/>
      <w:r w:rsidRPr="005D700B">
        <w:rPr>
          <w:rFonts w:ascii="AdvP2A83" w:hAnsi="AdvP2A83"/>
          <w:sz w:val="24"/>
          <w:szCs w:val="16"/>
        </w:rPr>
        <w:t>fectious</w:t>
      </w:r>
      <w:proofErr w:type="spellEnd"/>
      <w:r w:rsidRPr="005D700B">
        <w:rPr>
          <w:rFonts w:ascii="AdvP2A83" w:hAnsi="AdvP2A83"/>
          <w:sz w:val="24"/>
          <w:szCs w:val="16"/>
        </w:rPr>
        <w:t xml:space="preserve">; H10 </w:t>
      </w:r>
      <w:proofErr w:type="spellStart"/>
      <w:r w:rsidRPr="005D700B">
        <w:rPr>
          <w:rFonts w:ascii="AdvP2A83" w:hAnsi="AdvP2A83"/>
          <w:sz w:val="24"/>
          <w:szCs w:val="16"/>
        </w:rPr>
        <w:t>Teratogenic</w:t>
      </w:r>
      <w:proofErr w:type="spellEnd"/>
      <w:r w:rsidRPr="005D700B">
        <w:rPr>
          <w:rFonts w:ascii="AdvP2A83" w:hAnsi="AdvP2A83"/>
          <w:sz w:val="24"/>
          <w:szCs w:val="16"/>
        </w:rPr>
        <w:t xml:space="preserve">; H11 Mutagenic; H12 Sub- stances/preparations which release toxic gases; H13 Substances/preparations yielding hazardous sub- stances after disposal; H14 </w:t>
      </w:r>
      <w:proofErr w:type="spellStart"/>
      <w:r w:rsidRPr="005D700B">
        <w:rPr>
          <w:rFonts w:ascii="AdvP2A83" w:hAnsi="AdvP2A83"/>
          <w:sz w:val="24"/>
          <w:szCs w:val="16"/>
        </w:rPr>
        <w:t>Ecotoxic</w:t>
      </w:r>
      <w:proofErr w:type="spellEnd"/>
      <w:r w:rsidRPr="005D700B">
        <w:rPr>
          <w:rFonts w:ascii="AdvP2A83" w:hAnsi="AdvP2A83"/>
          <w:sz w:val="24"/>
          <w:szCs w:val="16"/>
        </w:rPr>
        <w:t xml:space="preserve">. </w:t>
      </w:r>
    </w:p>
    <w:p w:rsidR="005D700B" w:rsidRDefault="005D700B">
      <w:pPr>
        <w:rPr>
          <w:sz w:val="32"/>
          <w:lang w:val="en-GB"/>
        </w:rPr>
      </w:pPr>
      <w:r>
        <w:rPr>
          <w:sz w:val="32"/>
          <w:lang w:val="en-GB"/>
        </w:rPr>
        <w:t xml:space="preserve">Acids and Alkalis not listed. </w:t>
      </w:r>
    </w:p>
    <w:p w:rsidR="005D700B" w:rsidRDefault="005D700B">
      <w:pPr>
        <w:rPr>
          <w:sz w:val="32"/>
          <w:lang w:val="en-GB"/>
        </w:rPr>
      </w:pPr>
    </w:p>
    <w:p w:rsidR="005D700B" w:rsidRDefault="005D700B">
      <w:pPr>
        <w:rPr>
          <w:sz w:val="32"/>
          <w:lang w:val="en-GB"/>
        </w:rPr>
      </w:pPr>
      <w:r>
        <w:rPr>
          <w:sz w:val="32"/>
          <w:lang w:val="en-GB"/>
        </w:rPr>
        <w:t xml:space="preserve">Difficulty / concern over disposal of exposure chemicals in photography. – individual users? </w:t>
      </w:r>
    </w:p>
    <w:p w:rsidR="005D700B" w:rsidRDefault="005D700B">
      <w:pPr>
        <w:rPr>
          <w:sz w:val="32"/>
          <w:lang w:val="en-GB"/>
        </w:rPr>
      </w:pPr>
      <w:r>
        <w:rPr>
          <w:sz w:val="32"/>
          <w:lang w:val="en-GB"/>
        </w:rPr>
        <w:t xml:space="preserve">No legal requirement exists in </w:t>
      </w:r>
      <w:proofErr w:type="spellStart"/>
      <w:r>
        <w:rPr>
          <w:sz w:val="32"/>
          <w:lang w:val="en-GB"/>
        </w:rPr>
        <w:t>uk</w:t>
      </w:r>
      <w:proofErr w:type="spellEnd"/>
      <w:r>
        <w:rPr>
          <w:sz w:val="32"/>
          <w:lang w:val="en-GB"/>
        </w:rPr>
        <w:t xml:space="preserve"> for householders to separate </w:t>
      </w:r>
      <w:proofErr w:type="spellStart"/>
      <w:r>
        <w:rPr>
          <w:sz w:val="32"/>
          <w:lang w:val="en-GB"/>
        </w:rPr>
        <w:t>hhw</w:t>
      </w:r>
      <w:proofErr w:type="spellEnd"/>
      <w:r>
        <w:rPr>
          <w:sz w:val="32"/>
          <w:lang w:val="en-GB"/>
        </w:rPr>
        <w:t xml:space="preserve"> from general waste, enforcement v difficult. </w:t>
      </w:r>
    </w:p>
    <w:p w:rsidR="00290426" w:rsidRDefault="00290426">
      <w:pPr>
        <w:rPr>
          <w:sz w:val="32"/>
          <w:lang w:val="en-GB"/>
        </w:rPr>
      </w:pPr>
      <w:r>
        <w:rPr>
          <w:sz w:val="32"/>
          <w:lang w:val="en-GB"/>
        </w:rPr>
        <w:t xml:space="preserve">P40-41 </w:t>
      </w:r>
    </w:p>
    <w:p w:rsidR="00290426" w:rsidRDefault="00290426">
      <w:pPr>
        <w:rPr>
          <w:sz w:val="32"/>
          <w:lang w:val="en-GB"/>
        </w:rPr>
      </w:pPr>
      <w:r>
        <w:rPr>
          <w:sz w:val="32"/>
          <w:lang w:val="en-GB"/>
        </w:rPr>
        <w:t>“</w:t>
      </w:r>
      <w:r w:rsidR="005D700B">
        <w:rPr>
          <w:sz w:val="32"/>
          <w:lang w:val="en-GB"/>
        </w:rPr>
        <w:t xml:space="preserve">EU introduced recommendations and </w:t>
      </w:r>
      <w:r>
        <w:rPr>
          <w:sz w:val="32"/>
          <w:lang w:val="en-GB"/>
        </w:rPr>
        <w:t>regulations</w:t>
      </w:r>
      <w:r w:rsidR="005D700B">
        <w:rPr>
          <w:sz w:val="32"/>
          <w:lang w:val="en-GB"/>
        </w:rPr>
        <w:t xml:space="preserve"> </w:t>
      </w:r>
      <w:r>
        <w:rPr>
          <w:sz w:val="32"/>
          <w:lang w:val="en-GB"/>
        </w:rPr>
        <w:t>restricting</w:t>
      </w:r>
      <w:r w:rsidR="005D700B">
        <w:rPr>
          <w:sz w:val="32"/>
          <w:lang w:val="en-GB"/>
        </w:rPr>
        <w:t xml:space="preserve"> or banning the use of creosote, </w:t>
      </w:r>
      <w:proofErr w:type="spellStart"/>
      <w:r w:rsidR="005D700B">
        <w:rPr>
          <w:sz w:val="32"/>
          <w:lang w:val="en-GB"/>
        </w:rPr>
        <w:t>chromated</w:t>
      </w:r>
      <w:proofErr w:type="spellEnd"/>
      <w:r w:rsidR="005D700B">
        <w:rPr>
          <w:sz w:val="32"/>
          <w:lang w:val="en-GB"/>
        </w:rPr>
        <w:t xml:space="preserve"> copper arsenate wood treatments and various hair dyes. </w:t>
      </w:r>
      <w:r>
        <w:rPr>
          <w:sz w:val="32"/>
          <w:lang w:val="en-GB"/>
        </w:rPr>
        <w:t>Identification</w:t>
      </w:r>
      <w:r w:rsidR="005D700B">
        <w:rPr>
          <w:sz w:val="32"/>
          <w:lang w:val="en-GB"/>
        </w:rPr>
        <w:t xml:space="preserve"> and exclusion from household products of potentially dangerous new substances or heavy metals is improved, rendering the final waste product less hazardo</w:t>
      </w:r>
      <w:r>
        <w:rPr>
          <w:sz w:val="32"/>
          <w:lang w:val="en-GB"/>
        </w:rPr>
        <w:t>us than older similar products.”</w:t>
      </w:r>
    </w:p>
    <w:p w:rsidR="00290426" w:rsidRDefault="00290426">
      <w:pPr>
        <w:rPr>
          <w:sz w:val="32"/>
          <w:lang w:val="en-GB"/>
        </w:rPr>
      </w:pPr>
      <w:r>
        <w:rPr>
          <w:sz w:val="32"/>
          <w:lang w:val="en-GB"/>
        </w:rPr>
        <w:t xml:space="preserve">“Lists of ingredients and other info provided on labels of </w:t>
      </w:r>
      <w:proofErr w:type="spellStart"/>
      <w:r>
        <w:rPr>
          <w:sz w:val="32"/>
          <w:lang w:val="en-GB"/>
        </w:rPr>
        <w:t>hazardus</w:t>
      </w:r>
      <w:proofErr w:type="spellEnd"/>
      <w:r>
        <w:rPr>
          <w:sz w:val="32"/>
          <w:lang w:val="en-GB"/>
        </w:rPr>
        <w:t xml:space="preserve"> products </w:t>
      </w:r>
      <w:r w:rsidRPr="00290426">
        <w:rPr>
          <w:b/>
          <w:sz w:val="32"/>
          <w:lang w:val="en-GB"/>
        </w:rPr>
        <w:t>may not contribute</w:t>
      </w:r>
      <w:r>
        <w:rPr>
          <w:sz w:val="32"/>
          <w:lang w:val="en-GB"/>
        </w:rPr>
        <w:t xml:space="preserve"> to a greater understanding of product risk </w:t>
      </w:r>
      <w:r w:rsidRPr="00290426">
        <w:rPr>
          <w:b/>
          <w:sz w:val="32"/>
          <w:lang w:val="en-GB"/>
        </w:rPr>
        <w:t>during use</w:t>
      </w:r>
      <w:r>
        <w:rPr>
          <w:sz w:val="32"/>
          <w:lang w:val="en-GB"/>
        </w:rPr>
        <w:t xml:space="preserve"> and at disposal” Grey 2005</w:t>
      </w:r>
    </w:p>
    <w:p w:rsidR="00290426" w:rsidRDefault="00290426">
      <w:pPr>
        <w:rPr>
          <w:sz w:val="32"/>
          <w:lang w:val="en-GB"/>
        </w:rPr>
      </w:pPr>
    </w:p>
    <w:p w:rsidR="00290426" w:rsidRDefault="00290426" w:rsidP="00290426">
      <w:pPr>
        <w:pStyle w:val="NormalWeb"/>
        <w:spacing w:before="2" w:after="2"/>
      </w:pPr>
      <w:r>
        <w:rPr>
          <w:rFonts w:ascii="AdvOT863180fb" w:hAnsi="AdvOT863180fb"/>
          <w:sz w:val="14"/>
          <w:szCs w:val="14"/>
        </w:rPr>
        <w:t xml:space="preserve">Blundell, T., 2003. Chemicals in Products: Safeguarding the Environment and Human Health. 24th Report, Long-term Effects of Chemicals in </w:t>
      </w:r>
      <w:proofErr w:type="spellStart"/>
      <w:r>
        <w:rPr>
          <w:rFonts w:ascii="AdvOT863180fb" w:hAnsi="AdvOT863180fb"/>
          <w:sz w:val="14"/>
          <w:szCs w:val="14"/>
        </w:rPr>
        <w:t>th</w:t>
      </w:r>
      <w:proofErr w:type="spellEnd"/>
      <w:r>
        <w:rPr>
          <w:rFonts w:ascii="AdvOT863180fb" w:hAnsi="AdvOT863180fb"/>
          <w:sz w:val="14"/>
          <w:szCs w:val="14"/>
        </w:rPr>
        <w:t xml:space="preserve"> </w:t>
      </w:r>
    </w:p>
    <w:p w:rsidR="00290426" w:rsidRDefault="00290426" w:rsidP="00290426">
      <w:pPr>
        <w:pStyle w:val="NormalWeb"/>
        <w:spacing w:before="2" w:after="2"/>
      </w:pPr>
      <w:proofErr w:type="spellStart"/>
      <w:r>
        <w:rPr>
          <w:rFonts w:ascii="AdvOT863180fb" w:hAnsi="AdvOT863180fb"/>
          <w:sz w:val="14"/>
          <w:szCs w:val="14"/>
        </w:rPr>
        <w:t>Daughton</w:t>
      </w:r>
      <w:proofErr w:type="spellEnd"/>
      <w:r>
        <w:rPr>
          <w:rFonts w:ascii="AdvOT863180fb" w:hAnsi="AdvOT863180fb"/>
          <w:sz w:val="14"/>
          <w:szCs w:val="14"/>
        </w:rPr>
        <w:t xml:space="preserve">, C.G., </w:t>
      </w:r>
      <w:proofErr w:type="spellStart"/>
      <w:r>
        <w:rPr>
          <w:rFonts w:ascii="AdvOT863180fb" w:hAnsi="AdvOT863180fb"/>
          <w:sz w:val="14"/>
          <w:szCs w:val="14"/>
        </w:rPr>
        <w:t>Ternes</w:t>
      </w:r>
      <w:proofErr w:type="spellEnd"/>
      <w:r>
        <w:rPr>
          <w:rFonts w:ascii="AdvOT863180fb" w:hAnsi="AdvOT863180fb"/>
          <w:sz w:val="14"/>
          <w:szCs w:val="14"/>
        </w:rPr>
        <w:t xml:space="preserve">, T.A., 1999. Pharmaceuticals and personal care products in the environment: agents of subtle change? Environ. Health </w:t>
      </w:r>
      <w:proofErr w:type="spellStart"/>
      <w:r>
        <w:rPr>
          <w:rFonts w:ascii="AdvOT863180fb" w:hAnsi="AdvOT863180fb"/>
          <w:sz w:val="14"/>
          <w:szCs w:val="14"/>
        </w:rPr>
        <w:t>Perspect</w:t>
      </w:r>
      <w:proofErr w:type="spellEnd"/>
      <w:r>
        <w:rPr>
          <w:rFonts w:ascii="AdvOT863180fb" w:hAnsi="AdvOT863180fb"/>
          <w:sz w:val="14"/>
          <w:szCs w:val="14"/>
        </w:rPr>
        <w:t xml:space="preserve">. 107, 907–938. </w:t>
      </w:r>
    </w:p>
    <w:p w:rsidR="00290426" w:rsidRDefault="00290426" w:rsidP="00290426">
      <w:pPr>
        <w:pStyle w:val="NormalWeb"/>
        <w:spacing w:before="2" w:after="2"/>
      </w:pPr>
      <w:r>
        <w:rPr>
          <w:rFonts w:ascii="AdvOT863180fb" w:hAnsi="AdvOT863180fb"/>
          <w:sz w:val="14"/>
          <w:szCs w:val="14"/>
        </w:rPr>
        <w:t xml:space="preserve">Grey, C.N.B., </w:t>
      </w:r>
      <w:proofErr w:type="spellStart"/>
      <w:r>
        <w:rPr>
          <w:rFonts w:ascii="AdvOT863180fb" w:hAnsi="AdvOT863180fb"/>
          <w:sz w:val="14"/>
          <w:szCs w:val="14"/>
        </w:rPr>
        <w:t>Nieuwenhuijsen</w:t>
      </w:r>
      <w:proofErr w:type="spellEnd"/>
      <w:r>
        <w:rPr>
          <w:rFonts w:ascii="AdvOT863180fb" w:hAnsi="AdvOT863180fb"/>
          <w:sz w:val="14"/>
          <w:szCs w:val="14"/>
        </w:rPr>
        <w:t xml:space="preserve">, M.J., Golding, J., ALSPAC Team, 2005. The use and disposal of household pesticides. Environ. Res. 97, 109–115. </w:t>
      </w:r>
    </w:p>
    <w:p w:rsidR="00290426" w:rsidRDefault="00290426">
      <w:pPr>
        <w:rPr>
          <w:sz w:val="32"/>
          <w:lang w:val="en-GB"/>
        </w:rPr>
      </w:pPr>
    </w:p>
    <w:p w:rsidR="005D700B" w:rsidRPr="005D700B" w:rsidRDefault="005D700B">
      <w:pPr>
        <w:rPr>
          <w:sz w:val="32"/>
          <w:lang w:val="en-GB"/>
        </w:rPr>
      </w:pPr>
    </w:p>
    <w:sectPr w:rsidR="005D700B" w:rsidRPr="005D700B" w:rsidSect="005D700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vP2A83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dvPS480274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dvPS3FDD77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dvOT863180fb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7F605DB"/>
    <w:multiLevelType w:val="multilevel"/>
    <w:tmpl w:val="C210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F820AC"/>
    <w:multiLevelType w:val="multilevel"/>
    <w:tmpl w:val="2632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startOverride w:val="8"/>
    </w:lvlOverride>
  </w:num>
  <w:num w:numId="3">
    <w:abstractNumId w:val="1"/>
    <w:lvlOverride w:ilvl="1">
      <w:startOverride w:val="12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D700B"/>
    <w:rsid w:val="00290426"/>
    <w:rsid w:val="005D700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paragraph" w:styleId="NormalWeb">
    <w:name w:val="Normal (Web)"/>
    <w:basedOn w:val="Normal"/>
    <w:uiPriority w:val="99"/>
    <w:rsid w:val="005D700B"/>
    <w:pPr>
      <w:spacing w:beforeLines="1" w:afterLines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0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0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5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6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433</Words>
  <Characters>2469</Characters>
  <Application>Microsoft Word 12.0.0</Application>
  <DocSecurity>0</DocSecurity>
  <Lines>20</Lines>
  <Paragraphs>4</Paragraphs>
  <ScaleCrop>false</ScaleCrop>
  <Company> 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2012-11-08T11:08:00Z</dcterms:created>
  <dcterms:modified xsi:type="dcterms:W3CDTF">2012-11-08T11:28:00Z</dcterms:modified>
</cp:coreProperties>
</file>