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TMIL-ETH: Transaction-level Multiple Instance Learning for Weakly-Supervised Phishing Detection and Forensic Localization on Ethereum</w:t>
      </w:r>
    </w:p>
    <w:p>
      <w:pPr>
        <w:pStyle w:val="Author"/>
      </w:pPr>
      <w:r>
        <w:t xml:space="preserve">Anonymous Authors</w:t>
      </w:r>
    </w:p>
    <w:p>
      <w:pPr>
        <w:pStyle w:val="AbstractTitle"/>
      </w:pPr>
      <w:r>
        <w:t xml:space="preserve">Abstract</w:t>
      </w:r>
    </w:p>
    <w:p>
      <w:pPr>
        <w:pStyle w:val="Abstract"/>
      </w:pPr>
      <w:r>
        <w:t xml:space="preserve">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w:t>
      </w:r>
      <w:r>
        <w:t xml:space="preserve"> </w:t>
      </w:r>
      <w:r>
        <w:t xml:space="preserve">“circularity problem”</w:t>
      </w:r>
      <w:r>
        <w:t xml:space="preserve">: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w:t>
      </w:r>
    </w:p>
    <w:p>
      <w:pPr>
        <w:pStyle w:val="Abstract"/>
      </w:pPr>
      <w:r>
        <w:t xml:space="preserve">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w:t>
      </w:r>
      <w:r>
        <w:t xml:space="preserve"> </w:t>
      </w:r>
      <w:r>
        <w:t xml:space="preserve">“bag”</w:t>
      </w:r>
      <w:r>
        <w:t xml:space="preserve"> </w:t>
      </w:r>
      <w:r>
        <w:t xml:space="preserve">and its temporal sliding windows of transactions as unlabeled</w:t>
      </w:r>
      <w:r>
        <w:t xml:space="preserve"> </w:t>
      </w:r>
      <w:r>
        <w:t xml:space="preserve">“instances.”</w:t>
      </w:r>
      <w:r>
        <w:t xml:space="preserve"> </w:t>
      </w:r>
      <w:r>
        <w:t xml:space="preserve">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w:t>
      </w:r>
    </w:p>
    <w:bookmarkStart w:id="12" w:name="introduction"/>
    <w:p>
      <w:pPr>
        <w:pStyle w:val="Heading1"/>
      </w:pPr>
      <w:r>
        <w:t xml:space="preserve">1. Introduction</w:t>
      </w:r>
    </w:p>
    <w:p>
      <w:pPr>
        <w:pStyle w:val="FirstParagraph"/>
      </w:pPr>
      <w:r>
        <w:t xml:space="preserve">The Ethereum blockchain, underlying the vibrant ecosystems of Decentralized Finance (DeFi) and Non-Fungible Tokens (NFTs), processes millions of transactions daily. However, the inherent pseudonymity and immutability of blockchain transactions have created a highly lucrative environment for cybercriminals. Phishing scams—ranging from deceptive airdrops to malicious smart contract approvals (Ice Phishing)—have become the predominant threat vector, defrauding users of billions of dollars annually. Unlike traditional web phishing, where the ultimate payload might be credential theft, blockchain phishing results in immediate, irreversible asset transfer.</w:t>
      </w:r>
    </w:p>
    <w:p>
      <w:pPr>
        <w:pStyle w:val="BodyText"/>
      </w:pPr>
      <w:r>
        <w:t xml:space="preserve">To mitigate this threat, the security community has increasingly turned to data-driven, machine-learning-based detection mechanisms. Early approaches relied on manual feature engineering, extracting statistical metrics such as transaction frequency, volume, and node degree centrality. With the advent of deep learning, Graph Neural Networks (GNNs) emerged as the dominant paradigm, effectively capturing the complex topological relationships and flow of funds between addresses. More recently, Natural Language Processing (NLP) techniques have been successfully adapted for blockchain data; for instance, BERT4ETH treats serialized transaction histories as textual sequences, applying self-attention to learn rich temporal representations and achieving state-of-the-art accuracy in identifying phishing accounts.</w:t>
      </w:r>
    </w:p>
    <w:bookmarkStart w:id="9" w:name="X5e69b49d1661ce513c4f743a4249e7634eabd8a"/>
    <w:p>
      <w:pPr>
        <w:pStyle w:val="Heading2"/>
      </w:pPr>
      <w:r>
        <w:t xml:space="preserve">1.1 The Black-Box Limitation and The Circularity Problem</w:t>
      </w:r>
    </w:p>
    <w:p>
      <w:pPr>
        <w:pStyle w:val="FirstParagraph"/>
      </w:pPr>
      <w:r>
        <w:t xml:space="preserve">Despite these considerable advancements, existing approaches face a critical operational limitation: they function strictly as</w:t>
      </w:r>
      <w:r>
        <w:t xml:space="preserve"> </w:t>
      </w:r>
      <w:r>
        <w:rPr>
          <w:b/>
          <w:bCs/>
        </w:rPr>
        <w:t xml:space="preserve">account-level black-box classifiers</w:t>
      </w:r>
      <w:r>
        <w:t xml:space="preserve">. When a security analyst or an automated defense system receives an alert for a suspicious account, the model provides no interpretable evidence. For accounts with histories spanning thousands of transactions—many of which are legitimate interactions used as camouflage—manually sifting through the transaction log to locate the exact moment of the phishing attack or the subsequent laundering of stolen funds is practically impossible.</w:t>
      </w:r>
    </w:p>
    <w:p>
      <w:pPr>
        <w:pStyle w:val="BodyText"/>
      </w:pPr>
      <w:r>
        <w:t xml:space="preserve">A seemingly obvious solution is to train a fully-supervised transaction-level classifier. However, this is obstructed by the</w:t>
      </w:r>
      <w:r>
        <w:t xml:space="preserve"> </w:t>
      </w:r>
      <w:r>
        <w:rPr>
          <w:b/>
          <w:bCs/>
        </w:rPr>
        <w:t xml:space="preserve">circularity problem</w:t>
      </w:r>
      <w:r>
        <w:t xml:space="preserve"> </w:t>
      </w:r>
      <w:r>
        <w:t xml:space="preserve">(or the heuristic trap). Because true transaction-level labels are virtually non-existent (victims report the</w:t>
      </w:r>
      <w:r>
        <w:t xml:space="preserve"> </w:t>
      </w:r>
      <w:r>
        <w:rPr>
          <w:i/>
          <w:iCs/>
        </w:rPr>
        <w:t xml:space="preserve">account</w:t>
      </w:r>
      <w:r>
        <w:t xml:space="preserve">, not the specific</w:t>
      </w:r>
      <w:r>
        <w:t xml:space="preserve"> </w:t>
      </w:r>
      <w:r>
        <w:rPr>
          <w:i/>
          <w:iCs/>
        </w:rPr>
        <w:t xml:space="preserve">transaction hash</w:t>
      </w:r>
      <w:r>
        <w:t xml:space="preserve">), researchers often rely on hand-crafted heuristics to generate synthetic labels. For example, a researcher might assume that</w:t>
      </w:r>
      <w:r>
        <w:t xml:space="preserve"> </w:t>
      </w:r>
      <w:r>
        <w:t xml:space="preserve">“transactions transferring &gt;10 ETH are malicious.”</w:t>
      </w:r>
      <w:r>
        <w:t xml:space="preserve"> </w:t>
      </w:r>
      <w:r>
        <w:t xml:space="preserve">If a deep neural network is then trained on these synthetic labels, the network optimizes its weights to simply recognize transactions</w:t>
      </w:r>
      <w:r>
        <w:t xml:space="preserve"> </w:t>
      </w:r>
      <m:oMath>
        <m:r>
          <m:rPr>
            <m:sty m:val="p"/>
          </m:rPr>
          <m:t>&gt;</m:t>
        </m:r>
        <m:r>
          <m:t>10</m:t>
        </m:r>
      </m:oMath>
      <w:r>
        <w:t xml:space="preserve"> </w:t>
      </w:r>
      <w:r>
        <w:t xml:space="preserve">ETH. The model learns nothing about the true underlying distribution of phishing behavior; it merely acts as a computationally expensive proxy for the original heuristic rule. This circularity renders the model fundamentally incapable of discovering novel evasion tactics that bypass the heuristic.</w:t>
      </w:r>
    </w:p>
    <w:bookmarkEnd w:id="9"/>
    <w:bookmarkStart w:id="10" w:name="X8b0c82dbf196dc8dcbd7df7696938a12dfc0936"/>
    <w:p>
      <w:pPr>
        <w:pStyle w:val="Heading2"/>
      </w:pPr>
      <w:r>
        <w:t xml:space="preserve">1.2 Our Approach: Weakly-Supervised Temporal Localization</w:t>
      </w:r>
    </w:p>
    <w:p>
      <w:pPr>
        <w:pStyle w:val="FirstParagraph"/>
      </w:pPr>
      <w:r>
        <w:t xml:space="preserve">In this paper, we propose a paradigm shift in blockchain forensics, drawing inspiration from the medical imaging domain. In Whole Slide Image (WSI) classification for cancer detection, pathologists provide only slide-level labels (tumor vs. normal), as annotating millions of individual pixels is infeasible. The model must infer patch-level localizations (where the tumor is) using only the macroscopic label.</w:t>
      </w:r>
    </w:p>
    <w:p>
      <w:pPr>
        <w:pStyle w:val="BodyText"/>
      </w:pPr>
      <w:r>
        <w:t xml:space="preserve">We formulate Ethereum phishing detection as a</w:t>
      </w:r>
      <w:r>
        <w:t xml:space="preserve"> </w:t>
      </w:r>
      <w:r>
        <w:rPr>
          <w:b/>
          <w:bCs/>
        </w:rPr>
        <w:t xml:space="preserve">Weakly-Supervised Temporal Localization</w:t>
      </w:r>
      <w:r>
        <w:t xml:space="preserve"> </w:t>
      </w:r>
      <w:r>
        <w:t xml:space="preserve">problem. We introduce</w:t>
      </w:r>
      <w:r>
        <w:t xml:space="preserve"> </w:t>
      </w:r>
      <w:r>
        <w:rPr>
          <w:b/>
          <w:bCs/>
        </w:rPr>
        <w:t xml:space="preserve">TMIL-ETH</w:t>
      </w:r>
      <w:r>
        <w:t xml:space="preserve">, a Transaction-level Multiple Instance Learning framework. TMIL-ETH processes an account’s transaction history as a</w:t>
      </w:r>
      <w:r>
        <w:t xml:space="preserve"> </w:t>
      </w:r>
      <w:r>
        <w:t xml:space="preserve">“bag”</w:t>
      </w:r>
      <w:r>
        <w:t xml:space="preserve"> </w:t>
      </w:r>
      <w:r>
        <w:t xml:space="preserve">of overlapping temporal sliding windows. By utilizing a Triple Pooling Attention mechanism (a synergistic combination of attention, mean, and max pooling) and a Phish-Masked Compound Loss, TMIL-ETH detects phishing accounts with high precision while inherently assigning attention scores to individual transaction windows. This allows TMIL-ETH to effectively localize the fraudulent activity without ever being fed a single transaction-level label during training.</w:t>
      </w:r>
    </w:p>
    <w:bookmarkEnd w:id="10"/>
    <w:bookmarkStart w:id="11" w:name="contributions"/>
    <w:p>
      <w:pPr>
        <w:pStyle w:val="Heading2"/>
      </w:pPr>
      <w:r>
        <w:t xml:space="preserve">1.3 Contributions</w:t>
      </w:r>
    </w:p>
    <w:p>
      <w:pPr>
        <w:pStyle w:val="FirstParagraph"/>
      </w:pPr>
      <w:r>
        <w:t xml:space="preserve">Our main contributions are summarized as follows:</w:t>
      </w:r>
      <w:r>
        <w:t xml:space="preserve"> </w:t>
      </w:r>
      <w:r>
        <w:t xml:space="preserve">1.</w:t>
      </w:r>
      <w:r>
        <w:t xml:space="preserve"> </w:t>
      </w:r>
      <w:r>
        <w:rPr>
          <w:b/>
          <w:bCs/>
        </w:rPr>
        <w:t xml:space="preserve">Novel MIL Formulation:</w:t>
      </w:r>
      <w:r>
        <w:t xml:space="preserve"> </w:t>
      </w:r>
      <w:r>
        <w:t xml:space="preserve">We are the first to frame Ethereum phishing detection as a Weakly-Supervised Multiple Instance Learning problem, completely bypassing the heuristic circularity trap that plagues transaction-level modeling.</w:t>
      </w:r>
      <w:r>
        <w:t xml:space="preserve"> </w:t>
      </w:r>
      <w:r>
        <w:t xml:space="preserve">2.</w:t>
      </w:r>
      <w:r>
        <w:t xml:space="preserve"> </w:t>
      </w:r>
      <w:r>
        <w:rPr>
          <w:b/>
          <w:bCs/>
        </w:rPr>
        <w:t xml:space="preserve">TMIL-ETH Architecture:</w:t>
      </w:r>
      <w:r>
        <w:t xml:space="preserve"> </w:t>
      </w:r>
      <w:r>
        <w:t xml:space="preserve">We design a robust architecture featuring a Triple Pooling mechanism and a custom Compound Loss (</w:t>
      </w:r>
      <m:oMath>
        <m:r>
          <m:t>L</m:t>
        </m:r>
        <m:r>
          <m:rPr>
            <m:sty m:val="p"/>
          </m:rPr>
          <m:t>=</m:t>
        </m:r>
        <m:sSub>
          <m:e>
            <m:r>
              <m:t>L</m:t>
            </m:r>
          </m:e>
          <m:sub>
            <m:r>
              <m:t>B</m:t>
            </m:r>
            <m:r>
              <m:t>C</m:t>
            </m:r>
            <m:r>
              <m:t>E</m:t>
            </m:r>
          </m:sub>
        </m:sSub>
        <m:r>
          <m:rPr>
            <m:sty m:val="p"/>
          </m:rPr>
          <m:t>+</m:t>
        </m:r>
        <m:r>
          <m:t>0.3</m:t>
        </m:r>
        <m:sSub>
          <m:e>
            <m:r>
              <m:t>L</m:t>
            </m:r>
          </m:e>
          <m:sub>
            <m:r>
              <m:t>c</m:t>
            </m:r>
            <m:r>
              <m:t>o</m:t>
            </m:r>
            <m:r>
              <m:t>n</m:t>
            </m:r>
            <m:r>
              <m:t>s</m:t>
            </m:r>
            <m:r>
              <m:t>i</m:t>
            </m:r>
            <m:r>
              <m:t>s</m:t>
            </m:r>
            <m:r>
              <m:t>t</m:t>
            </m:r>
            <m:r>
              <m:t>e</m:t>
            </m:r>
            <m:r>
              <m:t>n</m:t>
            </m:r>
            <m:r>
              <m:t>c</m:t>
            </m:r>
            <m:r>
              <m:t>y</m:t>
            </m:r>
          </m:sub>
        </m:sSub>
        <m:r>
          <m:rPr>
            <m:sty m:val="p"/>
          </m:rPr>
          <m:t>+</m:t>
        </m:r>
        <m:r>
          <m:t>0.2</m:t>
        </m:r>
        <m:sSub>
          <m:e>
            <m:r>
              <m:t>L</m:t>
            </m:r>
          </m:e>
          <m:sub>
            <m:r>
              <m:t>c</m:t>
            </m:r>
            <m:r>
              <m:t>o</m:t>
            </m:r>
            <m:r>
              <m:t>n</m:t>
            </m:r>
            <m:r>
              <m:t>t</m:t>
            </m:r>
            <m:r>
              <m:t>r</m:t>
            </m:r>
            <m:r>
              <m:t>a</m:t>
            </m:r>
            <m:r>
              <m:t>s</m:t>
            </m:r>
            <m:r>
              <m:t>t</m:t>
            </m:r>
          </m:sub>
        </m:sSub>
      </m:oMath>
      <w:r>
        <w:t xml:space="preserve">) equipped with a Phish-Mask, forcing the model to learn localized, discriminative temporal features without destabilizing normal accounts.</w:t>
      </w:r>
      <w:r>
        <w:t xml:space="preserve"> </w:t>
      </w:r>
      <w:r>
        <w:t xml:space="preserve">3.</w:t>
      </w:r>
      <w:r>
        <w:t xml:space="preserve"> </w:t>
      </w:r>
      <w:r>
        <w:rPr>
          <w:b/>
          <w:bCs/>
        </w:rPr>
        <w:t xml:space="preserve">Rigorous Statistical Evaluation:</w:t>
      </w:r>
      <w:r>
        <w:t xml:space="preserve"> </w:t>
      </w:r>
      <w:r>
        <w:t xml:space="preserve">We address the False Positive Rate (FPR) inflation inherent in sliding window inference by applying the mathematical</w:t>
      </w:r>
      <w:r>
        <w:t xml:space="preserve"> </w:t>
      </w:r>
      <w:r>
        <w:t xml:space="preserve">id'ak correction, establishing strict theoretical security bounds for real-world deployment.</w:t>
      </w:r>
      <w:r>
        <w:t xml:space="preserve"> </w:t>
      </w:r>
      <w:r>
        <w:t xml:space="preserve">4.</w:t>
      </w:r>
      <w:r>
        <w:t xml:space="preserve"> </w:t>
      </w:r>
      <w:r>
        <w:rPr>
          <w:b/>
          <w:bCs/>
        </w:rPr>
        <w:t xml:space="preserve">On-Chain Forensic Benchmark:</w:t>
      </w:r>
      <w:r>
        <w:t xml:space="preserve"> </w:t>
      </w:r>
      <w:r>
        <w:t xml:space="preserve">To prove the localization efficacy of TMIL-ETH definitively, we construct a first-of-its-kind forensic benchmark. By interfacing with the Etherscan API, we extract 100 uniquely verified laundering events directly from the Ethereum mainnet. TMIL-ETH achieves a 9.00% Hit@1 accuracy in localizing these events in a purely weakly-supervised setting, vastly outperforming random baselines.</w:t>
      </w:r>
    </w:p>
    <w:bookmarkEnd w:id="11"/>
    <w:bookmarkEnd w:id="12"/>
    <w:bookmarkStart w:id="16" w:name="related-work"/>
    <w:p>
      <w:pPr>
        <w:pStyle w:val="Heading1"/>
      </w:pPr>
      <w:r>
        <w:t xml:space="preserve">2. Related Work</w:t>
      </w:r>
    </w:p>
    <w:bookmarkStart w:id="13" w:name="graph-based-detection"/>
    <w:p>
      <w:pPr>
        <w:pStyle w:val="Heading2"/>
      </w:pPr>
      <w:r>
        <w:t xml:space="preserve">2.1 Graph-Based Detection</w:t>
      </w:r>
    </w:p>
    <w:p>
      <w:pPr>
        <w:pStyle w:val="FirstParagraph"/>
      </w:pPr>
      <w:r>
        <w:t xml:space="preserve">The topological nature of blockchain networks naturally lends itself to graph-based analysis. Algorithms like Node2Vec and Trans2Vec map accounts to low-dimensional vectors based on random walks over the transaction graph. More advanced GNN architectures, such as E-GCN and T-GCN, incorporate temporal edges to capture the dynamic flow of assets. While GNNs excel at identifying complex laundering rings (e.g., peel chains), they inherently aggregate temporal dynamics into spatial neighborhoods. This spatial aggregation dilutes the strict chronological ordering of events, making it difficult to pinpoint the exact temporal window where a localized attack occurred.</w:t>
      </w:r>
    </w:p>
    <w:bookmarkEnd w:id="13"/>
    <w:bookmarkStart w:id="14" w:name="sequence-based-detection"/>
    <w:p>
      <w:pPr>
        <w:pStyle w:val="Heading2"/>
      </w:pPr>
      <w:r>
        <w:t xml:space="preserve">2.2 Sequence-Based Detection</w:t>
      </w:r>
    </w:p>
    <w:p>
      <w:pPr>
        <w:pStyle w:val="FirstParagraph"/>
      </w:pPr>
      <w:r>
        <w:t xml:space="preserve">To preserve strict chronological ordering, researchers have treated transaction histories as sequences. BERT4ETH applies a Transformer architecture to serialized transaction sequences, capturing long-range dependencies via multi-head self-attention. While BERT4ETH achieves exceptional account-level classification accuracy, its architecture collapses the entire temporal sequence into a single</w:t>
      </w:r>
      <w:r>
        <w:t xml:space="preserve"> </w:t>
      </w:r>
      <w:r>
        <w:rPr>
          <w:rStyle w:val="VerbatimChar"/>
        </w:rPr>
        <w:t xml:space="preserve">[CLS]</w:t>
      </w:r>
      <w:r>
        <w:t xml:space="preserve"> </w:t>
      </w:r>
      <w:r>
        <w:t xml:space="preserve">token for the final classification layer. This architectural bottleneck destroys the spatial-temporal coordinates of individual transactions, rendering the model a black box incapable of forensic localization. TMIL-ETH builds upon the representational power of BERT4ETH embeddings but replaces the global</w:t>
      </w:r>
      <w:r>
        <w:t xml:space="preserve"> </w:t>
      </w:r>
      <w:r>
        <w:rPr>
          <w:rStyle w:val="VerbatimChar"/>
        </w:rPr>
        <w:t xml:space="preserve">[CLS]</w:t>
      </w:r>
      <w:r>
        <w:t xml:space="preserve"> </w:t>
      </w:r>
      <w:r>
        <w:t xml:space="preserve">pooling with a localized MIL formulation.</w:t>
      </w:r>
    </w:p>
    <w:bookmarkEnd w:id="14"/>
    <w:bookmarkStart w:id="15" w:name="multiple-instance-learning-mil"/>
    <w:p>
      <w:pPr>
        <w:pStyle w:val="Heading2"/>
      </w:pPr>
      <w:r>
        <w:t xml:space="preserve">2.3 Multiple Instance Learning (MIL)</w:t>
      </w:r>
    </w:p>
    <w:p>
      <w:pPr>
        <w:pStyle w:val="FirstParagraph"/>
      </w:pPr>
      <w:r>
        <w:t xml:space="preserve">MIL is a weakly supervised learning paradigm where training instances are grouped into bags. A bag is positive if at least one instance is positive, and negative otherwise. Attention-based MIL (ABMIL) introduced a gated attention mechanism to weigh the contribution of each instance to the bag-level prediction. MIL has revolutionized digital pathology (e.g., TransMIL, CLAM), allowing for precise tumor localization from slide-level diagnoses. TMIL-ETH is, to the best of our knowledge, the first adaptation of Attention-based MIL for temporal forensic localization in blockchain networks.</w:t>
      </w:r>
    </w:p>
    <w:bookmarkEnd w:id="15"/>
    <w:bookmarkEnd w:id="16"/>
    <w:bookmarkStart w:id="23" w:name="methodology"/>
    <w:p>
      <w:pPr>
        <w:pStyle w:val="Heading1"/>
      </w:pPr>
      <w:r>
        <w:t xml:space="preserve">3. Methodology</w:t>
      </w:r>
    </w:p>
    <w:bookmarkStart w:id="20" w:name="X2a67e03050a15a1f596e1621eb53302d7e859a1"/>
    <w:p>
      <w:pPr>
        <w:pStyle w:val="Heading2"/>
      </w:pPr>
      <w:r>
        <w:t xml:space="preserve">3.1 Feature Extraction and Sliding Window Formulation</w:t>
      </w:r>
    </w:p>
    <w:p>
      <w:pPr>
        <w:pStyle w:val="FirstParagraph"/>
      </w:pPr>
      <w:r>
        <w:t xml:space="preserve">We utilize a large-scale dataset comprising 35,340 accounts (Table 1), sourced from the original BERT4ETH corpus. Transaction sequences in Ethereum exhibit extreme variance in length; normal accounts may have a handful of transactions, while exchanges or active phishers may have tens of thousands (up to 60,410 in our dataset).</w:t>
      </w:r>
    </w:p>
    <w:p>
      <w:pPr>
        <w:pStyle w:val="BodyText"/>
      </w:pPr>
      <w:r>
        <w:rPr>
          <w:b/>
          <w:bCs/>
        </w:rPr>
        <w:t xml:space="preserve">Table 1: Dataset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 Type</w:t>
            </w:r>
          </w:p>
        </w:tc>
        <w:tc>
          <w:tcPr/>
          <w:p>
            <w:pPr>
              <w:pStyle w:val="Compact"/>
            </w:pPr>
            <w:r>
              <w:t xml:space="preserve">Count</w:t>
            </w:r>
          </w:p>
        </w:tc>
        <w:tc>
          <w:tcPr/>
          <w:p>
            <w:pPr>
              <w:pStyle w:val="Compact"/>
            </w:pPr>
            <w:r>
              <w:t xml:space="preserve">Percentage</w:t>
            </w:r>
          </w:p>
        </w:tc>
      </w:tr>
      <w:tr>
        <w:tc>
          <w:tcPr/>
          <w:p>
            <w:pPr>
              <w:pStyle w:val="Compact"/>
            </w:pPr>
            <w:r>
              <w:t xml:space="preserve">Phishing Accounts</w:t>
            </w:r>
          </w:p>
        </w:tc>
        <w:tc>
          <w:tcPr/>
          <w:p>
            <w:pPr>
              <w:pStyle w:val="Compact"/>
            </w:pPr>
            <w:r>
              <w:t xml:space="preserve">7,067</w:t>
            </w:r>
          </w:p>
        </w:tc>
        <w:tc>
          <w:tcPr/>
          <w:p>
            <w:pPr>
              <w:pStyle w:val="Compact"/>
            </w:pPr>
            <w:r>
              <w:t xml:space="preserve">20.0%</w:t>
            </w:r>
          </w:p>
        </w:tc>
      </w:tr>
      <w:tr>
        <w:tc>
          <w:tcPr/>
          <w:p>
            <w:pPr>
              <w:pStyle w:val="Compact"/>
            </w:pPr>
            <w:r>
              <w:t xml:space="preserve">Normal Accounts</w:t>
            </w:r>
          </w:p>
        </w:tc>
        <w:tc>
          <w:tcPr/>
          <w:p>
            <w:pPr>
              <w:pStyle w:val="Compact"/>
            </w:pPr>
            <w:r>
              <w:t xml:space="preserve">28,272</w:t>
            </w:r>
          </w:p>
        </w:tc>
        <w:tc>
          <w:tcPr/>
          <w:p>
            <w:pPr>
              <w:pStyle w:val="Compact"/>
            </w:pPr>
            <w:r>
              <w:t xml:space="preserve">80.0%</w:t>
            </w:r>
          </w:p>
        </w:tc>
      </w:tr>
      <w:tr>
        <w:tc>
          <w:tcPr/>
          <w:p>
            <w:pPr>
              <w:pStyle w:val="Compact"/>
            </w:pPr>
            <w:r>
              <w:rPr>
                <w:b/>
                <w:bCs/>
              </w:rPr>
              <w:t xml:space="preserve">Total</w:t>
            </w:r>
          </w:p>
        </w:tc>
        <w:tc>
          <w:tcPr/>
          <w:p>
            <w:pPr>
              <w:pStyle w:val="Compact"/>
            </w:pPr>
            <w:r>
              <w:rPr>
                <w:b/>
                <w:bCs/>
              </w:rPr>
              <w:t xml:space="preserve">35,340</w:t>
            </w:r>
          </w:p>
        </w:tc>
        <w:tc>
          <w:tcPr/>
          <w:p>
            <w:pPr>
              <w:pStyle w:val="Compact"/>
            </w:pPr>
            <w:r>
              <w:rPr>
                <w:b/>
                <w:bCs/>
              </w:rPr>
              <w:t xml:space="preserve">100.0%</w:t>
            </w:r>
          </w:p>
        </w:tc>
      </w:tr>
    </w:tbl>
    <w:p>
      <w:pPr>
        <w:pStyle w:val="BodyText"/>
      </w:pPr>
      <w:r>
        <w:t xml:space="preserve">To process unbounded sequences while retaining localized temporal context, we employ a sliding window algorithm. Let an account</w:t>
      </w:r>
      <w:r>
        <w:t xml:space="preserve"> </w:t>
      </w:r>
      <m:oMath>
        <m:r>
          <m:t>A</m:t>
        </m:r>
      </m:oMath>
      <w:r>
        <w:t xml:space="preserve"> </w:t>
      </w:r>
      <w:r>
        <w:t xml:space="preserve">be a sequence of transactions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M</m:t>
            </m:r>
          </m:sub>
        </m:sSub>
        <m:r>
          <m:rPr>
            <m:sty m:val="p"/>
          </m:rPr>
          <m:t>)</m:t>
        </m:r>
      </m:oMath>
      <w:r>
        <w:t xml:space="preserve">. We define a sliding window of size</w:t>
      </w:r>
      <w:r>
        <w:t xml:space="preserve"> </w:t>
      </w:r>
      <m:oMath>
        <m:r>
          <m:t>W</m:t>
        </m:r>
        <m:r>
          <m:rPr>
            <m:sty m:val="p"/>
          </m:rPr>
          <m:t>=</m:t>
        </m:r>
        <m:r>
          <m:t>200</m:t>
        </m:r>
      </m:oMath>
      <w:r>
        <w:t xml:space="preserve"> </w:t>
      </w:r>
      <w:r>
        <w:t xml:space="preserve">and a stride</w:t>
      </w:r>
      <w:r>
        <w:t xml:space="preserve"> </w:t>
      </w:r>
      <m:oMath>
        <m:r>
          <m:t>S</m:t>
        </m:r>
        <m:r>
          <m:rPr>
            <m:sty m:val="p"/>
          </m:rPr>
          <m:t>=</m:t>
        </m:r>
        <m:r>
          <m:t>50</m:t>
        </m:r>
      </m:oMath>
      <w:r>
        <w:t xml:space="preserve">. The account is thereby transformed into a bag of</w:t>
      </w:r>
      <w:r>
        <w:t xml:space="preserve"> </w:t>
      </w:r>
      <m:oMath>
        <m:r>
          <m:t>N</m:t>
        </m:r>
      </m:oMath>
      <w:r>
        <w:t xml:space="preserve"> </w:t>
      </w:r>
      <w:r>
        <w:t xml:space="preserve">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where each instance</w:t>
      </w:r>
      <w:r>
        <w:t xml:space="preserve"> </w:t>
      </w:r>
      <m:oMath>
        <m:sSub>
          <m:e>
            <m:r>
              <m:t>x</m:t>
            </m:r>
          </m:e>
          <m:sub>
            <m:r>
              <m:t>i</m:t>
            </m:r>
          </m:sub>
        </m:sSub>
      </m:oMath>
      <w:r>
        <w:t xml:space="preserve"> </w:t>
      </w:r>
      <w:r>
        <w:t xml:space="preserve">represents a localized temporal segment of 200 transactions.</w:t>
      </w:r>
    </w:p>
    <w:p>
      <w:pPr>
        <w:pStyle w:val="BodyText"/>
      </w:pPr>
      <w:r>
        <w:drawing>
          <wp:inline>
            <wp:extent cx="5334000" cy="1737137"/>
            <wp:effectExtent b="0" l="0" r="0" t="0"/>
            <wp:docPr descr="Figure 1: Distribution of Sliding Windows across Ethereum Accounts" title="" id="18" name="Picture"/>
            <a:graphic>
              <a:graphicData uri="http://schemas.openxmlformats.org/drawingml/2006/picture">
                <pic:pic>
                  <pic:nvPicPr>
                    <pic:cNvPr descr="results/step4_window_distribution.png" id="19" name="Picture"/>
                    <pic:cNvPicPr>
                      <a:picLocks noChangeArrowheads="1" noChangeAspect="1"/>
                    </pic:cNvPicPr>
                  </pic:nvPicPr>
                  <pic:blipFill>
                    <a:blip r:embed="rId17"/>
                    <a:stretch>
                      <a:fillRect/>
                    </a:stretch>
                  </pic:blipFill>
                  <pic:spPr bwMode="auto">
                    <a:xfrm>
                      <a:off x="0" y="0"/>
                      <a:ext cx="5334000" cy="1737137"/>
                    </a:xfrm>
                    <a:prstGeom prst="rect">
                      <a:avLst/>
                    </a:prstGeom>
                    <a:noFill/>
                    <a:ln w="9525">
                      <a:noFill/>
                      <a:headEnd/>
                      <a:tailEnd/>
                    </a:ln>
                  </pic:spPr>
                </pic:pic>
              </a:graphicData>
            </a:graphic>
          </wp:inline>
        </w:drawing>
      </w:r>
      <w:r>
        <w:t xml:space="preserve"> </w:t>
      </w:r>
      <w:r>
        <w:rPr>
          <w:i/>
          <w:iCs/>
        </w:rPr>
        <w:t xml:space="preserve">Figure 1: Distribution of sequence lengths after applying the sliding window algorithm. While the median is 1 window, the long-tail distribution extends to 1,369 windows.</w:t>
      </w:r>
    </w:p>
    <w:p>
      <w:pPr>
        <w:pStyle w:val="BodyText"/>
      </w:pPr>
      <w:r>
        <w:t xml:space="preserve">For each transaction, we extract a 68-dimensional feature vector:</w:t>
      </w:r>
      <w:r>
        <w:t xml:space="preserve"> </w:t>
      </w:r>
      <w:r>
        <w:t xml:space="preserve">1.</w:t>
      </w:r>
      <w:r>
        <w:t xml:space="preserve"> </w:t>
      </w:r>
      <w:r>
        <w:rPr>
          <w:b/>
          <w:bCs/>
        </w:rPr>
        <w:t xml:space="preserve">64-dim Contextual Embeddings:</w:t>
      </w:r>
      <w:r>
        <w:t xml:space="preserve"> </w:t>
      </w:r>
      <w:r>
        <w:t xml:space="preserve">Extracted from the penultimate layer of a pre-trained BERT4ETH model, capturing complex behavioral motifs.</w:t>
      </w:r>
      <w:r>
        <w:t xml:space="preserve"> </w:t>
      </w:r>
      <w:r>
        <w:t xml:space="preserve">2.</w:t>
      </w:r>
      <w:r>
        <w:t xml:space="preserve"> </w:t>
      </w:r>
      <w:r>
        <w:rPr>
          <w:b/>
          <w:bCs/>
        </w:rPr>
        <w:t xml:space="preserve">4-dim Hand-crafted Heuristics:</w:t>
      </w:r>
      <w:r>
        <w:t xml:space="preserve"> </w:t>
      </w:r>
      <w:r>
        <w:t xml:space="preserve">Including standardized transaction value (</w:t>
      </w:r>
      <m:oMath>
        <m:sSub>
          <m:e>
            <m:r>
              <m:t>z</m:t>
            </m:r>
          </m:e>
          <m:sub>
            <m:r>
              <m:t>a</m:t>
            </m:r>
            <m:r>
              <m:t>m</m:t>
            </m:r>
            <m:r>
              <m:t>o</m:t>
            </m:r>
            <m:r>
              <m:t>u</m:t>
            </m:r>
            <m:r>
              <m:t>n</m:t>
            </m:r>
            <m:r>
              <m:t>t</m:t>
            </m:r>
          </m:sub>
        </m:sSub>
      </m:oMath>
      <w:r>
        <w:t xml:space="preserve">), temporal density (inverse time delta), counterparty novelty, and value ratio.</w:t>
      </w:r>
    </w:p>
    <w:p>
      <w:pPr>
        <w:pStyle w:val="BodyText"/>
      </w:pPr>
      <w:r>
        <w:t xml:space="preserve">To ensure the hand-crafted features are not redundant, we performed an Orthogonality Validation via Linear Probing (measuring the</w:t>
      </w:r>
      <w:r>
        <w:t xml:space="preserve"> </w:t>
      </w:r>
      <m:oMath>
        <m:sSup>
          <m:e>
            <m:r>
              <m:t>R</m:t>
            </m:r>
          </m:e>
          <m:sup>
            <m:r>
              <m:t>2</m:t>
            </m:r>
          </m:sup>
        </m:sSup>
      </m:oMath>
      <w:r>
        <w:t xml:space="preserve"> </w:t>
      </w:r>
      <w:r>
        <w:t xml:space="preserve">variance explained by the BERT embeddings). Full results are shown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center"/>
            </w:pPr>
            <m:oMath>
              <m:sSubSup>
                <m:e>
                  <m:r>
                    <m:t>R</m:t>
                  </m:r>
                </m:e>
                <m:sub>
                  <m:r>
                    <m:t>o</m:t>
                  </m:r>
                  <m:r>
                    <m:t>b</m:t>
                  </m:r>
                  <m:r>
                    <m:t>s</m:t>
                  </m:r>
                </m:sub>
                <m:sup>
                  <m:r>
                    <m:t>2</m:t>
                  </m:r>
                </m:sup>
              </m:sSubSup>
            </m:oMath>
          </w:p>
        </w:tc>
        <w:tc>
          <w:tcPr/>
          <w:p>
            <w:pPr>
              <w:pStyle w:val="Compact"/>
              <w:jc w:val="center"/>
            </w:pPr>
            <m:oMath>
              <m:r>
                <m:t>n</m:t>
              </m:r>
              <m:r>
                <m:t>u</m:t>
              </m:r>
              <m:r>
                <m:t>l</m:t>
              </m:r>
              <m:r>
                <m:t>l</m:t>
              </m:r>
              <m:r>
                <m:rPr>
                  <m:sty m:val="p"/>
                </m:rPr>
                <m:t>_</m:t>
              </m:r>
              <m:r>
                <m:t>p</m:t>
              </m:r>
              <m:r>
                <m:t>95</m:t>
              </m:r>
            </m:oMath>
          </w:p>
        </w:tc>
        <w:tc>
          <w:tcPr/>
          <w:p>
            <w:pPr>
              <w:pStyle w:val="Compact"/>
              <w:jc w:val="center"/>
            </w:pPr>
            <w:r>
              <w:t xml:space="preserve">Status</w:t>
            </w:r>
          </w:p>
        </w:tc>
      </w:tr>
      <w:tr>
        <w:tc>
          <w:tcPr/>
          <w:p>
            <w:pPr>
              <w:pStyle w:val="Compact"/>
              <w:jc w:val="left"/>
            </w:pPr>
            <m:oMath>
              <m:sSub>
                <m:e>
                  <m:r>
                    <m:t>z</m:t>
                  </m:r>
                </m:e>
                <m:sub>
                  <m:r>
                    <m:t>a</m:t>
                  </m:r>
                  <m:r>
                    <m:t>m</m:t>
                  </m:r>
                  <m:r>
                    <m:t>o</m:t>
                  </m:r>
                  <m:r>
                    <m:t>u</m:t>
                  </m:r>
                  <m:r>
                    <m:t>n</m:t>
                  </m:r>
                  <m:r>
                    <m:t>t</m:t>
                  </m:r>
                </m:sub>
              </m:sSub>
            </m:oMath>
            <w:r>
              <w:t xml:space="preserve"> </w:t>
            </w:r>
            <w:r>
              <w:t xml:space="preserve">(transaction value)</w:t>
            </w:r>
          </w:p>
        </w:tc>
        <w:tc>
          <w:tcPr/>
          <w:p>
            <w:pPr>
              <w:pStyle w:val="Compact"/>
              <w:jc w:val="center"/>
            </w:pPr>
            <w:r>
              <w:t xml:space="preserve">0.0010</w:t>
            </w:r>
          </w:p>
        </w:tc>
        <w:tc>
          <w:tcPr/>
          <w:p>
            <w:pPr>
              <w:pStyle w:val="Compact"/>
              <w:jc w:val="center"/>
            </w:pPr>
            <w:r>
              <w:t xml:space="preserve">0.0461</w:t>
            </w:r>
          </w:p>
        </w:tc>
        <w:tc>
          <w:tcPr/>
          <w:p>
            <w:pPr>
              <w:pStyle w:val="Compact"/>
              <w:jc w:val="center"/>
            </w:pPr>
            <w:r>
              <w:t xml:space="preserve">✓ PASS</w:t>
            </w:r>
          </w:p>
        </w:tc>
      </w:tr>
      <w:tr>
        <w:tc>
          <w:tcPr/>
          <w:p>
            <w:pPr>
              <w:pStyle w:val="Compact"/>
              <w:jc w:val="left"/>
            </w:pPr>
            <m:oMath>
              <m:r>
                <m:t>v</m:t>
              </m:r>
              <m:r>
                <m:t>a</m:t>
              </m:r>
              <m:r>
                <m:t>l</m:t>
              </m:r>
              <m:r>
                <m:t>u</m:t>
              </m:r>
              <m:r>
                <m:t>e</m:t>
              </m:r>
              <m:r>
                <m:rPr>
                  <m:sty m:val="p"/>
                </m:rPr>
                <m:t>_</m:t>
              </m:r>
              <m:r>
                <m:t>r</m:t>
              </m:r>
              <m:r>
                <m:t>a</m:t>
              </m:r>
              <m:r>
                <m:t>t</m:t>
              </m:r>
              <m:r>
                <m:t>i</m:t>
              </m:r>
              <m:r>
                <m:t>o</m:t>
              </m:r>
            </m:oMath>
          </w:p>
        </w:tc>
        <w:tc>
          <w:tcPr/>
          <w:p>
            <w:pPr>
              <w:pStyle w:val="Compact"/>
              <w:jc w:val="center"/>
            </w:pPr>
            <w:r>
              <w:t xml:space="preserve">0.2319</w:t>
            </w:r>
          </w:p>
        </w:tc>
        <w:tc>
          <w:tcPr/>
          <w:p>
            <w:pPr>
              <w:pStyle w:val="Compact"/>
              <w:jc w:val="center"/>
            </w:pPr>
            <w:r>
              <w:t xml:space="preserve">0.0641</w:t>
            </w:r>
          </w:p>
        </w:tc>
        <w:tc>
          <w:tcPr/>
          <w:p>
            <w:pPr>
              <w:pStyle w:val="Compact"/>
              <w:jc w:val="center"/>
            </w:pPr>
            <w:r>
              <w:t xml:space="preserve">✓ PASS</w:t>
            </w:r>
          </w:p>
        </w:tc>
      </w:tr>
      <w:tr>
        <w:tc>
          <w:tcPr/>
          <w:p>
            <w:pPr>
              <w:pStyle w:val="Compact"/>
              <w:jc w:val="left"/>
            </w:pPr>
            <m:oMath>
              <m:r>
                <m:t>c</m:t>
              </m:r>
              <m:r>
                <m:t>o</m:t>
              </m:r>
              <m:r>
                <m:t>u</m:t>
              </m:r>
              <m:r>
                <m:t>n</m:t>
              </m:r>
              <m:r>
                <m:t>t</m:t>
              </m:r>
              <m:r>
                <m:t>e</m:t>
              </m:r>
              <m:r>
                <m:t>r</m:t>
              </m:r>
              <m:r>
                <m:t>p</m:t>
              </m:r>
              <m:r>
                <m:t>a</m:t>
              </m:r>
              <m:r>
                <m:t>r</m:t>
              </m:r>
              <m:r>
                <m:t>t</m:t>
              </m:r>
              <m:r>
                <m:t>y</m:t>
              </m:r>
              <m:r>
                <m:rPr>
                  <m:sty m:val="p"/>
                </m:rPr>
                <m:t>_</m:t>
              </m:r>
              <m:r>
                <m:t>n</m:t>
              </m:r>
              <m:r>
                <m:t>o</m:t>
              </m:r>
              <m:r>
                <m:t>v</m:t>
              </m:r>
              <m:r>
                <m:t>e</m:t>
              </m:r>
              <m:r>
                <m:t>l</m:t>
              </m:r>
              <m:r>
                <m:t>t</m:t>
              </m:r>
              <m:r>
                <m:t>y</m:t>
              </m:r>
            </m:oMath>
          </w:p>
        </w:tc>
        <w:tc>
          <w:tcPr/>
          <w:p>
            <w:pPr>
              <w:pStyle w:val="Compact"/>
              <w:jc w:val="center"/>
            </w:pPr>
            <w:r>
              <w:t xml:space="preserve">0.3579</w:t>
            </w:r>
          </w:p>
        </w:tc>
        <w:tc>
          <w:tcPr/>
          <w:p>
            <w:pPr>
              <w:pStyle w:val="Compact"/>
              <w:jc w:val="center"/>
            </w:pPr>
            <w:r>
              <w:t xml:space="preserve">0.0453</w:t>
            </w:r>
          </w:p>
        </w:tc>
        <w:tc>
          <w:tcPr/>
          <w:p>
            <w:pPr>
              <w:pStyle w:val="Compact"/>
              <w:jc w:val="center"/>
            </w:pPr>
            <w:r>
              <w:t xml:space="preserve">✗ FAIL</w:t>
            </w:r>
          </w:p>
        </w:tc>
      </w:tr>
      <w:tr>
        <w:tc>
          <w:tcPr/>
          <w:p>
            <w:pPr>
              <w:pStyle w:val="Compact"/>
              <w:jc w:val="left"/>
            </w:pPr>
            <m:oMath>
              <m:r>
                <m:t>d</m:t>
              </m:r>
              <m:r>
                <m:t>e</m:t>
              </m:r>
              <m:r>
                <m:t>n</m:t>
              </m:r>
              <m:r>
                <m:t>s</m:t>
              </m:r>
              <m:r>
                <m:t>i</m:t>
              </m:r>
              <m:r>
                <m:t>t</m:t>
              </m:r>
              <m:r>
                <m:t>y</m:t>
              </m:r>
            </m:oMath>
            <w:r>
              <w:t xml:space="preserve"> </w:t>
            </w:r>
            <w:r>
              <w:t xml:space="preserve">(temporal)</w:t>
            </w:r>
          </w:p>
        </w:tc>
        <w:tc>
          <w:tcPr/>
          <w:p>
            <w:pPr>
              <w:pStyle w:val="Compact"/>
              <w:jc w:val="center"/>
            </w:pPr>
            <w:r>
              <w:t xml:space="preserve">0.4757</w:t>
            </w:r>
          </w:p>
        </w:tc>
        <w:tc>
          <w:tcPr/>
          <w:p>
            <w:pPr>
              <w:pStyle w:val="Compact"/>
              <w:jc w:val="center"/>
            </w:pPr>
            <w:r>
              <w:t xml:space="preserve">0.0452</w:t>
            </w:r>
          </w:p>
        </w:tc>
        <w:tc>
          <w:tcPr/>
          <w:p>
            <w:pPr>
              <w:pStyle w:val="Compact"/>
              <w:jc w:val="center"/>
            </w:pPr>
            <w:r>
              <w:t xml:space="preserve">✗ FAIL</w:t>
            </w:r>
          </w:p>
        </w:tc>
      </w:tr>
    </w:tbl>
    <w:p>
      <w:pPr>
        <w:pStyle w:val="BodyText"/>
      </w:pPr>
      <w:r>
        <w:t xml:space="preserve">While</w:t>
      </w:r>
      <w:r>
        <w:t xml:space="preserve"> </w:t>
      </w:r>
      <m:oMath>
        <m:r>
          <m:t>d</m:t>
        </m:r>
        <m:r>
          <m:t>e</m:t>
        </m:r>
        <m:r>
          <m:t>n</m:t>
        </m:r>
        <m:r>
          <m:t>s</m:t>
        </m:r>
        <m:r>
          <m:t>i</m:t>
        </m:r>
        <m:r>
          <m:t>t</m:t>
        </m:r>
        <m:r>
          <m:t>y</m:t>
        </m:r>
      </m:oMath>
      <w:r>
        <w:t xml:space="preserve"> </w:t>
      </w:r>
      <w:r>
        <w:t xml:space="preserve">and</w:t>
      </w:r>
      <w:r>
        <w:t xml:space="preserve"> </w:t>
      </w:r>
      <m:oMath>
        <m:r>
          <m:t>c</m:t>
        </m:r>
        <m:r>
          <m:t>o</m:t>
        </m:r>
        <m:r>
          <m:t>u</m:t>
        </m:r>
        <m:r>
          <m:t>n</m:t>
        </m:r>
        <m:r>
          <m:t>t</m:t>
        </m:r>
        <m:r>
          <m:t>e</m:t>
        </m:r>
        <m:r>
          <m:t>r</m:t>
        </m:r>
        <m:r>
          <m:t>p</m:t>
        </m:r>
        <m:r>
          <m:t>a</m:t>
        </m:r>
        <m:r>
          <m:t>r</m:t>
        </m:r>
        <m:r>
          <m:t>t</m:t>
        </m:r>
        <m:r>
          <m:t>y</m:t>
        </m:r>
        <m:r>
          <m:rPr>
            <m:sty m:val="p"/>
          </m:rPr>
          <m:t>_</m:t>
        </m:r>
        <m:r>
          <m:t>n</m:t>
        </m:r>
        <m:r>
          <m:t>o</m:t>
        </m:r>
        <m:r>
          <m:t>v</m:t>
        </m:r>
        <m:r>
          <m:t>e</m:t>
        </m:r>
        <m:r>
          <m:t>l</m:t>
        </m:r>
        <m:r>
          <m:t>t</m:t>
        </m:r>
        <m:r>
          <m:t>y</m:t>
        </m:r>
      </m:oMath>
      <w:r>
        <w:t xml:space="preserve"> </w:t>
      </w:r>
      <w:r>
        <w:t xml:space="preserve">show partial redundancy with the BERT latent space (</w:t>
      </w:r>
      <m:oMath>
        <m:sSup>
          <m:e>
            <m:r>
              <m:t>R</m:t>
            </m:r>
          </m:e>
          <m:sup>
            <m:r>
              <m:t>2</m:t>
            </m:r>
          </m:sup>
        </m:sSup>
        <m:r>
          <m:rPr>
            <m:sty m:val="p"/>
          </m:rPr>
          <m:t>&gt;</m:t>
        </m:r>
        <m:r>
          <m:t>0.30</m:t>
        </m:r>
      </m:oMath>
      <w:r>
        <w:t xml:space="preserve">), we retain all four features in the fused representation for two reasons: (1) the overlap is partial, not complete, meaning the features still encode variance not captured by BERT alone; and (2) the redundancy effect is directly investigated in our Ablation Study (Section 5.3,</w:t>
      </w:r>
      <w:r>
        <w:t xml:space="preserve"> </w:t>
      </w:r>
      <w:r>
        <w:rPr>
          <w:i/>
          <w:iCs/>
        </w:rPr>
        <w:t xml:space="preserve">Global Normalization</w:t>
      </w:r>
      <w:r>
        <w:t xml:space="preserve"> </w:t>
      </w:r>
      <w:r>
        <w:t xml:space="preserve">configuration), where we empirically confirm that removing these features does not improve overall AUC. The orthogonality result serves as an important theoretical caveat and motivates future work on feature selection.</w:t>
      </w:r>
    </w:p>
    <w:bookmarkEnd w:id="20"/>
    <w:bookmarkStart w:id="21" w:name="gated-attention-mechanism"/>
    <w:p>
      <w:pPr>
        <w:pStyle w:val="Heading2"/>
      </w:pPr>
      <w:r>
        <w:t xml:space="preserve">3.2 Gated Attention Mechanism</w:t>
      </w:r>
    </w:p>
    <w:p>
      <w:pPr>
        <w:pStyle w:val="FirstParagraph"/>
      </w:pPr>
      <w:r>
        <w:t xml:space="preserve">Given a bag of 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each instance is first passed through a shared Multi-Layer Perceptron (MLP) feature extractor</w:t>
      </w:r>
      <w:r>
        <w:t xml:space="preserve"> </w:t>
      </w:r>
      <m:oMath>
        <m:sSub>
          <m:e>
            <m:r>
              <m:t>f</m:t>
            </m:r>
          </m:e>
          <m:sub>
            <m:r>
              <m:t>θ</m:t>
            </m:r>
          </m:sub>
        </m:sSub>
      </m:oMath>
      <w:r>
        <w:t xml:space="preserve">, mapping</w:t>
      </w:r>
      <w:r>
        <w:t xml:space="preserve"> </w:t>
      </w:r>
      <m:oMath>
        <m:sSub>
          <m:e>
            <m:r>
              <m:t>x</m:t>
            </m:r>
          </m:e>
          <m:sub>
            <m:r>
              <m:t>i</m:t>
            </m:r>
          </m:sub>
        </m:sSub>
        <m:r>
          <m:rPr>
            <m:sty m:val="p"/>
          </m:rPr>
          <m:t>∈</m:t>
        </m:r>
        <m:sSup>
          <m:e>
            <m:r>
              <m:rPr>
                <m:scr m:val="double-struck"/>
                <m:sty m:val="p"/>
              </m:rPr>
              <m:t>R</m:t>
            </m:r>
          </m:e>
          <m:sup>
            <m:r>
              <m:t>200</m:t>
            </m:r>
            <m:r>
              <m:rPr>
                <m:sty m:val="p"/>
              </m:rPr>
              <m:t>×</m:t>
            </m:r>
            <m:r>
              <m:t>68</m:t>
            </m:r>
          </m:sup>
        </m:sSup>
      </m:oMath>
      <w:r>
        <w:t xml:space="preserve"> </w:t>
      </w:r>
      <w:r>
        <w:t xml:space="preserve">to a dense representation</w:t>
      </w:r>
      <w:r>
        <w:t xml:space="preserve"> </w:t>
      </w:r>
      <m:oMath>
        <m:sSub>
          <m:e>
            <m:r>
              <m:t>h</m:t>
            </m:r>
          </m:e>
          <m:sub>
            <m:r>
              <m:t>i</m:t>
            </m:r>
          </m:sub>
        </m:sSub>
        <m:r>
          <m:rPr>
            <m:sty m:val="p"/>
          </m:rPr>
          <m:t>∈</m:t>
        </m:r>
        <m:sSup>
          <m:e>
            <m:r>
              <m:rPr>
                <m:scr m:val="double-struck"/>
                <m:sty m:val="p"/>
              </m:rPr>
              <m:t>R</m:t>
            </m:r>
          </m:e>
          <m:sup>
            <m:r>
              <m:t>64</m:t>
            </m:r>
          </m:sup>
        </m:sSup>
      </m:oMath>
      <w:r>
        <w:t xml:space="preserve">.</w:t>
      </w:r>
    </w:p>
    <w:p>
      <w:pPr>
        <w:pStyle w:val="BodyText"/>
      </w:pPr>
      <w:r>
        <w:t xml:space="preserve">To strictly adhere to the mathematical foundations of permutation-invariant Multiple Instance Learning while maximizing the signal-to-noise ratio in highly imbalanced transactional data, TMIL-ETH employs a</w:t>
      </w:r>
      <w:r>
        <w:t xml:space="preserve"> </w:t>
      </w:r>
      <w:r>
        <w:rPr>
          <w:b/>
          <w:bCs/>
        </w:rPr>
        <w:t xml:space="preserve">Gated Attention Mechanism</w:t>
      </w:r>
      <w:r>
        <w:t xml:space="preserve"> </w:t>
      </w:r>
      <w:r>
        <w:t xml:space="preserve">(adapted from Ilse et al., 2018).</w:t>
      </w:r>
    </w:p>
    <w:p>
      <w:pPr>
        <w:pStyle w:val="BodyText"/>
      </w:pPr>
      <w:r>
        <w:t xml:space="preserve">In blockchain phishing, the vast majority of an account’s transactions (&gt;95%) serve as</w:t>
      </w:r>
      <w:r>
        <w:t xml:space="preserve"> </w:t>
      </w:r>
      <w:r>
        <w:t xml:space="preserve">“normal camouflage,”</w:t>
      </w:r>
      <w:r>
        <w:t xml:space="preserve"> </w:t>
      </w:r>
      <w:r>
        <w:t xml:space="preserve">while illicit asset transfers occur in extremely brief bursts. Standard attention mechanisms (using a simple</w:t>
      </w:r>
      <w:r>
        <w:t xml:space="preserve"> </w:t>
      </w:r>
      <w:r>
        <w:rPr>
          <w:rStyle w:val="VerbatimChar"/>
        </w:rPr>
        <w:t xml:space="preserve">tanh</w:t>
      </w:r>
      <w:r>
        <w:t xml:space="preserve"> </w:t>
      </w:r>
      <w:r>
        <w:t xml:space="preserve">projection) struggle to completely silence this overwhelming camouflage, as</w:t>
      </w:r>
      <w:r>
        <w:t xml:space="preserve"> </w:t>
      </w:r>
      <w:r>
        <w:rPr>
          <w:rStyle w:val="VerbatimChar"/>
        </w:rPr>
        <w:t xml:space="preserve">tanh</w:t>
      </w:r>
      <w:r>
        <w:t xml:space="preserve"> </w:t>
      </w:r>
      <w:r>
        <w:t xml:space="preserve">limits values to</w:t>
      </w:r>
      <w:r>
        <w:t xml:space="preserve"> </w:t>
      </w:r>
      <m:oMath>
        <m:r>
          <m:rPr>
            <m:sty m:val="p"/>
          </m:rPr>
          <m:t>[</m:t>
        </m:r>
        <m:r>
          <m:rPr>
            <m:sty m:val="p"/>
          </m:rPr>
          <m:t>−</m:t>
        </m:r>
        <m:r>
          <m:t>1</m:t>
        </m:r>
        <m:r>
          <m:rPr>
            <m:sty m:val="p"/>
          </m:rPr>
          <m:t>,</m:t>
        </m:r>
        <m:r>
          <m:t>1</m:t>
        </m:r>
        <m:r>
          <m:rPr>
            <m:sty m:val="p"/>
          </m:rPr>
          <m:t>]</m:t>
        </m:r>
      </m:oMath>
      <w:r>
        <w:t xml:space="preserve">. To overcome this, we introduce a non-linear sigmoid gate</w:t>
      </w:r>
      <w:r>
        <w:t xml:space="preserve"> </w:t>
      </w:r>
      <m:oMath>
        <m:r>
          <m:rPr>
            <m:nor/>
            <m:sty m:val="p"/>
          </m:rPr>
          <m:t>sigm</m:t>
        </m:r>
        <m:r>
          <m:rPr>
            <m:sty m:val="p"/>
          </m:rPr>
          <m:t>(</m:t>
        </m:r>
        <m:r>
          <m:t>U</m:t>
        </m:r>
        <m:sSubSup>
          <m:e>
            <m:r>
              <m:t>h</m:t>
            </m:r>
          </m:e>
          <m:sub>
            <m:r>
              <m:t>i</m:t>
            </m:r>
          </m:sub>
          <m:sup>
            <m:r>
              <m:t>T</m:t>
            </m:r>
          </m:sup>
        </m:sSubSup>
        <m:r>
          <m:rPr>
            <m:sty m:val="p"/>
          </m:rPr>
          <m:t>)</m:t>
        </m:r>
      </m:oMath>
      <w:r>
        <w:t xml:space="preserve">, which allows the network to learn a true suppression function capable of aggressively driving the attention weights of irrelevant windows to exactly zero.</w:t>
      </w:r>
    </w:p>
    <w:p>
      <w:pPr>
        <w:pStyle w:val="BodyText"/>
      </w:pPr>
      <w:r>
        <w:t xml:space="preserve">For a bag of transactional instances</w:t>
      </w:r>
      <w:r>
        <w:t xml:space="preserve"> </w:t>
      </w:r>
      <m:oMath>
        <m: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 the attention weight</w:t>
      </w:r>
      <w:r>
        <w:t xml:space="preserve"> </w:t>
      </w:r>
      <m:oMath>
        <m:sSub>
          <m:e>
            <m:r>
              <m:t>a</m:t>
            </m:r>
          </m:e>
          <m:sub>
            <m:r>
              <m:t>i</m:t>
            </m:r>
          </m:sub>
        </m:sSub>
      </m:oMath>
      <w:r>
        <w:t xml:space="preserve"> </w:t>
      </w:r>
      <w:r>
        <w:t xml:space="preserve">for each instance is computed as:</w:t>
      </w:r>
    </w:p>
    <w:p>
      <w:pPr>
        <w:pStyle w:val="BodyText"/>
      </w:pPr>
      <m:oMathPara>
        <m:oMathParaPr>
          <m:jc m:val="center"/>
        </m:oMathParaPr>
        <m:oMath>
          <m:sSub>
            <m:e>
              <m:r>
                <m:t>a</m:t>
              </m:r>
            </m:e>
            <m:sub>
              <m:r>
                <m:t>i</m:t>
              </m:r>
            </m:sub>
          </m:sSub>
          <m:r>
            <m:rPr>
              <m:sty m:val="p"/>
            </m:rPr>
            <m:t>=</m:t>
          </m:r>
          <m:f>
            <m:fPr>
              <m:type m:val="bar"/>
            </m:fPr>
            <m:num>
              <m:r>
                <m:rPr>
                  <m:sty m:val="p"/>
                </m:rPr>
                <m:t>exp</m:t>
              </m:r>
              <m:r>
                <m:rPr>
                  <m:sty m:val="p"/>
                </m:rPr>
                <m:t>{</m:t>
              </m:r>
              <m:sSup>
                <m:e>
                  <m:r>
                    <m:t>w</m:t>
                  </m:r>
                </m:e>
                <m:sup>
                  <m:r>
                    <m:t>T</m:t>
                  </m:r>
                </m:sup>
              </m:sSup>
              <m:r>
                <m:rPr>
                  <m:sty m:val="p"/>
                </m:rPr>
                <m:t>(</m:t>
              </m:r>
              <m:r>
                <m:rPr>
                  <m:sty m:val="p"/>
                </m:rPr>
                <m:t>tanh</m:t>
              </m:r>
              <m:r>
                <m:rPr>
                  <m:sty m:val="p"/>
                </m:rPr>
                <m:t>(</m:t>
              </m:r>
              <m:r>
                <m:t>V</m:t>
              </m:r>
              <m:sSubSup>
                <m:e>
                  <m:r>
                    <m:t>h</m:t>
                  </m:r>
                </m:e>
                <m:sub>
                  <m:r>
                    <m:t>i</m:t>
                  </m:r>
                </m:sub>
                <m:sup>
                  <m:r>
                    <m:t>T</m:t>
                  </m:r>
                </m:sup>
              </m:sSubSup>
              <m:r>
                <m:rPr>
                  <m:sty m:val="p"/>
                </m:rPr>
                <m:t>)</m:t>
              </m:r>
              <m:r>
                <m:rPr>
                  <m:sty m:val="p"/>
                </m:rPr>
                <m:t>⊙</m:t>
              </m:r>
              <m:r>
                <m:rPr>
                  <m:nor/>
                  <m:sty m:val="p"/>
                </m:rPr>
                <m:t>sigm</m:t>
              </m:r>
              <m:r>
                <m:rPr>
                  <m:sty m:val="p"/>
                </m:rPr>
                <m:t>(</m:t>
              </m:r>
              <m:r>
                <m:t>U</m:t>
              </m:r>
              <m:sSubSup>
                <m:e>
                  <m:r>
                    <m:t>h</m:t>
                  </m:r>
                </m:e>
                <m:sub>
                  <m:r>
                    <m:t>i</m:t>
                  </m:r>
                </m:sub>
                <m:sup>
                  <m:r>
                    <m:t>T</m:t>
                  </m:r>
                </m:sup>
              </m:sSubSup>
              <m:r>
                <m:rPr>
                  <m:sty m:val="p"/>
                </m:rPr>
                <m:t>)</m:t>
              </m:r>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p>
                <m:e>
                  <m:r>
                    <m:t>w</m:t>
                  </m:r>
                </m:e>
                <m:sup>
                  <m:r>
                    <m:t>T</m:t>
                  </m:r>
                </m:sup>
              </m:sSup>
              <m:r>
                <m:rPr>
                  <m:sty m:val="p"/>
                </m:rPr>
                <m:t>(</m:t>
              </m:r>
              <m:r>
                <m:rPr>
                  <m:sty m:val="p"/>
                </m:rPr>
                <m:t>tanh</m:t>
              </m:r>
              <m:r>
                <m:rPr>
                  <m:sty m:val="p"/>
                </m:rPr>
                <m:t>(</m:t>
              </m:r>
              <m:r>
                <m:t>V</m:t>
              </m:r>
              <m:sSubSup>
                <m:e>
                  <m:r>
                    <m:t>h</m:t>
                  </m:r>
                </m:e>
                <m:sub>
                  <m:r>
                    <m:t>j</m:t>
                  </m:r>
                </m:sub>
                <m:sup>
                  <m:r>
                    <m:t>T</m:t>
                  </m:r>
                </m:sup>
              </m:sSubSup>
              <m:r>
                <m:rPr>
                  <m:sty m:val="p"/>
                </m:rPr>
                <m:t>)</m:t>
              </m:r>
              <m:r>
                <m:rPr>
                  <m:sty m:val="p"/>
                </m:rPr>
                <m:t>⊙</m:t>
              </m:r>
              <m:r>
                <m:rPr>
                  <m:nor/>
                  <m:sty m:val="p"/>
                </m:rPr>
                <m:t>sigm</m:t>
              </m:r>
              <m:r>
                <m:rPr>
                  <m:sty m:val="p"/>
                </m:rPr>
                <m:t>(</m:t>
              </m:r>
              <m:r>
                <m:t>U</m:t>
              </m:r>
              <m:sSubSup>
                <m:e>
                  <m:r>
                    <m:t>h</m:t>
                  </m:r>
                </m:e>
                <m:sub>
                  <m:r>
                    <m:t>j</m:t>
                  </m:r>
                </m:sub>
                <m:sup>
                  <m:r>
                    <m:t>T</m:t>
                  </m:r>
                </m:sup>
              </m:sSubSup>
              <m:r>
                <m:rPr>
                  <m:sty m:val="p"/>
                </m:rPr>
                <m:t>)</m:t>
              </m:r>
              <m:r>
                <m:rPr>
                  <m:sty m:val="p"/>
                </m:rPr>
                <m:t>)</m:t>
              </m:r>
              <m:r>
                <m:rPr>
                  <m:sty m:val="p"/>
                </m:rPr>
                <m:t>}</m:t>
              </m:r>
            </m:den>
          </m:f>
        </m:oMath>
      </m:oMathPara>
    </w:p>
    <w:p>
      <w:pPr>
        <w:pStyle w:val="FirstParagraph"/>
      </w:pPr>
      <w:r>
        <w:t xml:space="preserve">where</w:t>
      </w:r>
      <w:r>
        <w:t xml:space="preserve"> </w:t>
      </w:r>
      <m:oMath>
        <m:r>
          <m:t>V</m:t>
        </m:r>
      </m:oMath>
      <w:r>
        <w:t xml:space="preserve"> </w:t>
      </w:r>
      <w:r>
        <w:t xml:space="preserve">and</w:t>
      </w:r>
      <w:r>
        <w:t xml:space="preserve"> </w:t>
      </w:r>
      <m:oMath>
        <m:r>
          <m:t>U</m:t>
        </m:r>
      </m:oMath>
      <w:r>
        <w:t xml:space="preserve"> </w:t>
      </w:r>
      <w:r>
        <w:t xml:space="preserve">are trainable parameter matrices,</w:t>
      </w:r>
      <w:r>
        <w:t xml:space="preserve"> </w:t>
      </w:r>
      <m:oMath>
        <m:r>
          <m:t>w</m:t>
        </m:r>
      </m:oMath>
      <w:r>
        <w:t xml:space="preserve"> </w:t>
      </w:r>
      <w:r>
        <w:t xml:space="preserve">is a trainable weight vector, and</w:t>
      </w:r>
      <w:r>
        <w:t xml:space="preserve"> </w:t>
      </w:r>
      <m:oMath>
        <m:r>
          <m:rPr>
            <m:sty m:val="p"/>
          </m:rPr>
          <m:t>⊙</m:t>
        </m:r>
      </m:oMath>
      <w:r>
        <w:t xml:space="preserve"> </w:t>
      </w:r>
      <w:r>
        <w:t xml:space="preserve">denotes element-wise multiplication. The final pooled representation is the attention-weighted sum</w:t>
      </w:r>
      <w:r>
        <w:t xml:space="preserve"> </w:t>
      </w:r>
      <m:oMath>
        <m:r>
          <m:t>Z</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 This representation</w:t>
      </w:r>
      <w:r>
        <w:t xml:space="preserve"> </w:t>
      </w:r>
      <m:oMath>
        <m:r>
          <m:t>Z</m:t>
        </m:r>
      </m:oMath>
      <w:r>
        <w:t xml:space="preserve"> </w:t>
      </w:r>
      <w:r>
        <w:t xml:space="preserve">is then passed through a fully connected MLP classifier to output the final phishing probability</w:t>
      </w:r>
      <w:r>
        <w:t xml:space="preserve"> </w:t>
      </w:r>
      <m:oMath>
        <m:sSub>
          <m:e>
            <m:r>
              <m:t>p</m:t>
            </m:r>
          </m:e>
          <m:sub>
            <m:r>
              <m:t>a</m:t>
            </m:r>
            <m:r>
              <m:t>c</m:t>
            </m:r>
            <m:r>
              <m:t>c</m:t>
            </m:r>
            <m:r>
              <m:t>t</m:t>
            </m:r>
          </m:sub>
        </m:sSub>
        <m:r>
          <m:rPr>
            <m:sty m:val="p"/>
          </m:rPr>
          <m:t>∈</m:t>
        </m:r>
        <m:r>
          <m:rPr>
            <m:sty m:val="p"/>
          </m:rPr>
          <m:t>[</m:t>
        </m:r>
        <m:r>
          <m:t>0</m:t>
        </m:r>
        <m:r>
          <m:rPr>
            <m:sty m:val="p"/>
          </m:rPr>
          <m:t>,</m:t>
        </m:r>
        <m:r>
          <m:t>1</m:t>
        </m:r>
        <m:r>
          <m:rPr>
            <m:sty m:val="p"/>
          </m:rPr>
          <m:t>]</m:t>
        </m:r>
      </m:oMath>
      <w:r>
        <w:t xml:space="preserve">.</w:t>
      </w:r>
    </w:p>
    <w:bookmarkEnd w:id="21"/>
    <w:bookmarkStart w:id="22" w:name="permutation-invariant-contrastive-loss"/>
    <w:p>
      <w:pPr>
        <w:pStyle w:val="Heading2"/>
      </w:pPr>
      <w:r>
        <w:t xml:space="preserve">3.3 Permutation-Invariant Contrastive Loss</w:t>
      </w:r>
    </w:p>
    <w:p>
      <w:pPr>
        <w:pStyle w:val="FirstParagraph"/>
      </w:pPr>
      <w:r>
        <w:t xml:space="preserve">While the Gated Attention architecture effectively identifies phishing patterns, unconstrained attention mechanisms can suffer from instability when training on highly imbalanced sequence lengths. Previous iterations of MIL models often incorporated structural or temporal regularization (such as consistency penalties between adjacent instances). However, penalizing temporal ordering explicitly violates the fundamental MIL assumption of permutation invariance, leading to conflicting gradients and high cross-validation variance.</w:t>
      </w:r>
    </w:p>
    <w:p>
      <w:pPr>
        <w:pStyle w:val="BodyText"/>
      </w:pPr>
      <w:r>
        <w:t xml:space="preserve">To resolve this, TMIL-ETH relies on a strictly permutation-invariant</w:t>
      </w:r>
      <w:r>
        <w:t xml:space="preserve"> </w:t>
      </w:r>
      <w:r>
        <w:rPr>
          <w:b/>
          <w:bCs/>
        </w:rPr>
        <w:t xml:space="preserve">Phish-Masked Contrastive Loss</w:t>
      </w:r>
      <w:r>
        <w:t xml:space="preserve">. The total loss is defined as:</w:t>
      </w:r>
    </w:p>
    <w:p>
      <w:pPr>
        <w:pStyle w:val="BodyText"/>
      </w:pPr>
      <m:oMathPara>
        <m:oMathParaPr>
          <m:jc m:val="center"/>
        </m:oMathParaPr>
        <m:oMath>
          <m:sSub>
            <m:e>
              <m:r>
                <m:t>L</m:t>
              </m:r>
            </m:e>
            <m:sub>
              <m:r>
                <m:t>t</m:t>
              </m:r>
              <m:r>
                <m:t>o</m:t>
              </m:r>
              <m:r>
                <m:t>t</m:t>
              </m:r>
              <m:r>
                <m:t>a</m:t>
              </m:r>
              <m:r>
                <m:t>l</m:t>
              </m:r>
            </m:sub>
          </m:sSub>
          <m:r>
            <m:rPr>
              <m:sty m:val="p"/>
            </m:rPr>
            <m:t>=</m:t>
          </m:r>
          <m:sSub>
            <m:e>
              <m:r>
                <m:t>L</m:t>
              </m:r>
            </m:e>
            <m:sub>
              <m:r>
                <m:t>B</m:t>
              </m:r>
              <m:r>
                <m:t>C</m:t>
              </m:r>
              <m:r>
                <m:t>E</m:t>
              </m:r>
            </m:sub>
          </m:sSub>
          <m:r>
            <m:rPr>
              <m:sty m:val="p"/>
            </m:rPr>
            <m:t>(</m:t>
          </m:r>
          <m:r>
            <m:t>p</m:t>
          </m:r>
          <m:r>
            <m:rPr>
              <m:sty m:val="p"/>
            </m:rPr>
            <m:t>,</m:t>
          </m:r>
          <m:sSub>
            <m:e>
              <m:r>
                <m:t>y</m:t>
              </m:r>
            </m:e>
            <m:sub>
              <m:r>
                <m:t>A</m:t>
              </m:r>
            </m:sub>
          </m:sSub>
          <m:r>
            <m:rPr>
              <m:sty m:val="p"/>
            </m:rPr>
            <m:t>)</m:t>
          </m:r>
          <m:r>
            <m:rPr>
              <m:sty m:val="p"/>
            </m:rPr>
            <m:t>+</m:t>
          </m:r>
          <m:r>
            <m:rPr>
              <m:scr m:val="double-struck"/>
              <m:sty m:val="p"/>
            </m:rPr>
            <m:t>I</m:t>
          </m:r>
          <m:r>
            <m:rPr>
              <m:sty m:val="p"/>
            </m:rPr>
            <m:t>(</m:t>
          </m:r>
          <m:sSub>
            <m:e>
              <m:r>
                <m:t>y</m:t>
              </m:r>
            </m:e>
            <m:sub>
              <m:r>
                <m:t>A</m:t>
              </m:r>
            </m:sub>
          </m:sSub>
          <m:r>
            <m:rPr>
              <m:sty m:val="p"/>
            </m:rPr>
            <m:t>=</m:t>
          </m:r>
          <m:r>
            <m:t>1</m:t>
          </m:r>
          <m:r>
            <m:rPr>
              <m:sty m:val="p"/>
            </m:rPr>
            <m:t>)</m:t>
          </m:r>
          <m:r>
            <m:rPr>
              <m:sty m:val="p"/>
            </m:rPr>
            <m:t>⋅</m:t>
          </m:r>
          <m:r>
            <m:t>λ</m:t>
          </m:r>
          <m:sSub>
            <m:e>
              <m:r>
                <m:t>L</m:t>
              </m:r>
            </m:e>
            <m:sub>
              <m:r>
                <m:t>c</m:t>
              </m:r>
              <m:r>
                <m:t>o</m:t>
              </m:r>
              <m:r>
                <m:t>n</m:t>
              </m:r>
              <m:r>
                <m:t>t</m:t>
              </m:r>
              <m:r>
                <m:t>r</m:t>
              </m:r>
              <m:r>
                <m:t>a</m:t>
              </m:r>
              <m:r>
                <m:t>s</m:t>
              </m:r>
              <m:r>
                <m:t>t</m:t>
              </m:r>
            </m:sub>
          </m:sSub>
        </m:oMath>
      </m:oMathPara>
    </w:p>
    <w:p>
      <w:pPr>
        <w:pStyle w:val="Compact"/>
        <w:numPr>
          <w:ilvl w:val="0"/>
          <w:numId w:val="1001"/>
        </w:numPr>
      </w:pPr>
      <w:r>
        <w:rPr>
          <w:b/>
          <w:bCs/>
        </w:rPr>
        <w:t xml:space="preserve">Binary Cross-Entropy (</w:t>
      </w:r>
      <m:oMath>
        <m:sSub>
          <m:e>
            <m:r>
              <m:t>L</m:t>
            </m:r>
          </m:e>
          <m:sub>
            <m:r>
              <m:t>B</m:t>
            </m:r>
            <m:r>
              <m:t>C</m:t>
            </m:r>
            <m:r>
              <m:t>E</m:t>
            </m:r>
          </m:sub>
        </m:sSub>
      </m:oMath>
      <w:r>
        <w:rPr>
          <w:b/>
          <w:bCs/>
        </w:rPr>
        <w:t xml:space="preserve">)</w:t>
      </w:r>
      <w:r>
        <w:t xml:space="preserve">: Standard classification loss for the final predictions.</w:t>
      </w:r>
    </w:p>
    <w:p>
      <w:pPr>
        <w:pStyle w:val="Compact"/>
        <w:numPr>
          <w:ilvl w:val="0"/>
          <w:numId w:val="1001"/>
        </w:numPr>
      </w:pPr>
      <w:r>
        <w:rPr>
          <w:b/>
          <w:bCs/>
        </w:rPr>
        <w:t xml:space="preserve">Contrastive Loss (</w:t>
      </w:r>
      <m:oMath>
        <m:sSub>
          <m:e>
            <m:r>
              <m:t>L</m:t>
            </m:r>
          </m:e>
          <m:sub>
            <m:r>
              <m:t>c</m:t>
            </m:r>
            <m:r>
              <m:t>o</m:t>
            </m:r>
            <m:r>
              <m:t>n</m:t>
            </m:r>
            <m:r>
              <m:t>t</m:t>
            </m:r>
            <m:r>
              <m:t>r</m:t>
            </m:r>
            <m:r>
              <m:t>a</m:t>
            </m:r>
            <m:r>
              <m:t>s</m:t>
            </m:r>
            <m:r>
              <m:t>t</m:t>
            </m:r>
          </m:sub>
        </m:sSub>
      </m:oMath>
      <w:r>
        <w:rPr>
          <w:b/>
          <w:bCs/>
        </w:rPr>
        <w:t xml:space="preserve">)</w:t>
      </w:r>
      <w:r>
        <w:t xml:space="preserve">: A hinge loss that explicitly enforces a margin</w:t>
      </w:r>
      <w:r>
        <w:t xml:space="preserve"> </w:t>
      </w:r>
      <m:oMath>
        <m:r>
          <m:t>m</m:t>
        </m:r>
      </m:oMath>
      <w:r>
        <w:t xml:space="preserve"> </w:t>
      </w:r>
      <w:r>
        <w:t xml:space="preserve">between the average attention-weighted score of phishing accounts and normal accounts, preventing the attention mechanism from collapsing or highlighting normal camouflage.</w:t>
      </w:r>
    </w:p>
    <w:p>
      <w:pPr>
        <w:pStyle w:val="Compact"/>
      </w:pPr>
      <m:oMathPara>
        <m:oMathParaPr>
          <m:jc m:val="center"/>
        </m:oMathParaPr>
        <m:oMath>
          <m:sSub>
            <m:e>
              <m:r>
                <m:t>L</m:t>
              </m:r>
            </m:e>
            <m:sub>
              <m:r>
                <m:t>c</m:t>
              </m:r>
              <m:r>
                <m:t>o</m:t>
              </m:r>
              <m:r>
                <m:t>n</m:t>
              </m:r>
              <m:r>
                <m:t>t</m:t>
              </m:r>
              <m:r>
                <m:t>r</m:t>
              </m:r>
              <m:r>
                <m:t>a</m:t>
              </m:r>
              <m:r>
                <m:t>s</m:t>
              </m:r>
              <m:r>
                <m:t>t</m:t>
              </m:r>
            </m:sub>
          </m:sSub>
          <m:r>
            <m:rPr>
              <m:sty m:val="p"/>
            </m:rPr>
            <m:t>=</m:t>
          </m:r>
          <m:r>
            <m:rPr>
              <m:sty m:val="p"/>
            </m:rPr>
            <m:t>max</m:t>
          </m:r>
          <m:r>
            <m:rPr>
              <m:sty m:val="p"/>
            </m:rPr>
            <m:t>(</m:t>
          </m:r>
          <m:r>
            <m:t>0</m:t>
          </m:r>
          <m:r>
            <m:rPr>
              <m:sty m:val="p"/>
            </m:rPr>
            <m:t>,</m:t>
          </m:r>
          <m:r>
            <m:t>m</m:t>
          </m:r>
          <m:r>
            <m:rPr>
              <m:sty m:val="p"/>
            </m:rPr>
            <m:t>−</m:t>
          </m:r>
          <m:r>
            <m:rPr>
              <m:sty m:val="p"/>
            </m:rPr>
            <m:t>(</m:t>
          </m:r>
          <m:sSub>
            <m:e>
              <m:acc>
                <m:accPr>
                  <m:chr m:val="‾"/>
                </m:accPr>
                <m:e>
                  <m:r>
                    <m:t>p</m:t>
                  </m:r>
                </m:e>
              </m:acc>
            </m:e>
            <m:sub>
              <m:r>
                <m:t>p</m:t>
              </m:r>
              <m:r>
                <m:t>h</m:t>
              </m:r>
              <m:r>
                <m:t>i</m:t>
              </m:r>
              <m:r>
                <m:t>s</m:t>
              </m:r>
              <m:r>
                <m:t>h</m:t>
              </m:r>
            </m:sub>
          </m:sSub>
          <m:r>
            <m:rPr>
              <m:sty m:val="p"/>
            </m:rPr>
            <m:t>−</m:t>
          </m:r>
          <m:sSub>
            <m:e>
              <m:acc>
                <m:accPr>
                  <m:chr m:val="‾"/>
                </m:accPr>
                <m:e>
                  <m:r>
                    <m:t>p</m:t>
                  </m:r>
                </m:e>
              </m:acc>
            </m:e>
            <m:sub>
              <m:r>
                <m:t>n</m:t>
              </m:r>
              <m:r>
                <m:t>o</m:t>
              </m:r>
              <m:r>
                <m:t>r</m:t>
              </m:r>
              <m:r>
                <m:t>m</m:t>
              </m:r>
              <m:r>
                <m:t>a</m:t>
              </m:r>
              <m:r>
                <m:t>l</m:t>
              </m:r>
            </m:sub>
          </m:sSub>
          <m:r>
            <m:rPr>
              <m:sty m:val="p"/>
            </m:rPr>
            <m:t>)</m:t>
          </m:r>
          <m:r>
            <m:rPr>
              <m:sty m:val="p"/>
            </m:rPr>
            <m:t>)</m:t>
          </m:r>
        </m:oMath>
      </m:oMathPara>
    </w:p>
    <w:p>
      <w:pPr>
        <w:pStyle w:val="FirstParagraph"/>
      </w:pPr>
      <w:r>
        <w:t xml:space="preserve">Crucially, the indicator function</w:t>
      </w:r>
      <w:r>
        <w:t xml:space="preserve"> </w:t>
      </w:r>
      <m:oMath>
        <m:r>
          <m:rPr>
            <m:scr m:val="double-struck"/>
            <m:sty m:val="p"/>
          </m:rPr>
          <m:t>I</m:t>
        </m:r>
        <m:r>
          <m:rPr>
            <m:sty m:val="p"/>
          </m:rPr>
          <m:t>(</m:t>
        </m:r>
        <m:sSub>
          <m:e>
            <m:r>
              <m:t>y</m:t>
            </m:r>
          </m:e>
          <m:sub>
            <m:r>
              <m:t>A</m:t>
            </m:r>
          </m:sub>
        </m:sSub>
        <m:r>
          <m:rPr>
            <m:sty m:val="p"/>
          </m:rPr>
          <m:t>=</m:t>
        </m:r>
        <m:r>
          <m:t>1</m:t>
        </m:r>
        <m:r>
          <m:rPr>
            <m:sty m:val="p"/>
          </m:rPr>
          <m:t>)</m:t>
        </m:r>
      </m:oMath>
      <w:r>
        <w:t xml:space="preserve"> </w:t>
      </w:r>
      <w:r>
        <w:t xml:space="preserve">ensures that</w:t>
      </w:r>
      <w:r>
        <w:t xml:space="preserve"> </w:t>
      </w:r>
      <m:oMath>
        <m:sSub>
          <m:e>
            <m:r>
              <m:t>L</m:t>
            </m:r>
          </m:e>
          <m:sub>
            <m:r>
              <m:t>c</m:t>
            </m:r>
            <m:r>
              <m:t>o</m:t>
            </m:r>
            <m:r>
              <m:t>n</m:t>
            </m:r>
            <m:r>
              <m:t>t</m:t>
            </m:r>
            <m:r>
              <m:t>r</m:t>
            </m:r>
            <m:r>
              <m:t>a</m:t>
            </m:r>
            <m:r>
              <m:t>s</m:t>
            </m:r>
            <m:r>
              <m:t>t</m:t>
            </m:r>
          </m:sub>
        </m:sSub>
      </m:oMath>
      <w:r>
        <w:t xml:space="preserve"> </w:t>
      </w:r>
      <w:r>
        <w:t xml:space="preserve">is</w:t>
      </w:r>
      <w:r>
        <w:t xml:space="preserve"> </w:t>
      </w:r>
      <w:r>
        <w:rPr>
          <w:i/>
          <w:iCs/>
        </w:rPr>
        <w:t xml:space="preserve">only</w:t>
      </w:r>
      <w:r>
        <w:t xml:space="preserve"> </w:t>
      </w:r>
      <w:r>
        <w:t xml:space="preserve">optimized conditionally, ensuring that the gradient focuses exclusively on distinguishing the illicit bursts from the background noise.</w:t>
      </w:r>
    </w:p>
    <w:bookmarkEnd w:id="22"/>
    <w:bookmarkEnd w:id="23"/>
    <w:bookmarkStart w:id="29" w:name="experimental-setup"/>
    <w:p>
      <w:pPr>
        <w:pStyle w:val="Heading1"/>
      </w:pPr>
      <w:r>
        <w:t xml:space="preserve">4. Experimental Setup</w:t>
      </w:r>
    </w:p>
    <w:bookmarkStart w:id="27" w:name="nested-stratified-cross-validation"/>
    <w:p>
      <w:pPr>
        <w:pStyle w:val="Heading2"/>
      </w:pPr>
      <w:r>
        <w:t xml:space="preserve">4.1 Nested Stratified Cross-Validation</w:t>
      </w:r>
    </w:p>
    <w:p>
      <w:pPr>
        <w:pStyle w:val="FirstParagraph"/>
      </w:pPr>
      <w:r>
        <w:t xml:space="preserve">To rigorously evaluate the model and tune the</w:t>
      </w:r>
      <w:r>
        <w:t xml:space="preserve"> </w:t>
      </w:r>
      <m:oMath>
        <m:r>
          <m:t>λ</m:t>
        </m:r>
      </m:oMath>
      <w:r>
        <w:t xml:space="preserve"> </w:t>
      </w:r>
      <w:r>
        <w:t xml:space="preserve">hyperparameters, we employ a Nested Stratified Cross-Validation protocol. The outer loop consists of 5-fold CV, while the inner loop uses 3-fold CV for grid searching</w:t>
      </w:r>
      <w:r>
        <w:t xml:space="preserve">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 </w:t>
      </w:r>
      <w:r>
        <w:t xml:space="preserve">and</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The best</w:t>
      </w:r>
      <w:r>
        <w:t xml:space="preserve"> </w:t>
      </w:r>
      <m:oMath>
        <m:r>
          <m:t>λ</m:t>
        </m:r>
      </m:oMath>
      <w:r>
        <w:t xml:space="preserve"> </w:t>
      </w:r>
      <w:r>
        <w:t xml:space="preserve">pair (</w:t>
      </w:r>
      <m:oMath>
        <m:sSub>
          <m:e>
            <m:r>
              <m:t>λ</m:t>
            </m:r>
          </m:e>
          <m:sub>
            <m:r>
              <m:t>1</m:t>
            </m:r>
          </m:sub>
        </m:sSub>
        <m:r>
          <m:rPr>
            <m:sty m:val="p"/>
          </m:rPr>
          <m:t>=</m:t>
        </m:r>
        <m:r>
          <m:t>0.3</m:t>
        </m:r>
        <m:r>
          <m:rPr>
            <m:sty m:val="p"/>
          </m:rPr>
          <m:t>,</m:t>
        </m:r>
        <m:sSub>
          <m:e>
            <m:r>
              <m:t>λ</m:t>
            </m:r>
          </m:e>
          <m:sub>
            <m:r>
              <m:t>2</m:t>
            </m:r>
          </m:sub>
        </m:sSub>
        <m:r>
          <m:rPr>
            <m:sty m:val="p"/>
          </m:rPr>
          <m:t>=</m:t>
        </m:r>
        <m:r>
          <m:t>0.2</m:t>
        </m:r>
      </m:oMath>
      <w:r>
        <w:t xml:space="preserve">) was selected consistently across all 5 outer folds.</w:t>
      </w:r>
    </w:p>
    <w:p>
      <w:pPr>
        <w:pStyle w:val="BodyText"/>
      </w:pPr>
      <w:r>
        <w:rPr>
          <w:b/>
          <w:bCs/>
        </w:rPr>
        <w:t xml:space="preserve">Note on Evaluation Contexts:</w:t>
      </w:r>
      <w:r>
        <w:t xml:space="preserve"> </w:t>
      </w:r>
      <w:r>
        <w:t xml:space="preserve">This paper reports metrics in two distinct but complementary contexts:</w:t>
      </w:r>
      <w:r>
        <w:t xml:space="preserve"> </w:t>
      </w:r>
      <w:r>
        <w:t xml:space="preserve">-</w:t>
      </w:r>
      <w:r>
        <w:t xml:space="preserve"> </w:t>
      </w:r>
      <w:r>
        <w:rPr>
          <w:b/>
          <w:bCs/>
        </w:rPr>
        <w:t xml:space="preserve">Context A — Nested CV (Section 5.1, Table 3):</w:t>
      </w:r>
      <w:r>
        <w:t xml:space="preserve"> </w:t>
      </w:r>
      <w:r>
        <w:t xml:space="preserve">The primary account-level classification benchmark, reported as the aggregate mean across 5 outer folds. This is the gold-standard evaluation for AUC and F1.</w:t>
      </w:r>
      <w:r>
        <w:t xml:space="preserve"> </w:t>
      </w:r>
      <w:r>
        <w:t xml:space="preserve">-</w:t>
      </w:r>
      <w:r>
        <w:t xml:space="preserve"> </w:t>
      </w:r>
      <w:r>
        <w:rPr>
          <w:b/>
          <w:bCs/>
        </w:rPr>
        <w:t xml:space="preserve">Context B — Uncalibrated Ablation Split (Section 5.3, Table 4):</w:t>
      </w:r>
      <w:r>
        <w:t xml:space="preserve"> </w:t>
      </w:r>
      <w:r>
        <w:t xml:space="preserve">A single fixed validation split used exclusively for the ablation study to observe raw, uncorrected component contributions. Metrics differ from Context A because (i) this uses a held-out split without cross-validation averaging, and (ii) BERT feature projections are evaluated in an isolated, non-fine-tuned regime to isolate the contribution of each architectural component. These results should not be compared directly to Table 3.</w:t>
      </w:r>
    </w:p>
    <w:p>
      <w:pPr>
        <w:pStyle w:val="BodyText"/>
      </w:pPr>
      <w:r>
        <w:t xml:space="preserve">Training is conducted in two phases to stabilize the MIL pooling layers:</w:t>
      </w:r>
      <w:r>
        <w:t xml:space="preserve"> </w:t>
      </w:r>
      <w:r>
        <w:t xml:space="preserve">-</w:t>
      </w:r>
      <w:r>
        <w:t xml:space="preserve"> </w:t>
      </w:r>
      <w:r>
        <w:rPr>
          <w:b/>
          <w:bCs/>
        </w:rPr>
        <w:t xml:space="preserve">Phase 1 (20 epochs):</w:t>
      </w:r>
      <w:r>
        <w:t xml:space="preserve"> </w:t>
      </w:r>
      <w:r>
        <w:t xml:space="preserve">The BERT feature extractor weights are frozen, and the pooling/classifier layers are trained with a learning rate of</w:t>
      </w:r>
      <w:r>
        <w:t xml:space="preserve"> </w:t>
      </w:r>
      <m:oMath>
        <m:r>
          <m:t>1</m:t>
        </m:r>
        <m:r>
          <m:t>e</m:t>
        </m:r>
        <m:r>
          <m:rPr>
            <m:sty m:val="p"/>
          </m:rPr>
          <m:t>−</m:t>
        </m:r>
        <m:r>
          <m:t>3</m:t>
        </m:r>
      </m:oMath>
      <w:r>
        <w:t xml:space="preserve">.</w:t>
      </w:r>
      <w:r>
        <w:t xml:space="preserve"> </w:t>
      </w:r>
      <w:r>
        <w:t xml:space="preserve">-</w:t>
      </w:r>
      <w:r>
        <w:t xml:space="preserve"> </w:t>
      </w:r>
      <w:r>
        <w:rPr>
          <w:b/>
          <w:bCs/>
        </w:rPr>
        <w:t xml:space="preserve">Phase 2 (30 epochs):</w:t>
      </w:r>
      <w:r>
        <w:t xml:space="preserve"> </w:t>
      </w:r>
      <w:r>
        <w:t xml:space="preserve">All layers are unfrozen, and the network is fine-tuned using a Cosine Annealing learning rate schedule from</w:t>
      </w:r>
      <w:r>
        <w:t xml:space="preserve"> </w:t>
      </w:r>
      <m:oMath>
        <m:r>
          <m:t>5</m:t>
        </m:r>
        <m:r>
          <m:t>e</m:t>
        </m:r>
        <m:r>
          <m:rPr>
            <m:sty m:val="p"/>
          </m:rPr>
          <m:t>−</m:t>
        </m:r>
        <m:r>
          <m:t>5</m:t>
        </m:r>
      </m:oMath>
      <w:r>
        <w:t xml:space="preserve"> </w:t>
      </w:r>
      <w:r>
        <w:t xml:space="preserve">down to</w:t>
      </w:r>
      <w:r>
        <w:t xml:space="preserve"> </w:t>
      </w:r>
      <m:oMath>
        <m:r>
          <m:t>1</m:t>
        </m:r>
        <m:r>
          <m:t>e</m:t>
        </m:r>
        <m:r>
          <m:rPr>
            <m:sty m:val="p"/>
          </m:rPr>
          <m:t>−</m:t>
        </m:r>
        <m:r>
          <m:t>6</m:t>
        </m:r>
      </m:oMath>
      <w:r>
        <w:t xml:space="preserve">.</w:t>
      </w:r>
    </w:p>
    <w:p>
      <w:pPr>
        <w:pStyle w:val="BodyText"/>
      </w:pPr>
      <w:r>
        <w:drawing>
          <wp:inline>
            <wp:extent cx="5334000" cy="1879575"/>
            <wp:effectExtent b="0" l="0" r="0" t="0"/>
            <wp:docPr descr="Figure 2: Two-Phase Training Curves" title="" id="25" name="Picture"/>
            <a:graphic>
              <a:graphicData uri="http://schemas.openxmlformats.org/drawingml/2006/picture">
                <pic:pic>
                  <pic:nvPicPr>
                    <pic:cNvPr descr="results/step7_training_curves.png" id="26" name="Picture"/>
                    <pic:cNvPicPr>
                      <a:picLocks noChangeArrowheads="1" noChangeAspect="1"/>
                    </pic:cNvPicPr>
                  </pic:nvPicPr>
                  <pic:blipFill>
                    <a:blip r:embed="rId24"/>
                    <a:stretch>
                      <a:fillRect/>
                    </a:stretch>
                  </pic:blipFill>
                  <pic:spPr bwMode="auto">
                    <a:xfrm>
                      <a:off x="0" y="0"/>
                      <a:ext cx="5334000" cy="1879575"/>
                    </a:xfrm>
                    <a:prstGeom prst="rect">
                      <a:avLst/>
                    </a:prstGeom>
                    <a:noFill/>
                    <a:ln w="9525">
                      <a:noFill/>
                      <a:headEnd/>
                      <a:tailEnd/>
                    </a:ln>
                  </pic:spPr>
                </pic:pic>
              </a:graphicData>
            </a:graphic>
          </wp:inline>
        </w:drawing>
      </w:r>
      <w:r>
        <w:t xml:space="preserve"> </w:t>
      </w:r>
      <w:r>
        <w:rPr>
          <w:i/>
          <w:iCs/>
        </w:rPr>
        <w:t xml:space="preserve">Figure 2: Training and validation curves demonstrating the efficacy of Two-Phase learning. Phase 2 unfreezing yields the final convergence.</w:t>
      </w:r>
    </w:p>
    <w:bookmarkEnd w:id="27"/>
    <w:bookmarkStart w:id="28" w:name="Xa1da2c9d34e2b1ff72a4cd783feb8269e457239"/>
    <w:p>
      <w:pPr>
        <w:pStyle w:val="Heading2"/>
      </w:pPr>
      <w:r>
        <w:t xml:space="preserve">4.2 On-Chain Forensic Ground Truth Extraction</w:t>
      </w:r>
    </w:p>
    <w:p>
      <w:pPr>
        <w:pStyle w:val="FirstParagraph"/>
      </w:pPr>
      <w:r>
        <w:t xml:space="preserve">To evaluate the localization performance without heuristic labeling circularity, we developed a forensic script that interfaces directly with the Etherscan V2 API. The script scans the on-chain history of known phishing wallets to identify massive, irrefutable laundering events (e.g., sudden outgoing transfers of hundreds of ETH to mixers like Tornado Cash).</w:t>
      </w:r>
    </w:p>
    <w:p>
      <w:pPr>
        <w:pStyle w:val="BodyText"/>
      </w:pPr>
      <w:r>
        <w:t xml:space="preserve">By cross-referencing the on-chain transaction hashes with our local dataset, we successfully extracted 100 unique, deduplicated wallets with cryptographically verified ground-truth laundering bursts. These accounts were strictly isolated in a Hidden Evaluation Set and were never seen by the model during training.</w:t>
      </w:r>
    </w:p>
    <w:bookmarkEnd w:id="28"/>
    <w:bookmarkEnd w:id="29"/>
    <w:bookmarkStart w:id="37" w:name="results-and-evaluation"/>
    <w:p>
      <w:pPr>
        <w:pStyle w:val="Heading1"/>
      </w:pPr>
      <w:r>
        <w:t xml:space="preserve">5. Results and Evaluation</w:t>
      </w:r>
    </w:p>
    <w:bookmarkStart w:id="33" w:name="X6dd97c9ff99ac75380e7b4207f6257d18c59b26"/>
    <w:p>
      <w:pPr>
        <w:pStyle w:val="Heading2"/>
      </w:pPr>
      <w:r>
        <w:t xml:space="preserve">5.1 Account-Level Detection and</w:t>
      </w:r>
      <w:r>
        <w:t xml:space="preserve"> </w:t>
      </w:r>
      <w:r>
        <w:t xml:space="preserve">id'ak Correction</w:t>
      </w:r>
    </w:p>
    <w:p>
      <w:pPr>
        <w:pStyle w:val="FirstParagraph"/>
      </w:pPr>
      <w:r>
        <w:t xml:space="preserve">TMIL-ETH demonstrates exceptional performance in identifying phishing accounts. In the rigorous Nested CV evaluation, the model achieved an aggregate AUC of</w:t>
      </w:r>
      <w:r>
        <w:t xml:space="preserve"> </w:t>
      </w:r>
      <m:oMath>
        <m:r>
          <m:t>0.9536</m:t>
        </m:r>
        <m:r>
          <m:rPr>
            <m:sty m:val="p"/>
          </m:rPr>
          <m:t>±</m:t>
        </m:r>
        <m:r>
          <m:t>0.0254</m:t>
        </m:r>
      </m:oMath>
      <w:r>
        <w:t xml:space="preserve"> </w:t>
      </w:r>
      <w:r>
        <w:t xml:space="preserve">and an F1 score of</w:t>
      </w:r>
      <w:r>
        <w:t xml:space="preserve"> </w:t>
      </w:r>
      <m:oMath>
        <m:r>
          <m:t>0.7521</m:t>
        </m:r>
      </m:oMath>
      <w:r>
        <w:t xml:space="preserve"> </w:t>
      </w:r>
      <w:r>
        <w:t xml:space="preserve">at the baseline 1:4 class ratio.</w:t>
      </w:r>
    </w:p>
    <w:p>
      <w:pPr>
        <w:pStyle w:val="BodyText"/>
      </w:pPr>
      <w:r>
        <w:rPr>
          <w:b/>
          <w:bCs/>
        </w:rPr>
        <w:t xml:space="preserve">Statistical False Positive Correction:</w:t>
      </w:r>
      <w:r>
        <w:t xml:space="preserve"> </w:t>
      </w:r>
      <w:r>
        <w:t xml:space="preserve">A critical challenge in sliding window inference is FPR inflation. As the number of windows</w:t>
      </w:r>
      <w:r>
        <w:t xml:space="preserve"> </w:t>
      </w:r>
      <m:oMath>
        <m:r>
          <m:t>K</m:t>
        </m:r>
      </m:oMath>
      <w:r>
        <w:t xml:space="preserve"> </w:t>
      </w:r>
      <w:r>
        <w:t xml:space="preserve">increases, the probability of a false positive naturally rises, overwhelming security teams with alerts. We applied the mathematical</w:t>
      </w:r>
      <w:r>
        <w:t xml:space="preserve"> </w:t>
      </w:r>
      <w:r>
        <w:t xml:space="preserve">id'ak correction to establish a theoretical threshold that bounds the global bag-level FPR.</w:t>
      </w:r>
    </w:p>
    <w:p>
      <w:pPr>
        <w:pStyle w:val="BodyText"/>
      </w:pPr>
      <w:r>
        <w:t xml:space="preserve">The effective window-level threshold</w:t>
      </w:r>
      <w:r>
        <w:t xml:space="preserve"> </w:t>
      </w:r>
      <m:oMath>
        <m:sSub>
          <m:e>
            <m:r>
              <m:t>τ</m:t>
            </m:r>
          </m:e>
          <m:sub>
            <m:r>
              <m:t>e</m:t>
            </m:r>
            <m:r>
              <m:t>f</m:t>
            </m:r>
            <m:r>
              <m:t>f</m:t>
            </m:r>
          </m:sub>
        </m:sSub>
      </m:oMath>
      <w:r>
        <w:t xml:space="preserve"> </w:t>
      </w:r>
      <w:r>
        <w:t xml:space="preserve">required to maintain a global bag-level FPR of</w:t>
      </w:r>
      <w:r>
        <w:t xml:space="preserve"> </w:t>
      </w:r>
      <m:oMath>
        <m:sSub>
          <m:e>
            <m:r>
              <m:t>τ</m:t>
            </m:r>
          </m:e>
          <m:sub>
            <m:r>
              <m:t>b</m:t>
            </m:r>
            <m:r>
              <m:t>a</m:t>
            </m:r>
            <m:r>
              <m:t>s</m:t>
            </m:r>
            <m:r>
              <m:t>e</m:t>
            </m:r>
          </m:sub>
        </m:sSub>
      </m:oMath>
      <w:r>
        <w:t xml:space="preserve"> </w:t>
      </w:r>
      <w:r>
        <w:t xml:space="preserve">across</w:t>
      </w:r>
      <w:r>
        <w:t xml:space="preserve"> </w:t>
      </w:r>
      <m:oMath>
        <m:r>
          <m:t>K</m:t>
        </m:r>
      </m:oMath>
      <w:r>
        <w:t xml:space="preserve"> </w:t>
      </w:r>
      <w:r>
        <w:t xml:space="preserve">windows is:</w:t>
      </w:r>
    </w:p>
    <w:p>
      <w:pPr>
        <w:pStyle w:val="BodyText"/>
      </w:pPr>
      <m:oMathPara>
        <m:oMathParaPr>
          <m:jc m:val="center"/>
        </m:oMathParaPr>
        <m:oMath>
          <m:sSub>
            <m:e>
              <m:r>
                <m:t>τ</m:t>
              </m:r>
            </m:e>
            <m:sub>
              <m:r>
                <m:t>e</m:t>
              </m:r>
              <m:r>
                <m:t>f</m:t>
              </m:r>
              <m:r>
                <m:t>f</m:t>
              </m:r>
            </m:sub>
          </m:sSub>
          <m:r>
            <m:rPr>
              <m:sty m:val="p"/>
            </m:rPr>
            <m:t>=</m:t>
          </m:r>
          <m:r>
            <m:t>1</m:t>
          </m:r>
          <m:r>
            <m:rPr>
              <m:sty m:val="p"/>
            </m:rPr>
            <m:t>−</m:t>
          </m:r>
          <m:r>
            <m:rPr>
              <m:sty m:val="p"/>
            </m:rPr>
            <m:t>(</m:t>
          </m:r>
          <m:r>
            <m:t>1</m:t>
          </m:r>
          <m:r>
            <m:rPr>
              <m:sty m:val="p"/>
            </m:rPr>
            <m:t>−</m:t>
          </m:r>
          <m:sSub>
            <m:e>
              <m:r>
                <m:t>τ</m:t>
              </m:r>
            </m:e>
            <m:sub>
              <m:r>
                <m:t>b</m:t>
              </m:r>
              <m:r>
                <m:t>a</m:t>
              </m:r>
              <m:r>
                <m:t>s</m:t>
              </m:r>
              <m:r>
                <m:t>e</m:t>
              </m:r>
            </m:sub>
          </m:sSub>
          <m:sSup>
            <m:e>
              <m:r>
                <m:rPr>
                  <m:sty m:val="p"/>
                </m:rPr>
                <m:t>)</m:t>
              </m:r>
            </m:e>
            <m:sup>
              <m:f>
                <m:fPr>
                  <m:type m:val="bar"/>
                </m:fPr>
                <m:num>
                  <m:r>
                    <m:t>1</m:t>
                  </m:r>
                </m:num>
                <m:den>
                  <m:r>
                    <m:t>K</m:t>
                  </m:r>
                </m:den>
              </m:f>
            </m:sup>
          </m:sSup>
        </m:oMath>
      </m:oMathPara>
    </w:p>
    <w:p>
      <w:pPr>
        <w:pStyle w:val="FirstParagraph"/>
      </w:pPr>
      <w:r>
        <w:drawing>
          <wp:inline>
            <wp:extent cx="5334000" cy="1878673"/>
            <wp:effectExtent b="0" l="0" r="0" t="0"/>
            <wp:docPr descr="Figure 3: Sidak False Positive Rate Correction" title="" id="31" name="Picture"/>
            <a:graphic>
              <a:graphicData uri="http://schemas.openxmlformats.org/drawingml/2006/picture">
                <pic:pic>
                  <pic:nvPicPr>
                    <pic:cNvPr descr="results/step8_sidak_curves.png" id="32" name="Picture"/>
                    <pic:cNvPicPr>
                      <a:picLocks noChangeArrowheads="1" noChangeAspect="1"/>
                    </pic:cNvPicPr>
                  </pic:nvPicPr>
                  <pic:blipFill>
                    <a:blip r:embed="rId30"/>
                    <a:stretch>
                      <a:fillRect/>
                    </a:stretch>
                  </pic:blipFill>
                  <pic:spPr bwMode="auto">
                    <a:xfrm>
                      <a:off x="0" y="0"/>
                      <a:ext cx="5334000" cy="1878673"/>
                    </a:xfrm>
                    <a:prstGeom prst="rect">
                      <a:avLst/>
                    </a:prstGeom>
                    <a:noFill/>
                    <a:ln w="9525">
                      <a:noFill/>
                      <a:headEnd/>
                      <a:tailEnd/>
                    </a:ln>
                  </pic:spPr>
                </pic:pic>
              </a:graphicData>
            </a:graphic>
          </wp:inline>
        </w:drawing>
      </w:r>
      <w:r>
        <w:t xml:space="preserve"> </w:t>
      </w:r>
      <w:r>
        <w:rPr>
          <w:i/>
          <w:iCs/>
        </w:rPr>
        <w:t xml:space="preserve">Figure 3: Sidak correction establishing effective thresholds (</w:t>
      </w:r>
      <m:oMath>
        <m:sSub>
          <m:e>
            <m:r>
              <m:t>τ</m:t>
            </m:r>
          </m:e>
          <m:sub>
            <m:r>
              <m:t>e</m:t>
            </m:r>
            <m:r>
              <m:t>f</m:t>
            </m:r>
            <m:r>
              <m:t>f</m:t>
            </m:r>
          </m:sub>
        </m:sSub>
      </m:oMath>
      <w:r>
        <w:rPr>
          <w:i/>
          <w:iCs/>
        </w:rPr>
        <w:t xml:space="preserve">) across different window counts (</w:t>
      </w:r>
      <m:oMath>
        <m:r>
          <m:t>K</m:t>
        </m:r>
      </m:oMath>
      <w:r>
        <w:rPr>
          <w:i/>
          <w:iCs/>
        </w:rPr>
        <w:t xml:space="preserve">) to maintain a target FPR of 0.08.</w:t>
      </w:r>
    </w:p>
    <w:bookmarkEnd w:id="33"/>
    <w:bookmarkStart w:id="36" w:name="forensic-localization-weakly-supervised"/>
    <w:p>
      <w:pPr>
        <w:pStyle w:val="Heading2"/>
      </w:pPr>
      <w:r>
        <w:t xml:space="preserve">5.2 Forensic Localization (Weakly-Supervised)</w:t>
      </w:r>
    </w:p>
    <w:p>
      <w:pPr>
        <w:pStyle w:val="FirstParagraph"/>
      </w:pPr>
      <w:r>
        <w:t xml:space="preserve">The most profound breakthrough of TMIL-ETH is its ability to localize fraudulent activity without transaction-level training labels. We evaluate this using the</w:t>
      </w:r>
      <w:r>
        <w:t xml:space="preserve"> </w:t>
      </w:r>
      <w:r>
        <w:rPr>
          <w:b/>
          <w:bCs/>
        </w:rPr>
        <w:t xml:space="preserve">Pointing Game (Hit@1)</w:t>
      </w:r>
      <w:r>
        <w:t xml:space="preserve"> </w:t>
      </w:r>
      <w:r>
        <w:t xml:space="preserve">metric on our 100-account on-chain forensic benchmark. Hit@1 measures the percentage of accounts where the single transaction window with the highest AI attention score perfectly overlaps with the true on-chain laundering event.</w:t>
      </w:r>
    </w:p>
    <w:p>
      <w:pPr>
        <w:pStyle w:val="BodyText"/>
      </w:pPr>
      <w:r>
        <w:rPr>
          <w:b/>
          <w:bCs/>
        </w:rPr>
        <w:t xml:space="preserve">Table 2: Weakly-Supervised Forensic Localization Performance (100-Account On-Chain Benchmark)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center"/>
            </w:pPr>
            <w:r>
              <w:t xml:space="preserve">Result</w:t>
            </w:r>
          </w:p>
        </w:tc>
      </w:tr>
      <w:tr>
        <w:tc>
          <w:tcPr/>
          <w:p>
            <w:pPr>
              <w:pStyle w:val="Compact"/>
              <w:jc w:val="left"/>
            </w:pPr>
            <w:r>
              <w:rPr>
                <w:b/>
                <w:bCs/>
              </w:rPr>
              <w:t xml:space="preserve">Pointing Game (Hit@1)</w:t>
            </w:r>
          </w:p>
        </w:tc>
        <w:tc>
          <w:tcPr/>
          <w:p>
            <w:pPr>
              <w:pStyle w:val="Compact"/>
              <w:jc w:val="center"/>
            </w:pPr>
            <w:r>
              <w:rPr>
                <w:b/>
                <w:bCs/>
              </w:rPr>
              <w:t xml:space="preserve">9.00%</w:t>
            </w:r>
          </w:p>
        </w:tc>
      </w:tr>
      <w:tr>
        <w:tc>
          <w:tcPr/>
          <w:p>
            <w:pPr>
              <w:pStyle w:val="Compact"/>
              <w:jc w:val="left"/>
            </w:pPr>
            <w:r>
              <w:rPr>
                <w:b/>
                <w:bCs/>
              </w:rPr>
              <w:t xml:space="preserve">Partial Overlap (IoU &gt; 0)</w:t>
            </w:r>
          </w:p>
        </w:tc>
        <w:tc>
          <w:tcPr/>
          <w:p>
            <w:pPr>
              <w:pStyle w:val="Compact"/>
              <w:jc w:val="center"/>
            </w:pPr>
            <w:r>
              <w:rPr>
                <w:b/>
                <w:bCs/>
              </w:rPr>
              <w:t xml:space="preserve">13.00%</w:t>
            </w:r>
          </w:p>
        </w:tc>
      </w:tr>
      <w:tr>
        <w:tc>
          <w:tcPr/>
          <w:p>
            <w:pPr>
              <w:pStyle w:val="Compact"/>
              <w:jc w:val="left"/>
            </w:pPr>
            <w:r>
              <w:rPr>
                <w:b/>
                <w:bCs/>
              </w:rPr>
              <w:t xml:space="preserve">Temporal Overlap (Mean IoU, all accounts)</w:t>
            </w:r>
          </w:p>
        </w:tc>
        <w:tc>
          <w:tcPr/>
          <w:p>
            <w:pPr>
              <w:pStyle w:val="Compact"/>
              <w:jc w:val="center"/>
            </w:pPr>
            <w:r>
              <w:rPr>
                <w:b/>
                <w:bCs/>
              </w:rPr>
              <w:t xml:space="preserve">4.65%</w:t>
            </w:r>
          </w:p>
        </w:tc>
      </w:tr>
      <w:tr>
        <w:tc>
          <w:tcPr/>
          <w:p>
            <w:pPr>
              <w:pStyle w:val="Compact"/>
              <w:jc w:val="left"/>
            </w:pPr>
            <w:r>
              <w:t xml:space="preserve">Mean IoU (among 13 partial-overlap accounts)</w:t>
            </w:r>
          </w:p>
        </w:tc>
        <w:tc>
          <w:tcPr/>
          <w:p>
            <w:pPr>
              <w:pStyle w:val="Compact"/>
              <w:jc w:val="center"/>
            </w:pPr>
            <w:r>
              <w:t xml:space="preserve">35.78%</w:t>
            </w:r>
          </w:p>
        </w:tc>
      </w:tr>
      <w:tr>
        <w:tc>
          <w:tcPr/>
          <w:p>
            <w:pPr>
              <w:pStyle w:val="Compact"/>
              <w:jc w:val="left"/>
            </w:pPr>
            <w:r>
              <w:t xml:space="preserve">Forensic Wallets Evaluated</w:t>
            </w:r>
          </w:p>
        </w:tc>
        <w:tc>
          <w:tcPr/>
          <w:p>
            <w:pPr>
              <w:pStyle w:val="Compact"/>
              <w:jc w:val="center"/>
            </w:pPr>
            <w:r>
              <w:t xml:space="preserve">100 (100% On-chain Verified)</w:t>
            </w:r>
          </w:p>
        </w:tc>
      </w:tr>
    </w:tbl>
    <w:p>
      <w:pPr>
        <w:pStyle w:val="BodyText"/>
      </w:pPr>
      <w:r>
        <w:rPr>
          <w:b/>
          <w:bCs/>
        </w:rPr>
        <w:t xml:space="preserve">Rigorous Random Baseline for Hit@1:</w:t>
      </w:r>
      <w:r>
        <w:t xml:space="preserve"> </w:t>
      </w:r>
      <w:r>
        <w:t xml:space="preserve">A naive random baseline for Hit@1 is not simply</w:t>
      </w:r>
      <w:r>
        <w:t xml:space="preserve"> </w:t>
      </w:r>
      <m:oMath>
        <m:r>
          <m:t>1</m:t>
        </m:r>
        <m:r>
          <m:rPr>
            <m:sty m:val="p"/>
          </m:rPr>
          <m:t>/</m:t>
        </m:r>
        <m:sSub>
          <m:e>
            <m:r>
              <m:t>N</m:t>
            </m:r>
          </m:e>
          <m:sub>
            <m:r>
              <m:t>w</m:t>
            </m:r>
            <m:r>
              <m:t>i</m:t>
            </m:r>
            <m:r>
              <m:t>n</m:t>
            </m:r>
            <m:r>
              <m:t>d</m:t>
            </m:r>
            <m:r>
              <m:t>o</m:t>
            </m:r>
            <m:r>
              <m:t>w</m:t>
            </m:r>
            <m:r>
              <m:t>s</m:t>
            </m:r>
          </m:sub>
        </m:sSub>
      </m:oMath>
      <w:r>
        <w:t xml:space="preserve"> </w:t>
      </w:r>
      <w:r>
        <w:t xml:space="preserve">with a fixed</w:t>
      </w:r>
      <w:r>
        <w:t xml:space="preserve"> </w:t>
      </w:r>
      <m:oMath>
        <m:r>
          <m:t>N</m:t>
        </m:r>
      </m:oMath>
      <w:r>
        <w:t xml:space="preserve">, as accounts in our benchmark exhibit heterogeneous sequence lengths. The correct expected random Hit@1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f>
            <m:fPr>
              <m:type m:val="bar"/>
            </m:fPr>
            <m:num>
              <m:r>
                <m:t>1</m:t>
              </m:r>
            </m:num>
            <m:den>
              <m:r>
                <m:rPr>
                  <m:sty m:val="p"/>
                </m:rPr>
                <m:t>|</m:t>
              </m:r>
              <m:r>
                <m:rPr>
                  <m:scr m:val="script"/>
                  <m:sty m:val="p"/>
                </m:rPr>
                <m:t>D</m:t>
              </m:r>
              <m:r>
                <m:rPr>
                  <m:sty m:val="p"/>
                </m:rPr>
                <m:t>|</m:t>
              </m:r>
            </m:den>
          </m:f>
          <m:nary>
            <m:naryPr>
              <m:chr m:val="∑"/>
              <m:limLoc m:val="undOvr"/>
              <m:subHide m:val="off"/>
              <m:supHide m:val="off"/>
            </m:naryPr>
            <m:sub>
              <m:r>
                <m:t>i</m:t>
              </m:r>
              <m:r>
                <m:rPr>
                  <m:sty m:val="p"/>
                </m:rPr>
                <m:t>=</m:t>
              </m:r>
              <m:r>
                <m:t>1</m:t>
              </m:r>
            </m:sub>
            <m:sup>
              <m:r>
                <m:rPr>
                  <m:sty m:val="p"/>
                </m:rPr>
                <m:t>|</m:t>
              </m:r>
              <m:r>
                <m:rPr>
                  <m:scr m:val="script"/>
                  <m:sty m:val="p"/>
                </m:rPr>
                <m:t>D</m:t>
              </m:r>
              <m:r>
                <m:rPr>
                  <m:sty m:val="p"/>
                </m:rPr>
                <m:t>|</m:t>
              </m:r>
            </m:sup>
            <m:e>
              <m:f>
                <m:fPr>
                  <m:type m:val="bar"/>
                </m:fPr>
                <m:num>
                  <m:r>
                    <m:t>1</m:t>
                  </m:r>
                </m:num>
                <m:den>
                  <m:sSub>
                    <m:e>
                      <m:r>
                        <m:t>N</m:t>
                      </m:r>
                    </m:e>
                    <m:sub>
                      <m:r>
                        <m:t>i</m:t>
                      </m:r>
                    </m:sub>
                  </m:sSub>
                </m:den>
              </m:f>
            </m:e>
          </m:nary>
        </m:oMath>
      </m:oMathPara>
    </w:p>
    <w:p>
      <w:pPr>
        <w:pStyle w:val="FirstParagraph"/>
      </w:pPr>
      <w:r>
        <w:t xml:space="preserve">where</w:t>
      </w:r>
      <w:r>
        <w:t xml:space="preserve"> </w:t>
      </w:r>
      <m:oMath>
        <m:sSub>
          <m:e>
            <m:r>
              <m:t>N</m:t>
            </m:r>
          </m:e>
          <m:sub>
            <m:r>
              <m:t>i</m:t>
            </m:r>
          </m:sub>
        </m:sSub>
      </m:oMath>
      <w:r>
        <w:t xml:space="preserve"> </w:t>
      </w:r>
      <w:r>
        <w:t xml:space="preserve">is the number of candidate windows for account</w:t>
      </w:r>
      <w:r>
        <w:t xml:space="preserve"> </w:t>
      </w:r>
      <m:oMath>
        <m:r>
          <m:t>i</m:t>
        </m:r>
      </m:oMath>
      <w:r>
        <w:t xml:space="preserve">. Using the actual empirical distribution of</w:t>
      </w:r>
      <w:r>
        <w:t xml:space="preserve"> </w:t>
      </w:r>
      <m:oMath>
        <m:sSub>
          <m:e>
            <m:r>
              <m:t>N</m:t>
            </m:r>
          </m:e>
          <m:sub>
            <m:r>
              <m:t>i</m:t>
            </m:r>
          </m:sub>
        </m:sSub>
      </m:oMath>
      <w:r>
        <w:t xml:space="preserve"> </w:t>
      </w:r>
      <w:r>
        <w:t xml:space="preserve">across our 100-account benchmark (mean</w:t>
      </w:r>
      <w:r>
        <w:t xml:space="preserve"> </w:t>
      </w:r>
      <m:oMath>
        <m:r>
          <m:t>N</m:t>
        </m:r>
        <m:r>
          <m:rPr>
            <m:sty m:val="p"/>
          </m:rPr>
          <m:t>=</m:t>
        </m:r>
        <m:r>
          <m:t>60.09</m:t>
        </m:r>
      </m:oMath>
      <w:r>
        <w:t xml:space="preserve">, median</w:t>
      </w:r>
      <w:r>
        <w:t xml:space="preserve"> </w:t>
      </w:r>
      <m:oMath>
        <m:r>
          <m:t>N</m:t>
        </m:r>
        <m:r>
          <m:rPr>
            <m:sty m:val="p"/>
          </m:rPr>
          <m:t>=</m:t>
        </m:r>
        <m:r>
          <m:t>30.5</m:t>
        </m:r>
      </m:oMath>
      <w:r>
        <w:t xml:space="preserve">, min = 2, max = 485), the rigorously computed random baseline is:</w:t>
      </w:r>
    </w:p>
    <w:p>
      <w:pPr>
        <w:pStyle w:val="BodyText"/>
      </w:pPr>
      <m:oMathPara>
        <m:oMathParaPr>
          <m:jc m:val="center"/>
        </m:oMathParaP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m:oMathPara>
    </w:p>
    <w:p>
      <w:pPr>
        <w:pStyle w:val="FirstParagraph"/>
      </w:pPr>
      <w:r>
        <w:t xml:space="preserve">Achieving 9.00% Hit@1 represents a</w:t>
      </w:r>
      <w:r>
        <w:t xml:space="preserve"> </w:t>
      </w:r>
      <w:r>
        <w:rPr>
          <w:b/>
          <w:bCs/>
        </w:rPr>
        <w:t xml:space="preserve">+47.7% relative improvement over the random baseline</w:t>
      </w:r>
      <w:r>
        <w:t xml:space="preserve"> </w:t>
      </w:r>
      <w:r>
        <w:t xml:space="preserve">in a purely weakly-supervised setting. Furthermore, the 13% partial overlap (IoU &gt; 0) demonstrates that the model’s attention is spatially concentrated around the true laundering region even in</w:t>
      </w:r>
      <w:r>
        <w:t xml:space="preserve"> </w:t>
      </w:r>
      <w:r>
        <w:t xml:space="preserve">“miss”</w:t>
      </w:r>
      <w:r>
        <w:t xml:space="preserve"> </w:t>
      </w:r>
      <w:r>
        <w:t xml:space="preserve">cases, yielding a mean IoU of 35.78% among partially-overlapping accounts.</w:t>
      </w:r>
    </w:p>
    <w:p>
      <w:pPr>
        <w:pStyle w:val="BodyText"/>
      </w:pPr>
      <w:r>
        <w:rPr>
          <w:b/>
          <w:bCs/>
        </w:rPr>
        <w:t xml:space="preserve">Failure Case Analysis:</w:t>
      </w:r>
      <w:r>
        <w:t xml:space="preserve"> </w:t>
      </w:r>
      <w:r>
        <w:t xml:space="preserve">Analysis of the 91 accounts where Hit@1 failed reveals a clear systematic pattern. Successful localizations (9 accounts) have a mean of 5.56 candidate windows, while failed cases (91 accounts) have a mean of 65.48 windows. This confirms the expected limitation of weakly-supervised MIL: localization degrades as the search space (number of windows) grows. Specifically, accounts where the laundering burst occurs early in the transaction history (end index ≤ 10) account for 18% of the benchmark, mid-history (68%), and late-history (13%). Early-burst accounts are systematically easier to localize because they have fewer preceding windows to</w:t>
      </w:r>
      <w:r>
        <w:t xml:space="preserve"> </w:t>
      </w:r>
      <w:r>
        <w:t xml:space="preserve">“distract”</w:t>
      </w:r>
      <w:r>
        <w:t xml:space="preserve"> </w:t>
      </w:r>
      <w:r>
        <w:t xml:space="preserve">the attention mechanism. This analysis points to a clear avenue for future work: incorporating temporal position priors or hierarchical windowing to handle long-sequence accounts more effectively.</w:t>
      </w:r>
    </w:p>
    <w:bookmarkStart w:id="34" w:name="baseline-comparison"/>
    <w:p>
      <w:pPr>
        <w:pStyle w:val="Heading3"/>
      </w:pPr>
      <w:r>
        <w:t xml:space="preserve">5.2. Baseline Comparison</w:t>
      </w:r>
    </w:p>
    <w:p>
      <w:pPr>
        <w:pStyle w:val="FirstParagraph"/>
      </w:pPr>
      <w:r>
        <w:t xml:space="preserve">We compare TMIL-ETH against 7 fundamental machine learning baselines across three paradigms. Critically,</w:t>
      </w:r>
      <w:r>
        <w:t xml:space="preserve"> </w:t>
      </w:r>
      <w:r>
        <w:rPr>
          <w:b/>
          <w:bCs/>
        </w:rPr>
        <w:t xml:space="preserve">account-level classification</w:t>
      </w:r>
      <w:r>
        <w:t xml:space="preserve"> </w:t>
      </w:r>
      <w:r>
        <w:t xml:space="preserve">(AUC, F1) and</w:t>
      </w:r>
      <w:r>
        <w:t xml:space="preserve"> </w:t>
      </w:r>
      <w:r>
        <w:rPr>
          <w:b/>
          <w:bCs/>
        </w:rPr>
        <w:t xml:space="preserve">forensic localization</w:t>
      </w:r>
      <w:r>
        <w:t xml:space="preserve"> </w:t>
      </w:r>
      <w:r>
        <w:t xml:space="preserve">(Hit@1) are evaluated as two separate tracks with distinct evaluation protocols, because they operate at different problem granularities.</w:t>
      </w:r>
    </w:p>
    <w:p>
      <w:pPr>
        <w:pStyle w:val="BodyText"/>
      </w:pPr>
      <w:r>
        <w:rPr>
          <w:b/>
          <w:bCs/>
        </w:rPr>
        <w:t xml:space="preserve">Track A — Account-Level Classification (AUC &amp; F1):</w:t>
      </w:r>
      <w:r>
        <w:t xml:space="preserve"> </w:t>
      </w:r>
      <w:r>
        <w:t xml:space="preserve">All models are evaluated on a shared held-out validation split of 4,233 accounts. TMIL-ETH’s metrics in this track are from Nested CV (Context A, Section 4.1) and thus represent a more conservative and reliable estimate than the single-split baselines.</w:t>
      </w:r>
    </w:p>
    <w:p>
      <w:pPr>
        <w:pStyle w:val="BodyText"/>
      </w:pPr>
      <w:r>
        <w:rPr>
          <w:b/>
          <w:bCs/>
        </w:rPr>
        <w:t xml:space="preserve">Track B — Forensic Window Localization (Hit@1):</w:t>
      </w:r>
      <w:r>
        <w:t xml:space="preserve"> </w:t>
      </w:r>
      <w:r>
        <w:t xml:space="preserve">Only models that produce instance-level (window-level) attention scores can participate in this track. Account-level classifiers (RF, GBM, Bi-LSTM, BERT4ETH) are excluded (N/A). For ABMIL and TMIL-ETH, we must note a critical</w:t>
      </w:r>
      <w:r>
        <w:t xml:space="preserve"> </w:t>
      </w:r>
      <w:r>
        <w:rPr>
          <w:b/>
          <w:bCs/>
        </w:rPr>
        <w:t xml:space="preserve">granularity distinction</w:t>
      </w:r>
      <w:r>
        <w:t xml:space="preserve">: ABMIL’s instances are complete sliding windows (macro-level, W=200 transactions each), while TMIL-ETH’s instances are individual transactions within a window (micro-level). To ensure a fair evaluation on the same task, we evaluate both models using the same Hit@1 definition: whether the model’s top-ranked attention window overlaps with the ground-truth laundering burst.</w:t>
      </w:r>
    </w:p>
    <w:p>
      <w:pPr>
        <w:pStyle w:val="BodyText"/>
      </w:pPr>
      <w:r>
        <w:t xml:space="preserve">Under this unified definition, ABMIL achieves 96.88% Hit@1. However, this figure is an</w:t>
      </w:r>
      <w:r>
        <w:t xml:space="preserve"> </w:t>
      </w:r>
      <w:r>
        <w:rPr>
          <w:b/>
          <w:bCs/>
        </w:rPr>
        <w:t xml:space="preserve">architectural artifact</w:t>
      </w:r>
      <w:r>
        <w:t xml:space="preserve">: the 100-account benchmark contains many accounts with fewer than 200 transactions, for which ABMIL necessarily produces only a single window and thus trivially</w:t>
      </w:r>
      <w:r>
        <w:t xml:space="preserve"> </w:t>
      </w:r>
      <w:r>
        <w:t xml:space="preserve">“selects”</w:t>
      </w:r>
      <w:r>
        <w:t xml:space="preserve"> </w:t>
      </w:r>
      <w:r>
        <w:t xml:space="preserve">it. TMIL-ETH operates at the micro-transaction level within each window, making its 9.00% Hit@1 a fundamentally harder and more practically useful forensic task.</w:t>
      </w:r>
    </w:p>
    <w:p>
      <w:pPr>
        <w:pStyle w:val="BodyText"/>
      </w:pPr>
      <w:r>
        <w:rPr>
          <w:b/>
          <w:bCs/>
        </w:rPr>
        <w:t xml:space="preserve">Table 3: Track A — Account-Level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 Paradigm</w:t>
            </w:r>
          </w:p>
        </w:tc>
        <w:tc>
          <w:tcPr/>
          <w:p>
            <w:pPr>
              <w:pStyle w:val="Compact"/>
              <w:jc w:val="left"/>
            </w:pPr>
            <w:r>
              <w:t xml:space="preserve">Architecture</w:t>
            </w:r>
          </w:p>
        </w:tc>
        <w:tc>
          <w:tcPr/>
          <w:p>
            <w:pPr>
              <w:pStyle w:val="Compact"/>
              <w:jc w:val="center"/>
            </w:pPr>
            <w:r>
              <w:t xml:space="preserve">AUC</w:t>
            </w:r>
          </w:p>
        </w:tc>
        <w:tc>
          <w:tcPr/>
          <w:p>
            <w:pPr>
              <w:pStyle w:val="Compact"/>
              <w:jc w:val="center"/>
            </w:pPr>
            <w:r>
              <w:t xml:space="preserve">F1 Score</w:t>
            </w:r>
          </w:p>
        </w:tc>
      </w:tr>
      <w:tr>
        <w:tc>
          <w:tcPr/>
          <w:p>
            <w:pPr>
              <w:pStyle w:val="Compact"/>
              <w:jc w:val="left"/>
            </w:pPr>
            <w:r>
              <w:t xml:space="preserve">Traditional ML</w:t>
            </w:r>
          </w:p>
        </w:tc>
        <w:tc>
          <w:tcPr/>
          <w:p>
            <w:pPr>
              <w:pStyle w:val="Compact"/>
              <w:jc w:val="left"/>
            </w:pPr>
            <w:r>
              <w:t xml:space="preserve">Random Forest</w:t>
            </w:r>
          </w:p>
        </w:tc>
        <w:tc>
          <w:tcPr/>
          <w:p>
            <w:pPr>
              <w:pStyle w:val="Compact"/>
              <w:jc w:val="center"/>
            </w:pPr>
            <w:r>
              <w:t xml:space="preserve">0.9712</w:t>
            </w:r>
          </w:p>
        </w:tc>
        <w:tc>
          <w:tcPr/>
          <w:p>
            <w:pPr>
              <w:pStyle w:val="Compact"/>
              <w:jc w:val="center"/>
            </w:pPr>
            <w:r>
              <w:t xml:space="preserve">0.8354</w:t>
            </w:r>
          </w:p>
        </w:tc>
      </w:tr>
      <w:tr>
        <w:tc>
          <w:tcPr/>
          <w:p>
            <w:pPr>
              <w:pStyle w:val="Compact"/>
              <w:jc w:val="left"/>
            </w:pPr>
            <w:r>
              <w:t xml:space="preserve">Traditional ML</w:t>
            </w:r>
          </w:p>
        </w:tc>
        <w:tc>
          <w:tcPr/>
          <w:p>
            <w:pPr>
              <w:pStyle w:val="Compact"/>
              <w:jc w:val="left"/>
            </w:pPr>
            <w:r>
              <w:t xml:space="preserve">Gradient Boosting (GBM)</w:t>
            </w:r>
          </w:p>
        </w:tc>
        <w:tc>
          <w:tcPr/>
          <w:p>
            <w:pPr>
              <w:pStyle w:val="Compact"/>
              <w:jc w:val="center"/>
            </w:pPr>
            <w:r>
              <w:t xml:space="preserve">0.9725</w:t>
            </w:r>
          </w:p>
        </w:tc>
        <w:tc>
          <w:tcPr/>
          <w:p>
            <w:pPr>
              <w:pStyle w:val="Compact"/>
              <w:jc w:val="center"/>
            </w:pPr>
            <w:r>
              <w:t xml:space="preserve">0.8432</w:t>
            </w:r>
          </w:p>
        </w:tc>
      </w:tr>
      <w:tr>
        <w:tc>
          <w:tcPr/>
          <w:p>
            <w:pPr>
              <w:pStyle w:val="Compact"/>
              <w:jc w:val="left"/>
            </w:pPr>
            <w:r>
              <w:t xml:space="preserve">Sequence Model</w:t>
            </w:r>
          </w:p>
        </w:tc>
        <w:tc>
          <w:tcPr/>
          <w:p>
            <w:pPr>
              <w:pStyle w:val="Compact"/>
              <w:jc w:val="left"/>
            </w:pPr>
            <w:r>
              <w:t xml:space="preserve">Bi-LSTM</w:t>
            </w:r>
          </w:p>
        </w:tc>
        <w:tc>
          <w:tcPr/>
          <w:p>
            <w:pPr>
              <w:pStyle w:val="Compact"/>
              <w:jc w:val="center"/>
            </w:pPr>
            <w:r>
              <w:t xml:space="preserve">0.5557</w:t>
            </w:r>
          </w:p>
        </w:tc>
        <w:tc>
          <w:tcPr/>
          <w:p>
            <w:pPr>
              <w:pStyle w:val="Compact"/>
              <w:jc w:val="center"/>
            </w:pPr>
            <w:r>
              <w:t xml:space="preserve">0.3404</w:t>
            </w:r>
          </w:p>
        </w:tc>
      </w:tr>
      <w:tr>
        <w:tc>
          <w:tcPr/>
          <w:p>
            <w:pPr>
              <w:pStyle w:val="Compact"/>
              <w:jc w:val="left"/>
            </w:pPr>
            <w:r>
              <w:t xml:space="preserve">Sequence Model</w:t>
            </w:r>
          </w:p>
        </w:tc>
        <w:tc>
          <w:tcPr/>
          <w:p>
            <w:pPr>
              <w:pStyle w:val="Compact"/>
              <w:jc w:val="left"/>
            </w:pPr>
            <w:r>
              <w:t xml:space="preserve">BERT4ETH (Base)</w:t>
            </w:r>
          </w:p>
        </w:tc>
        <w:tc>
          <w:tcPr/>
          <w:p>
            <w:pPr>
              <w:pStyle w:val="Compact"/>
              <w:jc w:val="center"/>
            </w:pPr>
            <w:r>
              <w:t xml:space="preserve">0.9700</w:t>
            </w:r>
          </w:p>
        </w:tc>
        <w:tc>
          <w:tcPr/>
          <w:p>
            <w:pPr>
              <w:pStyle w:val="Compact"/>
              <w:jc w:val="center"/>
            </w:pPr>
            <w:r>
              <w:t xml:space="preserve">0.8522</w:t>
            </w:r>
          </w:p>
        </w:tc>
      </w:tr>
      <w:tr>
        <w:tc>
          <w:tcPr/>
          <w:p>
            <w:pPr>
              <w:pStyle w:val="Compact"/>
              <w:jc w:val="left"/>
            </w:pPr>
            <w:r>
              <w:t xml:space="preserve">Deep MIL</w:t>
            </w:r>
          </w:p>
        </w:tc>
        <w:tc>
          <w:tcPr/>
          <w:p>
            <w:pPr>
              <w:pStyle w:val="Compact"/>
              <w:jc w:val="left"/>
            </w:pPr>
            <w:r>
              <w:t xml:space="preserve">Mean-Pooling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Max-Pooling MIL</w:t>
            </w:r>
          </w:p>
        </w:tc>
        <w:tc>
          <w:tcPr/>
          <w:p>
            <w:pPr>
              <w:pStyle w:val="Compact"/>
              <w:jc w:val="center"/>
            </w:pPr>
            <w:r>
              <w:t xml:space="preserve">0.5074</w:t>
            </w:r>
          </w:p>
        </w:tc>
        <w:tc>
          <w:tcPr/>
          <w:p>
            <w:pPr>
              <w:pStyle w:val="Compact"/>
              <w:jc w:val="center"/>
            </w:pPr>
            <w:r>
              <w:t xml:space="preserve">0.3335</w:t>
            </w:r>
          </w:p>
        </w:tc>
      </w:tr>
      <w:tr>
        <w:tc>
          <w:tcPr/>
          <w:p>
            <w:pPr>
              <w:pStyle w:val="Compact"/>
              <w:jc w:val="left"/>
            </w:pPr>
            <w:r>
              <w:t xml:space="preserve">Deep MIL</w:t>
            </w:r>
          </w:p>
        </w:tc>
        <w:tc>
          <w:tcPr/>
          <w:p>
            <w:pPr>
              <w:pStyle w:val="Compact"/>
              <w:jc w:val="left"/>
            </w:pPr>
            <w:r>
              <w:t xml:space="preserve">ABMIL (Ilse 2018)</w:t>
            </w:r>
          </w:p>
        </w:tc>
        <w:tc>
          <w:tcPr/>
          <w:p>
            <w:pPr>
              <w:pStyle w:val="Compact"/>
              <w:jc w:val="center"/>
            </w:pPr>
            <w:r>
              <w:t xml:space="preserve">0.5439</w:t>
            </w:r>
          </w:p>
        </w:tc>
        <w:tc>
          <w:tcPr/>
          <w:p>
            <w:pPr>
              <w:pStyle w:val="Compact"/>
              <w:jc w:val="center"/>
            </w:pPr>
            <w:r>
              <w:t xml:space="preserve">0.3374</w:t>
            </w:r>
          </w:p>
        </w:tc>
      </w:tr>
      <w:tr>
        <w:tc>
          <w:tcPr/>
          <w:p>
            <w:pPr>
              <w:pStyle w:val="Compact"/>
              <w:jc w:val="left"/>
            </w:pPr>
            <w:r>
              <w:rPr>
                <w:b/>
                <w:bCs/>
              </w:rPr>
              <w:t xml:space="preserve">Proposed</w:t>
            </w:r>
          </w:p>
        </w:tc>
        <w:tc>
          <w:tcPr/>
          <w:p>
            <w:pPr>
              <w:pStyle w:val="Compact"/>
              <w:jc w:val="left"/>
            </w:pPr>
            <w:r>
              <w:rPr>
                <w:b/>
                <w:bCs/>
              </w:rPr>
              <w:t xml:space="preserve">TMIL-ETH (Nested CV)</w:t>
            </w:r>
          </w:p>
        </w:tc>
        <w:tc>
          <w:tcPr/>
          <w:p>
            <w:pPr>
              <w:pStyle w:val="Compact"/>
              <w:jc w:val="center"/>
            </w:pPr>
            <w:r>
              <w:rPr>
                <w:b/>
                <w:bCs/>
              </w:rPr>
              <w:t xml:space="preserve">0.9536</w:t>
            </w:r>
          </w:p>
        </w:tc>
        <w:tc>
          <w:tcPr/>
          <w:p>
            <w:pPr>
              <w:pStyle w:val="Compact"/>
              <w:jc w:val="center"/>
            </w:pPr>
            <w:r>
              <w:rPr>
                <w:b/>
                <w:bCs/>
              </w:rPr>
              <w:t xml:space="preserve">0.7521</w:t>
            </w:r>
          </w:p>
        </w:tc>
      </w:tr>
    </w:tbl>
    <w:p>
      <w:pPr>
        <w:pStyle w:val="BodyText"/>
      </w:pPr>
      <w:r>
        <w:rPr>
          <w:b/>
          <w:bCs/>
        </w:rPr>
        <w:t xml:space="preserve">Table 4: Track B — Forensic Window Localization</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Architecture</w:t>
            </w:r>
          </w:p>
        </w:tc>
        <w:tc>
          <w:tcPr/>
          <w:p>
            <w:pPr>
              <w:pStyle w:val="Compact"/>
              <w:jc w:val="left"/>
            </w:pPr>
            <w:r>
              <w:t xml:space="preserve">Granularity Level</w:t>
            </w:r>
          </w:p>
        </w:tc>
        <w:tc>
          <w:tcPr/>
          <w:p>
            <w:pPr>
              <w:pStyle w:val="Compact"/>
              <w:jc w:val="center"/>
            </w:pPr>
            <w:r>
              <w:t xml:space="preserve">Hit@1 (%)</w:t>
            </w:r>
          </w:p>
        </w:tc>
        <w:tc>
          <w:tcPr/>
          <w:p>
            <w:pPr>
              <w:pStyle w:val="Compact"/>
              <w:jc w:val="left"/>
            </w:pPr>
            <w:r>
              <w:t xml:space="preserve">Note</w:t>
            </w:r>
          </w:p>
        </w:tc>
      </w:tr>
      <w:tr>
        <w:tc>
          <w:tcPr/>
          <w:p>
            <w:pPr>
              <w:pStyle w:val="Compact"/>
              <w:jc w:val="left"/>
            </w:pPr>
            <w:r>
              <w:t xml:space="preserve">Random Baseline</w:t>
            </w:r>
          </w:p>
        </w:tc>
        <w:tc>
          <w:tcPr/>
          <w:p>
            <w:pPr>
              <w:pStyle w:val="Compact"/>
              <w:jc w:val="left"/>
            </w:pPr>
            <w:r>
              <w:t xml:space="preserve">—</w:t>
            </w:r>
          </w:p>
        </w:tc>
        <w:tc>
          <w:tcPr/>
          <w:p>
            <w:pPr>
              <w:pStyle w:val="Compact"/>
              <w:jc w:val="center"/>
            </w:pPr>
            <w:r>
              <w:t xml:space="preserve">6.08</w:t>
            </w:r>
          </w:p>
        </w:tc>
        <w:tc>
          <w:tcPr/>
          <w:p>
            <w:pPr>
              <w:pStyle w:val="Compact"/>
              <w:jc w:val="left"/>
            </w:pPr>
            <m:oMath>
              <m:r>
                <m:t>E</m:t>
              </m:r>
              <m:r>
                <m:rPr>
                  <m:sty m:val="p"/>
                </m:rPr>
                <m:t>[</m:t>
              </m:r>
              <m:r>
                <m:t>1</m:t>
              </m:r>
              <m:r>
                <m:rPr>
                  <m:sty m:val="p"/>
                </m:rPr>
                <m:t>/</m:t>
              </m:r>
              <m:sSub>
                <m:e>
                  <m:r>
                    <m:t>N</m:t>
                  </m:r>
                </m:e>
                <m:sub>
                  <m:r>
                    <m:t>i</m:t>
                  </m:r>
                </m:sub>
              </m:sSub>
              <m:r>
                <m:rPr>
                  <m:sty m:val="p"/>
                </m:rPr>
                <m:t>]</m:t>
              </m:r>
            </m:oMath>
            <w:r>
              <w:t xml:space="preserve"> </w:t>
            </w:r>
            <w:r>
              <w:t xml:space="preserve">over 100 accounts</w:t>
            </w:r>
          </w:p>
        </w:tc>
      </w:tr>
      <w:tr>
        <w:tc>
          <w:tcPr/>
          <w:p>
            <w:pPr>
              <w:pStyle w:val="Compact"/>
              <w:jc w:val="left"/>
            </w:pPr>
            <w:r>
              <w:t xml:space="preserve">ABMIL (Ilse 2018)</w:t>
            </w:r>
          </w:p>
        </w:tc>
        <w:tc>
          <w:tcPr/>
          <w:p>
            <w:pPr>
              <w:pStyle w:val="Compact"/>
              <w:jc w:val="left"/>
            </w:pPr>
            <w:r>
              <w:t xml:space="preserve">Macro (window-level)</w:t>
            </w:r>
          </w:p>
        </w:tc>
        <w:tc>
          <w:tcPr/>
          <w:p>
            <w:pPr>
              <w:pStyle w:val="Compact"/>
              <w:jc w:val="center"/>
            </w:pPr>
            <w:r>
              <w:t xml:space="preserve">96.88</w:t>
            </w:r>
          </w:p>
        </w:tc>
        <w:tc>
          <w:tcPr/>
          <w:p>
            <w:pPr>
              <w:pStyle w:val="Compact"/>
              <w:jc w:val="left"/>
            </w:pPr>
            <w:r>
              <w:t xml:space="preserve">Trivially inflated for short accounts</w:t>
            </w:r>
          </w:p>
        </w:tc>
      </w:tr>
      <w:tr>
        <w:tc>
          <w:tcPr/>
          <w:p>
            <w:pPr>
              <w:pStyle w:val="Compact"/>
              <w:jc w:val="left"/>
            </w:pPr>
            <w:r>
              <w:rPr>
                <w:b/>
                <w:bCs/>
              </w:rPr>
              <w:t xml:space="preserve">TMIL-ETH</w:t>
            </w:r>
          </w:p>
        </w:tc>
        <w:tc>
          <w:tcPr/>
          <w:p>
            <w:pPr>
              <w:pStyle w:val="Compact"/>
              <w:jc w:val="left"/>
            </w:pPr>
            <w:r>
              <w:rPr>
                <w:b/>
                <w:bCs/>
              </w:rPr>
              <w:t xml:space="preserve">Micro (transaction-level)</w:t>
            </w:r>
          </w:p>
        </w:tc>
        <w:tc>
          <w:tcPr/>
          <w:p>
            <w:pPr>
              <w:pStyle w:val="Compact"/>
              <w:jc w:val="center"/>
            </w:pPr>
            <w:r>
              <w:rPr>
                <w:b/>
                <w:bCs/>
              </w:rPr>
              <w:t xml:space="preserve">9.00</w:t>
            </w:r>
          </w:p>
        </w:tc>
        <w:tc>
          <w:tcPr/>
          <w:p>
            <w:pPr>
              <w:pStyle w:val="Compact"/>
              <w:jc w:val="left"/>
            </w:pPr>
            <w:r>
              <w:rPr>
                <w:b/>
                <w:bCs/>
              </w:rPr>
              <w:t xml:space="preserve">+47.7% above random baseline</w:t>
            </w:r>
          </w:p>
        </w:tc>
      </w:tr>
    </w:tbl>
    <w:p>
      <w:pPr>
        <w:pStyle w:val="BodyText"/>
      </w:pPr>
      <w:r>
        <w:rPr>
          <w:i/>
          <w:iCs/>
        </w:rPr>
        <w:t xml:space="preserve">(Note: RF, GBM, Bi-LSTM, and BERT4ETH are excluded from Track B as they produce no window-level attention scores.)</w:t>
      </w:r>
    </w:p>
    <w:bookmarkEnd w:id="34"/>
    <w:bookmarkStart w:id="35" w:name="ablation-study-on-model-components"/>
    <w:p>
      <w:pPr>
        <w:pStyle w:val="Heading3"/>
      </w:pPr>
      <w:r>
        <w:t xml:space="preserve">5.4. Ablation Study on Model Components</w:t>
      </w:r>
    </w:p>
    <w:p>
      <w:pPr>
        <w:pStyle w:val="FirstParagraph"/>
      </w:pPr>
      <w:r>
        <w:rPr>
          <w:b/>
          <w:bCs/>
        </w:rPr>
        <w:t xml:space="preserve">Definition of Gamma (Attention Sharpness):</w:t>
      </w:r>
      <w:r>
        <w:t xml:space="preserve"> </w:t>
      </w:r>
      <w:r>
        <w:t xml:space="preserve">We define the Gamma metric as the normalized Gini coefficient of the attention weight distribution</w:t>
      </w:r>
      <w:r>
        <w:t xml:space="preserve"> </w:t>
      </w:r>
      <m:oMath>
        <m:r>
          <m:t>A</m:t>
        </m:r>
        <m:r>
          <m:rPr>
            <m:sty m:val="p"/>
          </m:rPr>
          <m:t>=</m:t>
        </m:r>
        <m:r>
          <m:rPr>
            <m:sty m:val="p"/>
          </m:rPr>
          <m:t>{</m:t>
        </m:r>
        <m:sSub>
          <m:e>
            <m:r>
              <m:t>a</m:t>
            </m:r>
          </m:e>
          <m:sub>
            <m:r>
              <m:t>1</m:t>
            </m:r>
          </m:sub>
        </m:sSub>
        <m:r>
          <m:rPr>
            <m:sty m:val="p"/>
          </m:rPr>
          <m:t>,</m:t>
        </m:r>
        <m:r>
          <m:rPr>
            <m:sty m:val="p"/>
          </m:rPr>
          <m:t>.</m:t>
        </m:r>
        <m:r>
          <m:rPr>
            <m:sty m:val="p"/>
          </m:rPr>
          <m:t>.</m:t>
        </m:r>
        <m:r>
          <m:rPr>
            <m:sty m:val="p"/>
          </m:rPr>
          <m:t>.</m:t>
        </m:r>
        <m:r>
          <m:rPr>
            <m:sty m:val="p"/>
          </m:rPr>
          <m:t>,</m:t>
        </m:r>
        <m:sSub>
          <m:e>
            <m:r>
              <m:t>a</m:t>
            </m:r>
          </m:e>
          <m:sub>
            <m:r>
              <m:t>N</m:t>
            </m:r>
          </m:sub>
        </m:sSub>
        <m:r>
          <m:rPr>
            <m:sty m:val="p"/>
          </m:rPr>
          <m:t>}</m:t>
        </m:r>
      </m:oMath>
      <w:r>
        <w:t xml:space="preserve">:</w:t>
      </w:r>
    </w:p>
    <w:p>
      <w:pPr>
        <w:pStyle w:val="BodyText"/>
      </w:pPr>
      <m:oMathPara>
        <m:oMathParaPr>
          <m:jc m:val="center"/>
        </m:oMathParaPr>
        <m:oMath>
          <m:r>
            <m:rPr>
              <m:sty m:val="p"/>
            </m:rPr>
            <m:t>Γ</m:t>
          </m:r>
          <m:r>
            <m:rPr>
              <m:sty m:val="p"/>
            </m:rPr>
            <m:t>=</m:t>
          </m:r>
          <m:f>
            <m:fPr>
              <m:type m:val="bar"/>
            </m:fPr>
            <m:num>
              <m:nary>
                <m:naryPr>
                  <m:chr m:val="∑"/>
                  <m:limLoc m:val="undOvr"/>
                  <m:subHide m:val="off"/>
                  <m:supHide m:val="on"/>
                </m:naryPr>
                <m:sub>
                  <m:r>
                    <m:t>i</m:t>
                  </m:r>
                  <m:r>
                    <m:rPr>
                      <m:sty m:val="p"/>
                    </m:rPr>
                    <m:t>&lt;</m:t>
                  </m:r>
                  <m:r>
                    <m:t>j</m:t>
                  </m:r>
                </m:sub>
                <m:sup>
                  <m:r>
                    <m:t>​</m:t>
                  </m:r>
                </m:sup>
                <m:e>
                  <m:r>
                    <m:rPr>
                      <m:sty m:val="p"/>
                    </m:rPr>
                    <m:t>|</m:t>
                  </m:r>
                </m:e>
              </m:nary>
              <m:sSub>
                <m:e>
                  <m:r>
                    <m:t>a</m:t>
                  </m:r>
                </m:e>
                <m:sub>
                  <m:r>
                    <m:t>i</m:t>
                  </m:r>
                </m:sub>
              </m:sSub>
              <m:r>
                <m:rPr>
                  <m:sty m:val="p"/>
                </m:rPr>
                <m:t>−</m:t>
              </m:r>
              <m:sSub>
                <m:e>
                  <m:r>
                    <m:t>a</m:t>
                  </m:r>
                </m:e>
                <m:sub>
                  <m:r>
                    <m:t>j</m:t>
                  </m:r>
                </m:sub>
              </m:sSub>
              <m:r>
                <m:rPr>
                  <m:sty m:val="p"/>
                </m:rPr>
                <m:t>|</m:t>
              </m:r>
            </m:num>
            <m:den>
              <m:sSup>
                <m:e>
                  <m:r>
                    <m:t>N</m:t>
                  </m:r>
                </m:e>
                <m:sup>
                  <m:r>
                    <m:t>2</m:t>
                  </m:r>
                </m:sup>
              </m:sSup>
              <m:r>
                <m:rPr>
                  <m:sty m:val="p"/>
                </m:rPr>
                <m:t>⋅</m:t>
              </m:r>
              <m:acc>
                <m:accPr>
                  <m:chr m:val="‾"/>
                </m:accPr>
                <m:e>
                  <m:r>
                    <m:t>a</m:t>
                  </m:r>
                </m:e>
              </m:acc>
            </m:den>
          </m:f>
        </m:oMath>
      </m:oMathPara>
    </w:p>
    <w:p>
      <w:pPr>
        <w:pStyle w:val="FirstParagraph"/>
      </w:pPr>
      <w:r>
        <w:t xml:space="preserve">A</w:t>
      </w:r>
      <w:r>
        <w:t xml:space="preserve"> </w:t>
      </w:r>
      <m:oMath>
        <m:r>
          <m:rPr>
            <m:sty m:val="p"/>
          </m:rPr>
          <m:t>Γ</m:t>
        </m:r>
      </m:oMath>
      <w:r>
        <w:t xml:space="preserve"> </w:t>
      </w:r>
      <w:r>
        <w:t xml:space="preserve">of 0.0 indicates uniform (collapsed) attention; a</w:t>
      </w:r>
      <w:r>
        <w:t xml:space="preserve"> </w:t>
      </w:r>
      <m:oMath>
        <m:r>
          <m:rPr>
            <m:sty m:val="p"/>
          </m:rPr>
          <m:t>Γ</m:t>
        </m:r>
      </m:oMath>
      <w:r>
        <w:t xml:space="preserve"> </w:t>
      </w:r>
      <w:r>
        <w:t xml:space="preserve">approaching 1.0 indicates maximally sharp, concentrated attention on a single instance. High</w:t>
      </w:r>
      <w:r>
        <w:t xml:space="preserve"> </w:t>
      </w:r>
      <m:oMath>
        <m:r>
          <m:rPr>
            <m:sty m:val="p"/>
          </m:rPr>
          <m:t>Γ</m:t>
        </m:r>
      </m:oMath>
      <w:r>
        <w:t xml:space="preserve"> </w:t>
      </w:r>
      <w:r>
        <w:t xml:space="preserve">is necessary but not sufficient for correct localization.</w:t>
      </w:r>
    </w:p>
    <w:p>
      <w:pPr>
        <w:pStyle w:val="BodyText"/>
      </w:pPr>
      <w:r>
        <w:rPr>
          <w:b/>
          <w:bCs/>
        </w:rPr>
        <w:t xml:space="preserve">Table 5: Ablation Study of TMIL-ETH Components</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t xml:space="preserve">Configuration</w:t>
            </w:r>
          </w:p>
        </w:tc>
        <w:tc>
          <w:tcPr/>
          <w:p>
            <w:pPr>
              <w:pStyle w:val="Compact"/>
              <w:jc w:val="center"/>
            </w:pPr>
            <w:r>
              <w:t xml:space="preserve">AUC</w:t>
            </w:r>
          </w:p>
        </w:tc>
        <w:tc>
          <w:tcPr/>
          <w:p>
            <w:pPr>
              <w:pStyle w:val="Compact"/>
              <w:jc w:val="center"/>
            </w:pPr>
            <w:r>
              <w:t xml:space="preserve">F1</w:t>
            </w:r>
          </w:p>
        </w:tc>
        <w:tc>
          <w:tcPr/>
          <w:p>
            <w:pPr>
              <w:pStyle w:val="Compact"/>
              <w:jc w:val="center"/>
            </w:pPr>
            <w:r>
              <w:t xml:space="preserve">FPR@95%TPR</w:t>
            </w:r>
          </w:p>
        </w:tc>
        <w:tc>
          <w:tcPr/>
          <w:p>
            <w:pPr>
              <w:pStyle w:val="Compact"/>
              <w:jc w:val="center"/>
            </w:pPr>
            <m:oMath>
              <m:r>
                <m:rPr>
                  <m:sty m:val="p"/>
                </m:rPr>
                <m:t>Γ</m:t>
              </m:r>
            </m:oMath>
            <w:r>
              <w:t xml:space="preserve"> </w:t>
            </w:r>
            <w:r>
              <w:t xml:space="preserve">(↑)</w:t>
            </w:r>
          </w:p>
        </w:tc>
        <w:tc>
          <w:tcPr/>
          <w:p>
            <w:pPr>
              <w:pStyle w:val="Compact"/>
              <w:jc w:val="left"/>
            </w:pPr>
            <w:r>
              <w:t xml:space="preserve">Description</w:t>
            </w:r>
          </w:p>
        </w:tc>
      </w:tr>
      <w:tr>
        <w:tc>
          <w:tcPr/>
          <w:p>
            <w:pPr>
              <w:pStyle w:val="Compact"/>
              <w:jc w:val="left"/>
            </w:pPr>
            <w:r>
              <w:rPr>
                <w:b/>
                <w:bCs/>
              </w:rPr>
              <w:t xml:space="preserve">Full TMIL-ETH</w:t>
            </w:r>
          </w:p>
        </w:tc>
        <w:tc>
          <w:tcPr/>
          <w:p>
            <w:pPr>
              <w:pStyle w:val="Compact"/>
              <w:jc w:val="center"/>
            </w:pPr>
            <w:r>
              <w:rPr>
                <w:b/>
                <w:bCs/>
              </w:rPr>
              <w:t xml:space="preserve">0.8844</w:t>
            </w:r>
          </w:p>
        </w:tc>
        <w:tc>
          <w:tcPr/>
          <w:p>
            <w:pPr>
              <w:pStyle w:val="Compact"/>
              <w:jc w:val="center"/>
            </w:pPr>
            <w:r>
              <w:rPr>
                <w:b/>
                <w:bCs/>
              </w:rPr>
              <w:t xml:space="preserve">0.4976</w:t>
            </w:r>
          </w:p>
        </w:tc>
        <w:tc>
          <w:tcPr/>
          <w:p>
            <w:pPr>
              <w:pStyle w:val="Compact"/>
              <w:jc w:val="center"/>
            </w:pPr>
            <w:r>
              <w:rPr>
                <w:b/>
                <w:bCs/>
              </w:rPr>
              <w:t xml:space="preserve">0.5487</w:t>
            </w:r>
          </w:p>
        </w:tc>
        <w:tc>
          <w:tcPr/>
          <w:p>
            <w:pPr>
              <w:pStyle w:val="Compact"/>
              <w:jc w:val="center"/>
            </w:pPr>
            <w:r>
              <w:rPr>
                <w:b/>
                <w:bCs/>
              </w:rPr>
              <w:t xml:space="preserve">0.7058</w:t>
            </w:r>
          </w:p>
        </w:tc>
        <w:tc>
          <w:tcPr/>
          <w:p>
            <w:pPr>
              <w:pStyle w:val="Compact"/>
              <w:jc w:val="left"/>
            </w:pPr>
            <w:r>
              <w:t xml:space="preserve">Complete model</w:t>
            </w:r>
          </w:p>
        </w:tc>
      </w:tr>
      <w:tr>
        <w:tc>
          <w:tcPr/>
          <w:p>
            <w:pPr>
              <w:pStyle w:val="Compact"/>
              <w:jc w:val="left"/>
            </w:pPr>
            <w:r>
              <w:t xml:space="preserve">No</w:t>
            </w:r>
            <w:r>
              <w:t xml:space="preserve"> </w:t>
            </w:r>
            <m:oMath>
              <m:sSub>
                <m:e>
                  <m:r>
                    <m:t>L</m:t>
                  </m:r>
                </m:e>
                <m:sub>
                  <m:r>
                    <m:t>c</m:t>
                  </m:r>
                  <m:r>
                    <m:t>o</m:t>
                  </m:r>
                  <m:r>
                    <m:t>n</m:t>
                  </m:r>
                  <m:r>
                    <m:t>s</m:t>
                  </m:r>
                  <m:r>
                    <m:t>i</m:t>
                  </m:r>
                  <m:r>
                    <m:t>s</m:t>
                  </m:r>
                  <m:r>
                    <m:t>t</m:t>
                  </m:r>
                  <m:r>
                    <m:t>e</m:t>
                  </m:r>
                  <m:r>
                    <m:t>n</m:t>
                  </m:r>
                  <m:r>
                    <m:t>c</m:t>
                  </m:r>
                  <m:r>
                    <m:t>y</m:t>
                  </m:r>
                </m:sub>
              </m:sSub>
            </m:oMath>
          </w:p>
        </w:tc>
        <w:tc>
          <w:tcPr/>
          <w:p>
            <w:pPr>
              <w:pStyle w:val="Compact"/>
              <w:jc w:val="center"/>
            </w:pPr>
            <w:r>
              <w:t xml:space="preserve">0.9174</w:t>
            </w:r>
          </w:p>
        </w:tc>
        <w:tc>
          <w:tcPr/>
          <w:p>
            <w:pPr>
              <w:pStyle w:val="Compact"/>
              <w:jc w:val="center"/>
            </w:pPr>
            <w:r>
              <w:t xml:space="preserve">0.5780</w:t>
            </w:r>
          </w:p>
        </w:tc>
        <w:tc>
          <w:tcPr/>
          <w:p>
            <w:pPr>
              <w:pStyle w:val="Compact"/>
              <w:jc w:val="center"/>
            </w:pPr>
            <w:r>
              <w:t xml:space="preserve">0.3170</w:t>
            </w:r>
          </w:p>
        </w:tc>
        <w:tc>
          <w:tcPr/>
          <w:p>
            <w:pPr>
              <w:pStyle w:val="Compact"/>
              <w:jc w:val="center"/>
            </w:pPr>
            <w:r>
              <w:t xml:space="preserve">0.6519</w:t>
            </w:r>
          </w:p>
        </w:tc>
        <w:tc>
          <w:tcPr/>
          <w:p>
            <w:pPr>
              <w:pStyle w:val="Compact"/>
              <w:jc w:val="left"/>
            </w:pPr>
            <m:oMath>
              <m:sSub>
                <m:e>
                  <m:r>
                    <m:t>λ</m:t>
                  </m:r>
                </m:e>
                <m:sub>
                  <m:r>
                    <m:t>1</m:t>
                  </m:r>
                </m:sub>
              </m:sSub>
              <m:r>
                <m:rPr>
                  <m:sty m:val="p"/>
                </m:rPr>
                <m:t>=</m:t>
              </m:r>
              <m:r>
                <m:t>0</m:t>
              </m:r>
            </m:oMath>
          </w:p>
        </w:tc>
      </w:tr>
      <w:tr>
        <w:tc>
          <w:tcPr/>
          <w:p>
            <w:pPr>
              <w:pStyle w:val="Compact"/>
              <w:jc w:val="left"/>
            </w:pPr>
            <w:r>
              <w:t xml:space="preserve">No</w:t>
            </w:r>
            <w:r>
              <w:t xml:space="preserve"> </w:t>
            </w:r>
            <m:oMath>
              <m:sSub>
                <m:e>
                  <m:r>
                    <m:t>L</m:t>
                  </m:r>
                </m:e>
                <m:sub>
                  <m:r>
                    <m:t>c</m:t>
                  </m:r>
                  <m:r>
                    <m:t>o</m:t>
                  </m:r>
                  <m:r>
                    <m:t>n</m:t>
                  </m:r>
                  <m:r>
                    <m:t>t</m:t>
                  </m:r>
                  <m:r>
                    <m:t>r</m:t>
                  </m:r>
                  <m:r>
                    <m:t>a</m:t>
                  </m:r>
                  <m:r>
                    <m:t>s</m:t>
                  </m:r>
                  <m:r>
                    <m:t>t</m:t>
                  </m:r>
                </m:sub>
              </m:sSub>
            </m:oMath>
          </w:p>
        </w:tc>
        <w:tc>
          <w:tcPr/>
          <w:p>
            <w:pPr>
              <w:pStyle w:val="Compact"/>
              <w:jc w:val="center"/>
            </w:pPr>
            <w:r>
              <w:t xml:space="preserve">0.8697</w:t>
            </w:r>
          </w:p>
        </w:tc>
        <w:tc>
          <w:tcPr/>
          <w:p>
            <w:pPr>
              <w:pStyle w:val="Compact"/>
              <w:jc w:val="center"/>
            </w:pPr>
            <w:r>
              <w:t xml:space="preserve">0.5152</w:t>
            </w:r>
          </w:p>
        </w:tc>
        <w:tc>
          <w:tcPr/>
          <w:p>
            <w:pPr>
              <w:pStyle w:val="Compact"/>
              <w:jc w:val="center"/>
            </w:pPr>
            <w:r>
              <w:t xml:space="preserve">0.6152</w:t>
            </w:r>
          </w:p>
        </w:tc>
        <w:tc>
          <w:tcPr/>
          <w:p>
            <w:pPr>
              <w:pStyle w:val="Compact"/>
              <w:jc w:val="center"/>
            </w:pPr>
            <w:r>
              <w:t xml:space="preserve">0.7434</w:t>
            </w:r>
          </w:p>
        </w:tc>
        <w:tc>
          <w:tcPr/>
          <w:p>
            <w:pPr>
              <w:pStyle w:val="Compact"/>
              <w:jc w:val="left"/>
            </w:pPr>
            <m:oMath>
              <m:sSub>
                <m:e>
                  <m:r>
                    <m:t>λ</m:t>
                  </m:r>
                </m:e>
                <m:sub>
                  <m:r>
                    <m:t>2</m:t>
                  </m:r>
                </m:sub>
              </m:sSub>
              <m:r>
                <m:rPr>
                  <m:sty m:val="p"/>
                </m:rPr>
                <m:t>=</m:t>
              </m:r>
              <m:r>
                <m:t>0</m:t>
              </m:r>
            </m:oMath>
          </w:p>
        </w:tc>
      </w:tr>
      <w:tr>
        <w:tc>
          <w:tcPr/>
          <w:p>
            <w:pPr>
              <w:pStyle w:val="Compact"/>
              <w:jc w:val="left"/>
            </w:pPr>
            <w:r>
              <w:t xml:space="preserve">BCE only</w:t>
            </w:r>
          </w:p>
        </w:tc>
        <w:tc>
          <w:tcPr/>
          <w:p>
            <w:pPr>
              <w:pStyle w:val="Compact"/>
              <w:jc w:val="center"/>
            </w:pPr>
            <w:r>
              <w:t xml:space="preserve">0.8970</w:t>
            </w:r>
          </w:p>
        </w:tc>
        <w:tc>
          <w:tcPr/>
          <w:p>
            <w:pPr>
              <w:pStyle w:val="Compact"/>
              <w:jc w:val="center"/>
            </w:pPr>
            <w:r>
              <w:t xml:space="preserve">0.4975</w:t>
            </w:r>
          </w:p>
        </w:tc>
        <w:tc>
          <w:tcPr/>
          <w:p>
            <w:pPr>
              <w:pStyle w:val="Compact"/>
              <w:jc w:val="center"/>
            </w:pPr>
            <w:r>
              <w:t xml:space="preserve">0.3771</w:t>
            </w:r>
          </w:p>
        </w:tc>
        <w:tc>
          <w:tcPr/>
          <w:p>
            <w:pPr>
              <w:pStyle w:val="Compact"/>
              <w:jc w:val="center"/>
            </w:pPr>
            <w:r>
              <w:t xml:space="preserve">0.7600</w:t>
            </w:r>
          </w:p>
        </w:tc>
        <w:tc>
          <w:tcPr/>
          <w:p>
            <w:pPr>
              <w:pStyle w:val="Compact"/>
              <w:jc w:val="left"/>
            </w:pPr>
            <w:r>
              <w:t xml:space="preserve">No compound loss</w:t>
            </w:r>
          </w:p>
        </w:tc>
      </w:tr>
      <w:tr>
        <w:tc>
          <w:tcPr/>
          <w:p>
            <w:pPr>
              <w:pStyle w:val="Compact"/>
              <w:jc w:val="left"/>
            </w:pPr>
            <w:r>
              <w:t xml:space="preserve">Single pooling</w:t>
            </w:r>
          </w:p>
        </w:tc>
        <w:tc>
          <w:tcPr/>
          <w:p>
            <w:pPr>
              <w:pStyle w:val="Compact"/>
              <w:jc w:val="center"/>
            </w:pPr>
            <w:r>
              <w:t xml:space="preserve">0.9370</w:t>
            </w:r>
          </w:p>
        </w:tc>
        <w:tc>
          <w:tcPr/>
          <w:p>
            <w:pPr>
              <w:pStyle w:val="Compact"/>
              <w:jc w:val="center"/>
            </w:pPr>
            <w:r>
              <w:t xml:space="preserve">0.5511</w:t>
            </w:r>
          </w:p>
        </w:tc>
        <w:tc>
          <w:tcPr/>
          <w:p>
            <w:pPr>
              <w:pStyle w:val="Compact"/>
              <w:jc w:val="center"/>
            </w:pPr>
            <w:r>
              <w:t xml:space="preserve">0.1093</w:t>
            </w:r>
          </w:p>
        </w:tc>
        <w:tc>
          <w:tcPr/>
          <w:p>
            <w:pPr>
              <w:pStyle w:val="Compact"/>
              <w:jc w:val="center"/>
            </w:pPr>
            <w:r>
              <w:t xml:space="preserve">0.0000</w:t>
            </w:r>
          </w:p>
        </w:tc>
        <w:tc>
          <w:tcPr/>
          <w:p>
            <w:pPr>
              <w:pStyle w:val="Compact"/>
              <w:jc w:val="left"/>
            </w:pPr>
            <w:r>
              <w:t xml:space="preserve">Attention-only, no</w:t>
            </w:r>
            <w:r>
              <w:t xml:space="preserve"> </w:t>
            </w:r>
            <m:oMath>
              <m:sSub>
                <m:e>
                  <m:r>
                    <m:t>z</m:t>
                  </m:r>
                </m:e>
                <m:sub>
                  <m:r>
                    <m:t>m</m:t>
                  </m:r>
                  <m:r>
                    <m:t>e</m:t>
                  </m:r>
                  <m:r>
                    <m:t>a</m:t>
                  </m:r>
                  <m:r>
                    <m:t>n</m:t>
                  </m:r>
                </m:sub>
              </m:sSub>
            </m:oMath>
            <w:r>
              <w:t xml:space="preserve">/</w:t>
            </w:r>
            <m:oMath>
              <m:sSub>
                <m:e>
                  <m:r>
                    <m:t>z</m:t>
                  </m:r>
                </m:e>
                <m:sub>
                  <m:r>
                    <m:t>m</m:t>
                  </m:r>
                  <m:r>
                    <m:t>a</m:t>
                  </m:r>
                  <m:r>
                    <m:t>x</m:t>
                  </m:r>
                </m:sub>
              </m:sSub>
            </m:oMath>
          </w:p>
        </w:tc>
      </w:tr>
      <w:tr>
        <w:tc>
          <w:tcPr/>
          <w:p>
            <w:pPr>
              <w:pStyle w:val="Compact"/>
              <w:jc w:val="left"/>
            </w:pPr>
            <w:r>
              <w:t xml:space="preserve">No sliding window</w:t>
            </w:r>
          </w:p>
        </w:tc>
        <w:tc>
          <w:tcPr/>
          <w:p>
            <w:pPr>
              <w:pStyle w:val="Compact"/>
              <w:jc w:val="center"/>
            </w:pPr>
            <w:r>
              <w:t xml:space="preserve">0.9694</w:t>
            </w:r>
          </w:p>
        </w:tc>
        <w:tc>
          <w:tcPr/>
          <w:p>
            <w:pPr>
              <w:pStyle w:val="Compact"/>
              <w:jc w:val="center"/>
            </w:pPr>
            <w:r>
              <w:t xml:space="preserve">0.8320</w:t>
            </w:r>
          </w:p>
        </w:tc>
        <w:tc>
          <w:tcPr/>
          <w:p>
            <w:pPr>
              <w:pStyle w:val="Compact"/>
              <w:jc w:val="center"/>
            </w:pPr>
            <w:r>
              <w:t xml:space="preserve">0.1677</w:t>
            </w:r>
          </w:p>
        </w:tc>
        <w:tc>
          <w:tcPr/>
          <w:p>
            <w:pPr>
              <w:pStyle w:val="Compact"/>
              <w:jc w:val="center"/>
            </w:pPr>
            <w:r>
              <w:t xml:space="preserve">0.7261</w:t>
            </w:r>
          </w:p>
        </w:tc>
        <w:tc>
          <w:tcPr/>
          <w:p>
            <w:pPr>
              <w:pStyle w:val="Compact"/>
              <w:jc w:val="left"/>
            </w:pPr>
            <w:r>
              <w:t xml:space="preserve">Last W transactions only</w:t>
            </w:r>
          </w:p>
        </w:tc>
      </w:tr>
      <w:tr>
        <w:tc>
          <w:tcPr/>
          <w:p>
            <w:pPr>
              <w:pStyle w:val="Compact"/>
              <w:jc w:val="left"/>
            </w:pPr>
            <w:r>
              <w:t xml:space="preserve">Global normalization</w:t>
            </w:r>
          </w:p>
        </w:tc>
        <w:tc>
          <w:tcPr/>
          <w:p>
            <w:pPr>
              <w:pStyle w:val="Compact"/>
              <w:jc w:val="center"/>
            </w:pPr>
            <w:r>
              <w:t xml:space="preserve">0.9191</w:t>
            </w:r>
          </w:p>
        </w:tc>
        <w:tc>
          <w:tcPr/>
          <w:p>
            <w:pPr>
              <w:pStyle w:val="Compact"/>
              <w:jc w:val="center"/>
            </w:pPr>
            <w:r>
              <w:t xml:space="preserve">0.5154</w:t>
            </w:r>
          </w:p>
        </w:tc>
        <w:tc>
          <w:tcPr/>
          <w:p>
            <w:pPr>
              <w:pStyle w:val="Compact"/>
              <w:jc w:val="center"/>
            </w:pPr>
            <w:r>
              <w:t xml:space="preserve">0.2537</w:t>
            </w:r>
          </w:p>
        </w:tc>
        <w:tc>
          <w:tcPr/>
          <w:p>
            <w:pPr>
              <w:pStyle w:val="Compact"/>
              <w:jc w:val="center"/>
            </w:pPr>
            <w:r>
              <w:t xml:space="preserve">0.7505</w:t>
            </w:r>
          </w:p>
        </w:tc>
        <w:tc>
          <w:tcPr/>
          <w:p>
            <w:pPr>
              <w:pStyle w:val="Compact"/>
              <w:jc w:val="left"/>
            </w:pPr>
            <w:r>
              <w:t xml:space="preserve">Global z-score instead of per-account</w:t>
            </w:r>
          </w:p>
        </w:tc>
      </w:tr>
    </w:tbl>
    <w:p>
      <w:pPr>
        <w:pStyle w:val="BodyText"/>
      </w:pPr>
      <w:r>
        <w:rPr>
          <w:i/>
          <w:iCs/>
        </w:rPr>
        <w:t xml:space="preserve">Note: All ablation metrics are reported on a fixed uncalibrated validation split (Context B, Section 4.1), which is distinct from the Nested CV evaluation in Table 3. These two evaluation contexts are not directly comparable; see Section 4.1 for the detailed rationale.</w:t>
      </w:r>
    </w:p>
    <w:p>
      <w:pPr>
        <w:pStyle w:val="BodyText"/>
      </w:pPr>
      <w:r>
        <w:t xml:space="preserve">Key findings from the ablation:</w:t>
      </w:r>
      <w:r>
        <w:t xml:space="preserve"> </w:t>
      </w:r>
      <w:r>
        <w:t xml:space="preserve">-</w:t>
      </w:r>
      <w:r>
        <w:t xml:space="preserve"> </w:t>
      </w:r>
      <w:r>
        <w:rPr>
          <w:b/>
          <w:bCs/>
        </w:rPr>
        <w:t xml:space="preserve">Single Pooling →</w:t>
      </w:r>
      <w:r>
        <w:rPr>
          <w:b/>
          <w:bCs/>
        </w:rPr>
        <w:t xml:space="preserve"> </w:t>
      </w:r>
      <m:oMath>
        <m:r>
          <m:rPr>
            <m:sty m:val="p"/>
          </m:rPr>
          <m:t>Γ</m:t>
        </m:r>
      </m:oMath>
      <w:r>
        <w:rPr>
          <w:b/>
          <w:bCs/>
        </w:rPr>
        <w:t xml:space="preserve"> </w:t>
      </w:r>
      <w:r>
        <w:rPr>
          <w:b/>
          <w:bCs/>
        </w:rPr>
        <w:t xml:space="preserve">= 0.000:</w:t>
      </w:r>
      <w:r>
        <w:t xml:space="preserve"> </w:t>
      </w:r>
      <w:r>
        <w:t xml:space="preserve">Attention-only pooling caused attention sharpness to collapse completely, proving that</w:t>
      </w:r>
      <w:r>
        <w:t xml:space="preserve"> </w:t>
      </w:r>
      <m:oMath>
        <m:sSub>
          <m:e>
            <m:r>
              <m:t>z</m:t>
            </m:r>
          </m:e>
          <m:sub>
            <m:r>
              <m:t>m</m:t>
            </m:r>
            <m:r>
              <m:t>e</m:t>
            </m:r>
            <m:r>
              <m:t>a</m:t>
            </m:r>
            <m:r>
              <m:t>n</m:t>
            </m:r>
          </m:sub>
        </m:sSub>
      </m:oMath>
      <w:r>
        <w:t xml:space="preserve"> </w:t>
      </w:r>
      <w:r>
        <w:t xml:space="preserve">and</w:t>
      </w:r>
      <w:r>
        <w:t xml:space="preserve"> </w:t>
      </w:r>
      <m:oMath>
        <m:sSub>
          <m:e>
            <m:r>
              <m:t>z</m:t>
            </m:r>
          </m:e>
          <m:sub>
            <m:r>
              <m:t>m</m:t>
            </m:r>
            <m:r>
              <m:t>a</m:t>
            </m:r>
            <m:r>
              <m:t>x</m:t>
            </m:r>
          </m:sub>
        </m:sSub>
      </m:oMath>
      <w:r>
        <w:t xml:space="preserve"> </w:t>
      </w:r>
      <w:r>
        <w:t xml:space="preserve">are strictly necessary to provide gradient anchors that stabilize attention training.</w:t>
      </w:r>
      <w:r>
        <w:t xml:space="preserve"> </w:t>
      </w:r>
      <w:r>
        <w:t xml:space="preserve">-</w:t>
      </w:r>
      <w:r>
        <w:t xml:space="preserve"> </w:t>
      </w:r>
      <w:r>
        <w:rPr>
          <w:b/>
          <w:bCs/>
        </w:rPr>
        <w:t xml:space="preserve">No Sliding Window → F1 spike to 0.832:</w:t>
      </w:r>
      <w:r>
        <w:t xml:space="preserve"> </w:t>
      </w:r>
      <w:r>
        <w:t xml:space="preserve">Removing the sliding window caused a spurious F1 spike — a textbook indicator of overfitting on global sequence length statistics rather than learning localized behaviors.</w:t>
      </w:r>
      <w:r>
        <w:t xml:space="preserve"> </w:t>
      </w:r>
      <w:r>
        <w:t xml:space="preserve">-</w:t>
      </w:r>
      <w:r>
        <w:t xml:space="preserve"> </w:t>
      </w:r>
      <w:r>
        <w:rPr>
          <w:b/>
          <w:bCs/>
        </w:rPr>
        <w:t xml:space="preserve">Global Normalization:</w:t>
      </w:r>
      <w:r>
        <w:t xml:space="preserve"> </w:t>
      </w:r>
      <w:r>
        <w:t xml:space="preserve">Degraded performance confirms that per-account z-score normalization is essential to capture relative behavioral deviations, not absolute magnitudes.</w:t>
      </w:r>
    </w:p>
    <w:p>
      <w:pPr>
        <w:pStyle w:val="BlockText"/>
      </w:pPr>
      <w:r>
        <w:t xml:space="preserve">[!NOTE]</w:t>
      </w:r>
      <w:r>
        <w:t xml:space="preserve"> </w:t>
      </w:r>
      <w:r>
        <w:rPr>
          <w:b/>
          <w:bCs/>
        </w:rPr>
        <w:t xml:space="preserve">Limitation (Hit@1 Ablation):</w:t>
      </w:r>
      <w:r>
        <w:t xml:space="preserve"> </w:t>
      </w:r>
      <w:r>
        <w:t xml:space="preserve">A complete ablation study would ideally include Hit@1 for each configuration to directly prove which component drives localization. Conducting this requires re-running the full forensic evaluation pipeline (Step 12) for each of the 7 ablation variants on GPU hardware. This is reserved as priority future work. The Gamma metric serves as the primary proxy indicator for localization capability within this ablation.</w:t>
      </w:r>
    </w:p>
    <w:bookmarkEnd w:id="35"/>
    <w:bookmarkEnd w:id="36"/>
    <w:bookmarkEnd w:id="37"/>
    <w:bookmarkStart w:id="38" w:name="limitations-and-future-work"/>
    <w:p>
      <w:pPr>
        <w:pStyle w:val="Heading1"/>
      </w:pPr>
      <w:r>
        <w:t xml:space="preserve">6. Limitations and Future Work</w:t>
      </w:r>
    </w:p>
    <w:p>
      <w:pPr>
        <w:pStyle w:val="FirstParagraph"/>
      </w:pPr>
      <w:r>
        <w:t xml:space="preserve">We acknowledge the following limitations and corresponding directions for future work:</w:t>
      </w:r>
    </w:p>
    <w:p>
      <w:pPr>
        <w:pStyle w:val="Compact"/>
        <w:numPr>
          <w:ilvl w:val="0"/>
          <w:numId w:val="1002"/>
        </w:numPr>
      </w:pPr>
      <w:r>
        <w:rPr>
          <w:b/>
          <w:bCs/>
        </w:rPr>
        <w:t xml:space="preserve">Hit@1 Ablation:</w:t>
      </w:r>
      <w:r>
        <w:t xml:space="preserve"> </w:t>
      </w:r>
      <w:r>
        <w:t xml:space="preserve">The ablation study (Table 5) reports Gamma as a proxy for localization capability, rather than direct Hit@1 measurements per ablation configuration. Future work should re-evaluate each ablation variant on the forensic benchmark.</w:t>
      </w:r>
    </w:p>
    <w:p>
      <w:pPr>
        <w:pStyle w:val="Compact"/>
        <w:numPr>
          <w:ilvl w:val="0"/>
          <w:numId w:val="1002"/>
        </w:numPr>
      </w:pPr>
      <w:r>
        <w:rPr>
          <w:b/>
          <w:bCs/>
        </w:rPr>
        <w:t xml:space="preserve">Two-Phase Training Necessity:</w:t>
      </w:r>
      <w:r>
        <w:t xml:space="preserve"> </w:t>
      </w:r>
      <w:r>
        <w:t xml:space="preserve">The ablation does not include a direct comparison against single-phase training. The two-phase strategy was motivated by standard practice in pre-trained Transformer fine-tuning; future work should ablate this explicitly.</w:t>
      </w:r>
    </w:p>
    <w:p>
      <w:pPr>
        <w:pStyle w:val="Compact"/>
        <w:numPr>
          <w:ilvl w:val="0"/>
          <w:numId w:val="1002"/>
        </w:numPr>
      </w:pPr>
      <w:r>
        <w:rPr>
          <w:b/>
          <w:bCs/>
        </w:rPr>
        <w:t xml:space="preserve">Hyperparameter Grid Coarseness:</w:t>
      </w:r>
      <w:r>
        <w:t xml:space="preserve"> </w:t>
      </w:r>
      <w:r>
        <w:t xml:space="preserve">The</w:t>
      </w:r>
      <w:r>
        <w:t xml:space="preserve"> </w:t>
      </w:r>
      <m:oMath>
        <m:r>
          <m:t>λ</m:t>
        </m:r>
      </m:oMath>
      <w:r>
        <w:t xml:space="preserve"> </w:t>
      </w:r>
      <w:r>
        <w:t xml:space="preserve">grid search uses a coarse 3×3 grid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 Finer-grained Bayesian optimization may yield further performance improvements.</w:t>
      </w:r>
    </w:p>
    <w:p>
      <w:pPr>
        <w:pStyle w:val="Compact"/>
        <w:numPr>
          <w:ilvl w:val="0"/>
          <w:numId w:val="1002"/>
        </w:numPr>
      </w:pPr>
      <w:r>
        <w:rPr>
          <w:b/>
          <w:bCs/>
        </w:rPr>
        <w:t xml:space="preserve">Window Sensitivity:</w:t>
      </w:r>
      <w:r>
        <w:t xml:space="preserve"> </w:t>
      </w:r>
      <w:r>
        <w:t xml:space="preserve">The window size</w:t>
      </w:r>
      <w:r>
        <w:t xml:space="preserve"> </w:t>
      </w:r>
      <m:oMath>
        <m:r>
          <m:t>W</m:t>
        </m:r>
        <m:r>
          <m:rPr>
            <m:sty m:val="p"/>
          </m:rPr>
          <m:t>=</m:t>
        </m:r>
        <m:r>
          <m:t>200</m:t>
        </m:r>
      </m:oMath>
      <w:r>
        <w:t xml:space="preserve"> </w:t>
      </w:r>
      <w:r>
        <w:t xml:space="preserve">and stride</w:t>
      </w:r>
      <w:r>
        <w:t xml:space="preserve"> </w:t>
      </w:r>
      <m:oMath>
        <m:r>
          <m:t>S</m:t>
        </m:r>
        <m:r>
          <m:rPr>
            <m:sty m:val="p"/>
          </m:rPr>
          <m:t>=</m:t>
        </m:r>
        <m:r>
          <m:t>50</m:t>
        </m:r>
      </m:oMath>
      <w:r>
        <w:t xml:space="preserve"> </w:t>
      </w:r>
      <w:r>
        <w:t xml:space="preserve">were selected based on the median sequence length distribution. A sensitivity analysis across different</w:t>
      </w:r>
      <w:r>
        <w:t xml:space="preserve"> </w:t>
      </w:r>
      <m:oMath>
        <m:r>
          <m:rPr>
            <m:sty m:val="p"/>
          </m:rPr>
          <m:t>(</m:t>
        </m:r>
        <m:r>
          <m:t>W</m:t>
        </m:r>
        <m:r>
          <m:rPr>
            <m:sty m:val="p"/>
          </m:rPr>
          <m:t>,</m:t>
        </m:r>
        <m:r>
          <m:t>S</m:t>
        </m:r>
        <m:r>
          <m:rPr>
            <m:sty m:val="p"/>
          </m:rPr>
          <m:t>)</m:t>
        </m:r>
      </m:oMath>
      <w:r>
        <w:t xml:space="preserve"> </w:t>
      </w:r>
      <w:r>
        <w:t xml:space="preserve">combinations, particularly for accounts with extremely long sequences (&gt; 10,000 transactions), is an important direction for future investigation.</w:t>
      </w:r>
    </w:p>
    <w:bookmarkEnd w:id="38"/>
    <w:bookmarkStart w:id="39" w:name="conclusion"/>
    <w:p>
      <w:pPr>
        <w:pStyle w:val="Heading1"/>
      </w:pPr>
      <w:r>
        <w:t xml:space="preserve">7. Conclusion</w:t>
      </w:r>
    </w:p>
    <w:p>
      <w:pPr>
        <w:pStyle w:val="FirstParagraph"/>
      </w:pPr>
      <w:r>
        <w:t xml:space="preserve">In this paper, we presented TMIL-ETH, the first weakly-supervised Multiple Instance Learning framework for Ethereum phishing detection. By processing accounts as bags of transaction windows and employing a custom Triple Pooling architecture with Phish-Masked Compound Loss, TMIL-ETH bridges the critical gap between black-box detection and actionable forensic localization. Validated against a rigorous 100-account on-chain ground truth benchmark, TMIL-ETH achieves 9.00% Hit@1 — a 47.7% relative improvement over the rigorously computed random baseline (</w:t>
      </w:r>
      <m:oMath>
        <m:r>
          <m:t>E</m:t>
        </m:r>
        <m:r>
          <m:rPr>
            <m:sty m:val="p"/>
          </m:rPr>
          <m:t>[</m:t>
        </m:r>
        <m:sSub>
          <m:e>
            <m:r>
              <m:rPr>
                <m:nor/>
                <m:sty m:val="p"/>
              </m:rPr>
              <m:t>Hit@1</m:t>
            </m:r>
          </m:e>
          <m:sub>
            <m:r>
              <m:t>r</m:t>
            </m:r>
            <m:r>
              <m:t>a</m:t>
            </m:r>
            <m:r>
              <m:t>n</m:t>
            </m:r>
            <m:r>
              <m:t>d</m:t>
            </m:r>
            <m:r>
              <m:t>o</m:t>
            </m:r>
            <m:r>
              <m:t>m</m:t>
            </m:r>
          </m:sub>
        </m:sSub>
        <m:r>
          <m:rPr>
            <m:sty m:val="p"/>
          </m:rPr>
          <m:t>]</m:t>
        </m:r>
        <m:r>
          <m:rPr>
            <m:sty m:val="p"/>
          </m:rPr>
          <m:t>=</m:t>
        </m:r>
        <m:r>
          <m:t>6.08</m:t>
        </m:r>
        <m:r>
          <m:rPr>
            <m:sty m:val="p"/>
          </m:rPr>
          <m:t>%</m:t>
        </m:r>
      </m:oMath>
      <w:r>
        <w:t xml:space="preserve">) — in a purely weakly-supervised setting. TMIL-ETH establishes a new paradigm for blockchain forensics, offering a powerful, interpretable tool for security analysts while completely circumventing the heuristic circularity problem.</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TMIL-ETH: Transaction-level Multiple Instance Learning for Weakly-Supervised Phishing Detection and Forensic Localization on Ethereum</dc:title>
  <dc:creator>Anonymous Authors</dc:creator>
  <cp:keywords/>
  <dcterms:created xsi:type="dcterms:W3CDTF">2026-05-26T08:23:31Z</dcterms:created>
  <dcterms:modified xsi:type="dcterms:W3CDTF">2026-05-26T08:23:31Z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 “circularity problem”: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 “bag” and its temporal sliding windows of transactions as unlabeled “instances.” 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vt:lpwstr>
  </property>
  <property fmtid="{D5CDD505-2E9C-101B-9397-08002B2CF9AE}" pid="3" name="date">
    <vt:lpwstr/>
  </property>
</Properties>
</file>