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5F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spacing w:after="120" w:before="0"/>
            </w:pPr>
            <w:r>
              <w:rPr>
                <w:rFonts w:ascii="Poppins" w:cs="Poppins" w:eastAsia="Poppins" w:hAnsi="Poppins"/>
                <w:color w:val="A0B4CC"/>
                <w:sz w:val="20"/>
                <w:szCs w:val="20"/>
              </w:rPr>
              <w:t xml:space="preserve">SAD — System Architecture Document</w:t>
            </w:r>
          </w:p>
          <w:p>
            <w:pPr>
              <w:spacing w:after="80" w:before="0"/>
            </w:pPr>
            <w:r>
              <w:rPr>
                <w:rFonts w:ascii="Sora" w:cs="Sora" w:eastAsia="Sora" w:hAnsi="Sora"/>
                <w:b/>
                <w:bCs/>
                <w:color w:val="FFFFFF"/>
                <w:sz w:val="52"/>
                <w:szCs w:val="52"/>
              </w:rPr>
              <w:t xml:space="preserve">Katalyzer Vega</w:t>
            </w:r>
          </w:p>
          <w:p>
            <w:pPr>
              <w:spacing w:after="360" w:before="0"/>
            </w:pPr>
            <w:r>
              <w:rPr>
                <w:rFonts w:ascii="Poppins" w:cs="Poppins" w:eastAsia="Poppins" w:hAnsi="Poppins"/>
                <w:color w:val="CCE0F5"/>
                <w:sz w:val="22"/>
                <w:szCs w:val="22"/>
              </w:rPr>
              <w:t xml:space="preserve">Plataforma interna de diagnóstico e análise de carteira de dívida ativa</w:t>
            </w:r>
          </w:p>
          <w:p>
            <w:pPr>
              <w:pBdr>
                <w:bottom w:val="single" w:color="00A8BF" w:sz="4" w:space="8"/>
              </w:pBdr>
              <w:spacing w:after="0" w:before="0"/>
            </w:pP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88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Versão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Referência técnica oficial — Abril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Propósito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Ferramenta interna de análise de carteira — backoffice Katalyzer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Audiência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Time de dados, desenvolvedores, onboarding técnico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Stack principal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Python · PostgreSQL · Dash · Docker Compose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Relação com Órion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Sistema separado — banco próprio, deploy independente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Serviço alvo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Análise pré-operação de carteiras municipais de dívida ativa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Poppins" w:cs="Poppins" w:eastAsia="Poppins" w:hAnsi="Poppins"/>
          <w:color w:val="6B7280"/>
          <w:sz w:val="18"/>
          <w:szCs w:val="18"/>
        </w:rPr>
        <w:t xml:space="preserve">Katalyzer Tecnologia Ltda. · CNPJ 59.357.357/0001-74 · Confidencial · Abril 2026</w:t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b/>
          <w:bCs/>
          <w:color w:val="0A2A5F"/>
        </w:rPr>
        <w:t xml:space="preserve">1. Introdução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1.1 Propósito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 Katalyzer Vega é uma ferramenta interna de análise de carteira de dívida ativa municipal. Ela opera no backoffice da Katalyzer e é usada exclusivamente pelo time de análise de dados antes de estruturar operações de recuperação para novos clientes municipais.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A ferramenta recebe uma carteira bruta (CSV ou API), executa um pipeline de higienização e scoring, e gera um diagnóstico completo em 7 abas analíticas: Diagnóstico, Segmentação, Scoring, Safra &amp; Aging, Contactabilidade, Histórico e Cenários.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 Vega não é um produto para o cliente municipal — é a inteligência interna da Katalyzer para operar a carteira. O cliente nunca acessa esta ferramenta.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1.2 Relação com o Katalyzer Órion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 Vega é um sistema completamente separado do Katalyzer Órion. Não compartilha banco de dados, não expõe APIs para o Órion, e pode ser deployado e mantido de forma independente.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tblHeader/>
        </w:trPr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84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Katalyzer Vega</w:t>
            </w:r>
          </w:p>
        </w:tc>
        <w:tc>
          <w:tcPr>
            <w:tcW w:type="dxa" w:w="384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Katalyzer Órion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Diagnóstico de carteira pré-operação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Gestão de cobrança em produção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Usuário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Time interno de análise de dados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Procuradoria e Fazenda municipal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Python + Dash + PostgreSQL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Rails 8 + React 19 + PostgreSQL 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Docker Compose — Railway/Render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On-premise — Docker Compose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PostgreSQL próprio (schema vega)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PostgreSQL 17 (4 schemas isolados)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Acesso externo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Nenhum — uso interno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API REST + webhooks externos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1.3 Premissas e limitações de escopo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O Vega não executa operações de cobrança — apenas diagnostica a carteira.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O scoring do Vega (Score v1 determinístico) deve reproduzir a mesma lógica do Órion para garantir consistência entre diagnóstico e operação.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Todos os dados processados são da carteira do cliente municipal — tratados com sigilo conforme LGPD.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A ferramenta opera com dados mockados no modo de demonstração e com dados reais em produção — a distinção é controlada por flag de ambiente.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O decay nas projeções de cenário é parametrizado com referências de mercado por padrão, e pode ser calibrado com os dados reais de safra de cada carteira analisada.</w:t>
      </w:r>
    </w:p>
    <w:p>
      <w:pPr>
        <w:spacing w:after="16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b/>
          <w:bCs/>
          <w:color w:val="0A2A5F"/>
        </w:rPr>
        <w:t xml:space="preserve">2. Stack Tecnológica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2.1 Componentes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360"/>
        <w:gridCol w:w="4600"/>
      </w:tblGrid>
      <w:tr>
        <w:trPr>
          <w:tblHeader/>
        </w:trPr>
        <w:tc>
          <w:tcPr>
            <w:tcW w:type="dxa" w:w="2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3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Linguagem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3.11+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Ecossistema de dados maduro; consistência com sidecar do Órion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Framework web/UI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Dash (Plotly)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Dashboards analíticos multi-usuário; suporte a autenticação; deploy em nuvem sem SPA separada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15+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Consistência com o Órion; suporte a JSONB e queries analíticas; multi-tenant por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Visualizações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Plotly / Chart.js (mockup)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Plotly no Dash para produção; Chart.js no mockup HTML para validação de 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Acesso ao banco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psycopg2 + pandas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SQL puro via pd.read_sql(). Sem ORM — time de dados escreve SQL diretamente em db/queries.py. Alembic apenas para migrations.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Pipeline de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Pandas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Ingestão, higienização, segmentação e transformação de carteiras brutas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Alembic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Controle de versão do schema PostgreSQL. Não usado como ORM.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Insights por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OpenAI (gpt-4o)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Geração de insights cruzados por aba via botão. Interpreta métricas calculadas — nunca calcula valores financeiros.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ML / Scoring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Scikit-learn / LightGBM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LightGBM para Score v2 futuro; scikit para utilitários do Score 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Flask-Login / Dash Auth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Autenticação básica por usuário — time interno apenas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Reprodutibilidade dev/staging/prod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Railway ou Render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Cloud PaaS simples; sem overhead de Kubernetes para ferramenta interna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Exportação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pandas (CSV/Parquet) + docx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Exportação de dados e relatórios DOCX de diagnóstico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2.2 Por que Dash e não Streamlit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Streamlit foi avaliado e rejeitado por três razões concretas: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Streamlit re-executa o script inteiro a cada interação do usuário — inviável com datasets de carteira de 8.000+ CDAs e pipelines de scoring.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Streamlit não tem suporte nativo a múltiplos usuários simultâneos com estado isolado — o Vega precisa que dois analistas possam trabalhar em carteiras diferentes ao mesmo tempo.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Dash tem modelo de callback explícito que se integra melhor com deploy em Railway/Render e com autenticação por usuário.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2.3 Por que psycopg2 + pandas direto, sem ORM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SQLAlchemy foi avaliado e rejeitado. O time de dados já escreve SQL com fluência — adicionar um ORM criaria uma camada de abstração desnecessária que o time teria que aprender sem ganho real.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Toda query analítica é SQL explícito em db/queries.py, lido via pd.read_sql(sql, conn, params={...}).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Alembic é mantido para controle de versão do schema (migrations) — apenas isso. Não é usado como ORM.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Resultado: o time escreve a query que quer, pandas processa, Dash renderiza. Sem tradução intermediária.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2.4 Insights cruzados via OpenAI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Cada aba do Vega tem um botão "Gerar insights cruzados". Na implementação real, esse botão dispara um callback Dash que: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Coleta as métricas reais da carteira daquela aba via db/queries.py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Monta um prompt específico com os números da carteira analisada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Chama a API OpenAI (gpt-4o) via insights/generator.py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Renderiza o retorno em cards com badge "IA" — visualmente distintos dos alertas determinísticos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92400E"/>
                <w:sz w:val="21"/>
                <w:szCs w:val="21"/>
              </w:rPr>
              <w:t xml:space="preserve">⚠ A LLM nunca calcula valores financeiros — apenas interpreta métricas já calculadas pelo pipeline. Todo valor monetário exibido na UI vem do banco, nunca do modelo de linguagem. A API Key fica em variável de ambiente (OPENAI_API_KEY) — nunca no código.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b/>
          <w:bCs/>
          <w:color w:val="0A2A5F"/>
        </w:rPr>
        <w:t xml:space="preserve">3. Arquitetura do Sistema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3.1 Visão geral de componentes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 Vega é uma aplicação Python monolítica com quatro camadas internas: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1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Ingestão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Carregamento da carteira bruta (CSV ou API REST do DA)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vega/ingestion/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Pipeline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Higienização → Segmentação → Scoring → Simulação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vega/pipeline/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Persistência de carteiras, scores e configurações por sessão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vega/db/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Dashboard (Dash)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7 abas analíticas com callbacks, charts e parâmetros interativos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vega/app/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3.2 Fluxo de dados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 fluxo de uma análise de carteira segue 5 etapas sequenciais: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9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9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Saída</w:t>
            </w:r>
          </w:p>
        </w:tc>
        <w:tc>
          <w:tcPr>
            <w:tcW w:type="dxa" w:w="2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1. Ingestão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CSV bruto ou API do sistema de 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DataFrame pandas normalizado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ingestion/loader.py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2. Higienização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DataFrame bruto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DataFrame limpo + relatório de eliminações por causa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pipeline/higienizacao.py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3. Segmentação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DataFrame limpo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CDAs classificadas por faixa, tributo, PF/PJ, região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pipeline/segmentacao.py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4. Scoring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DataFrame segmentado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DataFrame com 4 dimensões + 2 eixos + quadrante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pipeline/scoring.py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5. Simulação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DataFrame scored + parâmetros de cenário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Projeções de recuperação por cenário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pipeline/simulacao.py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3.3 Estrutura de pastas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Estrutura de diretórios do repositório: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katalyzer-vega/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├── vega/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├── app/                  # Dash app: layout, callbacks, componentes por aba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├── tabs/             # tab_diagnostico.py, tab_scoring.py,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├── components/       # charts.py, tables.py, metrics.py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└── app.py            # Entry point Dash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├── pipeline/             # Pipeline de análise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├── higienizacao.py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├── segmentacao.py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├── scoring.py        # Score v1 determinístico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└── simulacao.py      # Projeções de cenário com decay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├── ingestion/            # Carregamento de carteiras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├── loader.py         # CSV e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└── validators.py     # Validação de schema do 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├── db/                   # Acesso ao banco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├── connection.py     # get_conn() — psycopg2 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├── migrations/       # Alembic migrations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└── queries.py        # SQL puro + pd.read_sql() por aba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├── insights/             # Geração de insights via LLM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│   └── generator.py      # OpenAI gpt-4o — prompts por aba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│   └── utils/                # Exportação, formatação, datas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├── 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├── 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├──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└── .env.example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b/>
          <w:bCs/>
          <w:color w:val="0A2A5F"/>
        </w:rPr>
        <w:t xml:space="preserve">4. Banco de Dados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4.1 Visão geral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 Vega usa um banco PostgreSQL próprio, completamente independente do Órion. O schema principal é vega. Todas as tabelas têm tenant_id para isolamento por cliente municipal analisado — permitindo que múltiplas carteiras coexistam no mesmo banco.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92400E"/>
                <w:sz w:val="21"/>
                <w:szCs w:val="21"/>
              </w:rPr>
              <w:t xml:space="preserve">⚠ Foreign keys cross-schema são proibidas — mesma convenção do Órion. Consistência entre tabelas garantida pela camada de aplicação.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4.2 Tabelas principais — visão resumida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A especificação completa de schema, campos e índices está no documento Modelo de Dados do Vega v1.0. Este SAD apresenta a visão estrutural de alto nível.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5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Colunas-chave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vega.carteiras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Registro de cada carteira carregada — metadados e status do pipeline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id, tenant_id, municipio, data_referencia, status_pipeline, parametros_jsonb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vega.cdas_brutas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CDAs originais antes de qualquer processamento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id, carteira_id, numero_cda, contribuinte_id, valor_principal, data_inscricao, tributo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vega.cdas_higienizadas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CDAs após higienização — com flags de eliminação e causa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id, cda_bruta_id, ativa, causa_eliminacao, valor_corrigido, dias_prescricao, prescricao_interrompida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vega.scores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Score calculado por CDA — 4 dimensões + eixos + quadrante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id, cda_id, dim_valor, dim_urgencia, dim_contato, dim_comportamento, eixo_prioridade, eixo_recuperabilidade, quadrante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vega.cohorts_campanha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Histórico de programas de parcelamento e comportamento pós-campanha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id, carteira_id, nome_programa, aderiram, concluiram, quebraram, voltaram_carteira, reabordados_sucesso, perfil_dominante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vega.parametros_sessao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Parâmetros configurados pelo analista (thresholds, faixas, cenários)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id, carteira_id, usuario_id, valor_minimo, threshold_q1_prioridade, threshold_q1_recuperabilidade, parametros_jsonb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vega.snapshots_analise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Snapshot completo de uma análise — base para relatórios e exportações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id, carteira_id, criado_em, metricas_jsonb, insights_jsonb, criado_por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4.3 Multi-tenant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 Vega suporta múltiplos clientes municipais simultaneamente. O isolamento é feito via tenant_id (slug do município) em todas as tabelas de domínio. Não há schemas separados por cliente — um único schema vega com tenant_id em todas as linhas.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Essa decisão simplifica o deploy e as migrations em relação ao modelo schema-per-tenant do Órion, que é mais adequado para isolamento de dados em produção. No Vega, o risco de vazamento entre tenants é mitigado pela camada de aplicação — todos os queries incluem WHERE tenant_id = :tenant_id.</w:t>
      </w:r>
    </w:p>
    <w:p>
      <w:pPr>
        <w:spacing w:after="16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b/>
          <w:bCs/>
          <w:color w:val="0A2A5F"/>
        </w:rPr>
        <w:t xml:space="preserve">5. Pipeline de Análise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5.1 Etapa 1 — Higienização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A higienização elimina CDAs não operacionais e classifica o motivo da eliminação. Esta classificação é fundamental para o diagnóstico — cada causa implica uma recomendação diferente ao cliente.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eliminação</w:t>
            </w:r>
          </w:p>
        </w:tc>
        <w:tc>
          <w:tcPr>
            <w:tcW w:type="dxa" w:w="2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registrada</w:t>
            </w:r>
          </w:p>
        </w:tc>
        <w:tc>
          <w:tcPr>
            <w:tcW w:type="dxa" w:w="41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Implicação analítica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Idade da CDA &gt;= prazo de prescrição configurado (padrão: 5 anos)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prescricao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Gestão histórica negligente — argumento de urgência para o gestor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Valor principal &lt; valor mínimo configurado (padrão: R$ 50)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irrisorio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Política de inscrição inadequada — CDAs que custam mais para cobrar do que valem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CPF/CNPJ inativo, baixado ou inexistente na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devedor_inexistente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Problema de cadastro — enriquecimento cadastral necessário antes da operação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CDA com status "parcelamento ativo" ou "protesto ativo" no 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ja_em_tratamento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Não elimina — flag que impacta o cálculo de prescrição líquida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92400E"/>
                <w:sz w:val="21"/>
                <w:szCs w:val="21"/>
              </w:rPr>
              <w:t xml:space="preserve">⚠ A flag ja_em_tratamento não elimina a CDA — ela marca a prescrição como "interrompida". Isso impacta o KPI de prescrição bruta × líquida na Aba 4 (Safra &amp; Aging) e o padrão hachurado no gráfico de aging.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5.2 Etapa 2 — Segmentação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A segmentação classifica as CDAs higienizadas em dimensões analíticas usadas pelas abas 1 (Diagnóstico), 2 (Segmentação) e 5 (Contactabilidade):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Faixa de valor: Até R$ 500 | R$ 500–2k | R$ 2k–10k | R$ 10k–50k | &gt; R$ 50k (configurável via parâmetros_sessao)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Tipo de contribuinte: PF (CPF) | PJ (CNPJ)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Tributo: IPTU | ISS | ITBI | Taxas | Multas | COSIP | Outros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Padrão de densidade: Concentrado (1–3 CDAs por contribuinte) | Médio (4–9) | Pulverizado (10+)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Região/bairro: derivado do endereço do contribuinte — campo livre, normalizado por município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Faixa de idade: &lt; 6m | 6m–1a | 1a–2a | 2a–3a | 3a–4a | 4a–5a (relativa à data de inscrição)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Safra: ano de inscrição — base para análise vintage e decay de recuperação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>5.3 Etapa 3 — Priority Index v1 (display name: Score v1 Determinístico)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 scoring do Vega deve reproduzir exatamente a mesma lógica do Katalyzer Órion (engine Score, Ruby). Qualquer divergência entre o diagnóstico do Vega e o score operacional do Órion invalida a análise.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57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Lógica de cálculo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dim_valor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0–30 pts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Score progressivo baseado na faixa de valor da CDA. Referência: Até R$500 = 5pts | R$500–2k = 12pts | R$2k–10k = 20pts | R$10k–50k = 26pts | &gt;R$50k = 30pts. Pesos configuráveis via param_slider.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dim_urgencia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0–30 pts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MONOTÔNICA CRESCENTE — quanto mais próximo da prescrição, maior a urgência. Fórmula: (dias_decorridos / dias_prescricao) * 30. Sem pico intermediário — CDAs com 1 dia para prescrever recebem score máximo. CDAs com prescrição interrompida mantêm o score mas são flagadas.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dim_contato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0–25 pts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Qualidade dos dados de contato disponíveis: sem dados = 0 | só endereço = 8 | telefone = 14 | celular/WhatsApp = 20 | celular + WhatsApp + e-mail = 25.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dim_comportamento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0–25 pts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Histórico de relacionamento: sem histórico = 8 | primeiro débito = 10 | parcelou e quebrou = 14 | reincidente que pagou parcialmente = 18 | reincidente que quitou = 25.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Os dois eixos são compostos a partir das 4 dimensões: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Eixo Prioridade do Título (0–60): dim_valor + dim_urgencia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Eixo Recuperabilidade do Contribuinte (0–50): dim_contato + dim_comportamento</w:t>
      </w:r>
    </w:p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Os quadrantes da matriz 2×2 são definidos por thresholds absolutos configuráveis via parâmetros_sessao (não por mediana):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Q1 — Ação imediata: Prioridade &gt;= threshold_q1_prioridade (padrão 40) E Recuperabilidade &gt;= threshold_q1_recuperabilidade (padrão 30)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Q2 — Campanha de massa: Prioridade &lt; threshold E Recuperabilidade &gt;= threshold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Q3 — Protesto/Judicial: Prioridade &gt;= threshold E Recuperabilidade &lt; threshold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Q4 — Monitorar: Prioridade &lt; threshold E Recuperabilidade &lt; threshold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>Nota terminológica (v1.1): O Score v1 é tecnicamente um Priority Index — índice ordinal de priorização, não um score estatístico de probabilidade de pagamento. O nome "Score" é mantido por familiaridade de mercado. Nunca apresentar o valor como probabilidade de conversão ou de pagamento. Score v2 (LightGBM supervisionado) é o objetivo após 6–12 meses de dados operacionais.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92400E"/>
                <w:sz w:val="21"/>
                <w:szCs w:val="21"/>
              </w:rPr>
              <w:t xml:space="preserve">⚠ O score é um índice ordinal de priorização — não representa probabilidade de pagamento. dim_contato e dim_comportamento são correlacionadas e somadas linearmente por design. Use para ordenar e segmentar, não para projetar taxas de conversão individuais.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5.4 Etapa 4 — Simulação de Cenários</w:t>
      </w:r>
    </w:p>
    <w:p>
      <w:pPr>
        <w:spacing w:after="80" w:before="40"/>
      </w:pPr>
      <w:r>
        <w:rPr>
          <w:color w:val="1A1A1A"/>
          <w:sz w:val="22"/>
          <w:szCs w:val="22"/>
        </w:rPr>
        <w:t>A simulação projeta a recuperação potencial para 3 cenários (Conservador, Moderado, Agressivo) usando uma função de decay exponencial com teto (ceiling) realista — benchmarks de DA municipal com plataforma de protesto ativa ficam entre 15–40% do valor-alvo em 12 meses (C1.1).</w:t>
      </w:r>
    </w:p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color w:val="1A1A1A"/>
          <w:sz w:val="22"/>
          <w:szCs w:val="22"/>
        </w:rPr>
        <w:t>Função de decay de referência com ceiling realista (parâmetros default v1.1 — calibrar com historico_safra):</w:t>
      </w:r>
    </w:p>
    <w:p>
      <w:pPr>
        <w:spacing w:after="80" w:before="40"/>
      </w:pPr>
      <w:r>
        <w:rPr>
          <w:color w:val="1A1A1A"/>
          <w:sz w:val="22"/>
          <w:szCs w:val="22"/>
        </w:rPr>
        <w:t>decay_curve(valor_alvo_cents, rate, ceiling, meses=12) → retorna lista de valores R$ acumulados. Conservador: rate=0.04, ceiling=0.22 (~8% em 12m). Moderado: rate=0.06, ceiling=0.32 (~16% em 12m). Agressivo: rate=0.08, ceiling=0.42 (~26% em 12m). Colunas ceiling_conservador/moderado/agressivo persistidas em vega.sessoes_analise (migration 010). Trava de sanidade: cenários que projetam &gt;50% do valor ativo em 12m são bloqueados com alerta vermelho e requerem justificativa explícita do analista antes de visualização.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recuperacao_mes(n) = valor_alvo * (1 - e^(-rate * n))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Rates de referência: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Conservador: rate = 0.9  (atinge plateau rápido, payback M2)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Moderado:    rate = 0.55 (equilíbrio risco/retorno, payback M3)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Agressivo:   rate = 0.38 (crescimento lento, payback M4)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⚠ CRÍTICO: Estes rates são referências de mercado.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Para calibração com dados reais, use os dados de decay de safra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da Aba 4 (Decay de recuperação por safra) e ajuste os rates 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parâmetro decay_rates da tabela parametros_sessao.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A elasticidade de desconto é calculada como: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Taxa de adesão(d) = adesao_base * (1 - e^(-0.05 * d))  — curva saturante crescente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Valor líquido(d) = valor_alvo * (taxa_adesao(d) / 100) * (1 - d * fator_desconto)  — curva em U invertido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O desconto ótimo é o valor de d que maximiza valor_liquido(d) — tipicamente 25–30%</w:t>
      </w:r>
    </w:p>
    <w:p>
      <w:pPr>
        <w:spacing w:after="16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b/>
          <w:bCs/>
          <w:color w:val="0A2A5F"/>
        </w:rPr>
        <w:t xml:space="preserve">6. Deploy e Infraestrutura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6.1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vega-app: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build: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command: gunicorn vega.app.app:server -b 0.0.0.0:8050 --workers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ports: ["8050:8050"]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- DATABASE_URL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- SECRET_KEY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- DEMO_MODE=false    # true = dados mockados, false = dados reais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- LOG_LEVEL=INFO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depends_on: [postgres]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postgres: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image: postgres:15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volumes: ["pg_data:/var/lib/postgresql/data"]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- POSTGRES_DB=katalyzer_vega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- POSTGRES_USER=vega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- POSTGRES_PASSWORD=${POSTGRES_PASSWORD}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pg_data: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6.2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4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Sensível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String de conexão 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Sim — não commitar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SECRET_KEY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Chave de sessão Flask/Dash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Sim — não commitar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DEMO_MODE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true = dados mockados | false = dados reais da carteira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LOG_LEVEL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DEBUG | INFO | WARNING | ERROR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Senha do banco 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Sim — não commitar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6.3 Estratégia de deploy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 Vega é uma ferramenta interna sem requisitos de alta disponibilidade. A estratégia de deploy é simples: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Desenvolvimento local: Docker Compose na máquina do analista de dados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Staging/Produção interna: Railway ou Render — PaaS sem overhead de Kubernetes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Banco de dados: PostgreSQL gerenciado pelo Railway/Render (não compartilhado com o Órion)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HTTPS: gerenciado pelo PaaS — sem configuração manual de Nginx/TLS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Autenticação: basic auth por usuário — time interno apenas, sem OAuth</w:t>
      </w:r>
    </w:p>
    <w:p>
      <w:pPr>
        <w:spacing w:after="16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b/>
          <w:bCs/>
          <w:color w:val="0A2A5F"/>
        </w:rPr>
        <w:t xml:space="preserve">7. Autenticação e Acesso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7.1 Modelo de autenticação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O Vega usa autenticação simples baseada em sessão, adequada para uma ferramenta interna com número reduzido de usuários. Não há integração com OAuth, SSO ou o sistema de auth do Órion.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4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3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Analista de dados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Leitura e análise de todas as carteiras carregadas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Cientista de dados, analista de cobrança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Tudo do analista + carregamento de novas carteiras + gestão de usuários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Tech lead, Catulo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7.2 Isolamento de carteiras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Embora a autenticação seja simples, o isolamento de carteiras por cliente municipal é crítico. Um analista não deve visualizar dados de um município diferente do que está analisando. O isolamento é garantido por: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Seleção de carteira no início de cada sessão analítica — interface de "Abrir carteira"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Todas as queries incluem WHERE carteira_id = :carteira_id filtrado pela sessão ativa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Não há visão cruzada entre carteiras de clientes diferentes na mesma tela</w:t>
      </w:r>
    </w:p>
    <w:p>
      <w:pPr>
        <w:spacing w:after="16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b/>
          <w:bCs/>
          <w:color w:val="0A2A5F"/>
        </w:rPr>
        <w:t xml:space="preserve">8. Regras de Negócio Críticas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8.1 Regras que não podem ser alteradas sem alinhamento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As regras abaixo são decisões de produto consolidadas. Qualquer alteração deve ser alinhada com o tech lead antes de implementar.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5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RN-01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dim_urgencia é monotônica crescente — sem pico intermediário. Quanto mais próximo da prescrição, maior o score.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Função triangular com pico em 4 anos foi identificada como erro conceitual — penaliza CDAs mais urgentes.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RN-02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Thresholds de Q1 são absolutos, não relativos à mediana. Padrão: Prioridade &gt;= 40 e Recuperabilidade &gt;= 30.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Threshold por mediana faz Q1 mudar de tamanho conforme a carteira — impossibilita comparação entre carteiras.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RN-03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Prescrição bruta e prescrição líquida devem ser exibidas separadamente. Líquida = bruta menos CDAs com prescrição interrompida.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CDAs com protesto ou parcelamento ativo têm prescrição legalmente interrompida — incluí-las no cômputo de urgência gera trabalho operacional desnecessário.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RN-04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O funil de higienização deve exibir o estoque morto decomposto por causa (prescrição, irrisório, devedor inexistente).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Cada causa implica uma recomendação diferente ao cliente — agregar esconde o diagnóstico real.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RN-05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O score é um índice ordinal — não exibir como probabilidade de pagamento em nenhuma interface.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dim_contato e dim_comportamento são correlacionadas e somadas linearmente — o valor absoluto não tem interpretação probabilística.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RN-06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Curvas de decay devem ser declaradas como referência até calibração explícita com dados da Aba 4.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Projeções com rates de mercado usadas em propostas comerciais sem calibração resultam em promessas não cumpridas.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RN-07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Contribuinte com mais de 10% da carteira ativa deve disparar alerta de concentração de risco automaticamente.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Uma única negociação altera materialmente qualquer projeção agregada — o analista precisa saber disso antes de apresentar cenários.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RN-08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Ações sugeridas (NBA) são sugestões determinísticas — nunca exibir como prescrições ou obrigações operacionais.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 lógica NBA é derivada de regras (quadrante + contactabilidade + reincidência + valor) — não substitui o julgamento do analista.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b/>
          <w:bCs/>
          <w:color w:val="0A2A5F"/>
        </w:rPr>
        <w:t xml:space="preserve">9. Architecture Decision Records (ADRs)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ADR-W-001 — Dash em vez de Streamlit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Time de dados precisava de uma ferramenta de diagnóstico multi-usuário com estado isolado por sessão.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Decisão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Dash (Plotly) em vez de Streamlit. Dash tem modelo de callback explícito, suporte a multi-usuário real e deploy PaaS robusto.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Alternativas rejeitadas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Streamlit: re-executa script inteiro a cada interação; sem suporte nativo a multi-usuário com estado isolado.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Curva de aprendizado de Dash é maior que Streamlit. Mitigação: documentar padrão de callbacks no CLAUDE.md.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ADR-W-002 — PostgreSQL próprio, schema único com tenant_id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Vega precisa isolar carteiras de múltiplos municípios simultaneamente.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Decisão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Schema único (vega) com tenant_id em todas as tabelas. Não reutilizar o PostgreSQL do Órion.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Alternativas rejeitadas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Schema-per-tenant (modelo do Órion): overhead excessivo de migrations para uma ferramenta interna. DuckDB: avaliado e rejeitado — sem suporte a multi-usuário cloud e sem row-level security nativa.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Todas as queries devem incluir WHERE carteira_id = :carteira_id. Responsabilidade da camada de aplicação.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ADR-W-003 — Parâmetros de cenário como referência, não calibração automática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>ADR-W-004 — Rates de decay calibrados com ceiling realista (v1.1)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>Contexto: os rates defaults originais (0.9/0.55/0.38) produziam projeções de recuperação de 99%+ do valor-alvo em 12 meses — irreais para qualquer carteira municipal. Decisão: refatorar decay_curve para aceitar parâmetro ceiling (assíntota realista), com defaults Conservador 22%, Moderado 32%, Agressivo 42%. Rates rebaixados para 0.04/0.06/0.08 (velocidade de convergência realista). Trava de sanidade implementada em tab_cenarios.py bloqueia visualização quando projeção excede 50% do valor ativo em 12 meses, exigindo justificativa do analista para override. Consequência: cenários são conservadores por design — analista calibra manualmente após acumular dados em historico_safra.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Contexto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As curvas de decay nas projeções de cenário precisam de parâmetros. Calibração automática requer histórico de operações reais.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Decisão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Parâmetros de referência de mercado no MVP. Calibração com dados da Aba 4 é manual — analista extrai o decay real das safras e ajusta os rates.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Alternativas rejeitadas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Calibração automática: requer dados de conversão real que ainda não existem para novos clientes.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Consequências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 UI deve declarar explicitamente que as curvas são referência até calibração. Nenhuma projeção de cenário deve ser usada em proposta comercial sem calibração prévia.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b/>
          <w:bCs/>
          <w:color w:val="0A2A5F"/>
        </w:rPr>
        <w:t xml:space="preserve">10. Limitações Conhecidas e Próximos Passos</w:t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10.1 Limitações do Score v1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dim_contato e dim_comportamento são correlacionadas e somadas linearmente — subestima contribuintes com histórico bom mas dados desatualizados.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Não há proxy de capacidade de pagamento (atividade do CNPJ, existência de imóveis, faturamento estimado) — a diferença entre Q3 "incontactável" e Q3 "insolvente" é invisível.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color w:val="1A1A1A"/>
          <w:sz w:val="22"/>
          <w:szCs w:val="22"/>
        </w:rPr>
        <w:t xml:space="preserve">Score v2 (LightGBM supervisionado) substituirá dim_contato e dim_comportamento por probabilidades aprendidas após acúmulo de dados operacionais do Órion.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7B2CBF"/>
        </w:rPr>
        <w:t xml:space="preserve">10.2 Roadmap de evolução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Score v2 — LightGBM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Substituir dimensões determinísticas por modelo treinado com dados reais de conversão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Dados operacionais do Órion — mínimo 6 meses de operação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Calibração automática de decay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Calcular rates de decay a partir do histórico real de safras da carteira analisada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Dados históricos de recuperação por safra disponíveis no CSV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Integração direta com API do DA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Puxar carteira bruta diretamente do sistema de DA via API REST — eliminar etapa de upload CSV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Documentação da API do sistema de DA do cliente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Capacidade de pagamento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Adicionar proxy de capacidade (CNPJ ativo/baixado, imóveis em nome) via enriquecimento cadastral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color w:val="1A1A1A"/>
                <w:sz w:val="20"/>
                <w:szCs w:val="20"/>
              </w:rPr>
              <w:t xml:space="preserve">Integração com Serpro/Neoway/Assertiva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  <w:jc w:val="center"/>
      </w:pPr>
      <w:r>
        <w:rPr>
          <w:rFonts w:ascii="Poppins" w:cs="Poppins" w:eastAsia="Poppins" w:hAnsi="Poppins"/>
          <w:color w:val="6B7280"/>
          <w:sz w:val="18"/>
          <w:szCs w:val="18"/>
        </w:rPr>
        <w:t>© 2026 Katalyzer Tecnologia Ltda. · SAD Vega v1.1 · Documento técnico restrito à equipe de desenvolvimento.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after="0" w:before="40"/>
    </w:pPr>
  </w:p>
  <w:p>
    <w:pPr>
      <w:tabs>
        <w:tab w:val="right" w:pos="9026"/>
      </w:tabs>
      <w:spacing w:after="0" w:before="0"/>
    </w:pPr>
    <w:r>
      <w:rPr>
        <w:rFonts w:ascii="Poppins" w:cs="Poppins" w:eastAsia="Poppins" w:hAnsi="Poppins"/>
        <w:color w:val="6B7280"/>
        <w:sz w:val="16"/>
        <w:szCs w:val="16"/>
      </w:rPr>
      <w:t xml:space="preserve">Katalyzer Tecnologia Ltda. · CNPJ 59.357.357/0001-74 · Abril 2026</w:t>
    </w:r>
    <w:r>
      <w:rPr>
        <w:rFonts w:ascii="Poppins" w:cs="Poppins" w:eastAsia="Poppins" w:hAnsi="Poppins"/>
        <w:sz w:val="16"/>
        <w:szCs w:val="16"/>
      </w:rPr>
      <w:t xml:space="preserve">	</w:t>
    </w:r>
    <w:r>
      <w:rPr>
        <w:rFonts w:ascii="Poppins" w:cs="Poppins" w:eastAsia="Poppins" w:hAnsi="Poppins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</w:pPr>
          <w:r>
            <w:rPr>
              <w:rFonts w:ascii="Sora" w:cs="Sora" w:eastAsia="Sora" w:hAnsi="Sora"/>
              <w:b/>
              <w:bCs/>
              <w:color w:val="0A2A5F"/>
              <w:sz w:val="22"/>
              <w:szCs w:val="22"/>
            </w:rPr>
            <w:t xml:space="preserve">KATALYZER WORKBENCH</w:t>
          </w:r>
          <w:r>
            <w:rPr>
              <w:rFonts w:ascii="Poppins" w:cs="Poppins" w:eastAsia="Poppins" w:hAnsi="Poppins"/>
              <w:color w:val="6B7280"/>
              <w:sz w:val="20"/>
              <w:szCs w:val="20"/>
            </w:rPr>
            <w:t xml:space="preserve">  ·  SAD v1.0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right"/>
          </w:pPr>
          <w:r>
            <w:rPr>
              <w:rFonts w:ascii="Poppins" w:cs="Poppins" w:eastAsia="Poppins" w:hAnsi="Poppins"/>
              <w:color w:val="6B7280"/>
              <w:sz w:val="18"/>
              <w:szCs w:val="18"/>
            </w:rPr>
            <w:t xml:space="preserve">Konfidencial · Katalyzer Tecnologia</w:t>
          </w:r>
        </w:p>
      </w:tc>
    </w:tr>
  </w:tbl>
  <w:p>
    <w:pPr>
      <w:pBdr>
        <w:bottom w:val="single" w:color="0A2A5F" w:sz="4" w:space="4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ora" w:cs="Sora" w:eastAsia="Sora" w:hAnsi="Sora"/>
      <w:b/>
      <w:bCs/>
      <w:color w:val="0A2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Sora" w:cs="Sora" w:eastAsia="Sora" w:hAnsi="Sora"/>
      <w:b/>
      <w:bCs/>
      <w:color w:val="7B2CBF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2026-04-16T18:50:59.018Z</dcterms:created>
  <dcterms:modified xsi:type="dcterms:W3CDTF">2026-04-16T18:50:59.019Z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